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f5e613688314692a0f50e2989d68e2a"/>
        <w:lock w:val="sdtLocked"/>
        <w:richText/>
      </w:sdtPr>
      <w:sdtContent>
        <w:p>
          <w:pPr>
            <w:ind w:left="6480" w:firstLine="720"/>
            <w:rPr>
              <w:b/>
              <w:bCs/>
              <w:szCs w:val="22"/>
            </w:rPr>
          </w:pPr>
          <w:r>
            <w:rPr>
              <w:b/>
              <w:bCs/>
              <w:szCs w:val="22"/>
            </w:rPr>
            <w:t>Projektas</w:t>
          </w:r>
        </w:p>
        <w:p>
          <w:pPr>
            <w:ind w:left="6480" w:firstLine="720"/>
            <w:rPr>
              <w:szCs w:val="22"/>
            </w:rPr>
          </w:pPr>
          <w:r>
            <w:rPr>
              <w:szCs w:val="22"/>
            </w:rPr>
            <w:t>Nr. TSP-</w:t>
          </w:r>
        </w:p>
        <w:p>
          <w:pPr>
            <w:tabs>
              <w:tab w:val="center" w:pos="4677"/>
              <w:tab w:val="left" w:pos="8364"/>
              <w:tab w:val="right" w:pos="9354"/>
            </w:tabs>
            <w:rPr>
              <w:lang w:eastAsia="lt-LT"/>
            </w:rPr>
          </w:pPr>
          <w:r>
            <w:rPr>
              <w:b/>
              <w:caps/>
              <w:lang w:eastAsia="lt-LT"/>
            </w:rPr>
            <w:tab/>
          </w:r>
        </w:p>
        <w:p>
          <w:pPr>
            <w:jc w:val="center"/>
            <w:rPr>
              <w:b/>
              <w:lang w:eastAsia="lt-LT"/>
            </w:rPr>
          </w:pPr>
          <w:r>
            <w:rPr>
              <w:b/>
              <w:lang w:eastAsia="lt-LT"/>
            </w:rPr>
            <w:t>RADVILIŠKIO RAJONO SAVIVALDYBĖS TARYBA</w:t>
          </w:r>
        </w:p>
        <w:p>
          <w:pPr>
            <w:jc w:val="center"/>
            <w:rPr>
              <w:b/>
              <w:caps/>
              <w:lang w:eastAsia="lt-LT"/>
            </w:rPr>
          </w:pPr>
        </w:p>
        <w:p>
          <w:pPr>
            <w:jc w:val="center"/>
            <w:rPr>
              <w:b/>
              <w:caps/>
              <w:lang w:eastAsia="lt-LT"/>
            </w:rPr>
          </w:pPr>
          <w:r>
            <w:rPr>
              <w:b/>
              <w:caps/>
              <w:lang w:eastAsia="lt-LT"/>
            </w:rPr>
            <w:t>sprendimas</w:t>
          </w:r>
        </w:p>
        <w:p>
          <w:pPr>
            <w:jc w:val="center"/>
            <w:rPr>
              <w:b/>
              <w:caps/>
              <w:lang w:eastAsia="lt-LT"/>
            </w:rPr>
          </w:pPr>
          <w:r>
            <w:rPr>
              <w:b/>
              <w:caps/>
              <w:lang w:eastAsia="lt-LT"/>
            </w:rPr>
            <w:t xml:space="preserve">dėl UŽDAROSIOS AKCINĖS BENDROVĖS „BAISOGALOS BIOENERGIJA“  KOREGUOTO šilumos GAMYBOS IR TIEKIMO PAJAMŲ bazinIO LYGIO TRETIESIEMS ŠILUMOS GAMYBOS IR TIEKIMO PAJAMŲ BAZINIO LYGIO GALIOJIMO METAMS NUSTATYMO </w:t>
          </w:r>
        </w:p>
        <w:p>
          <w:pPr>
            <w:jc w:val="center"/>
            <w:rPr>
              <w:b/>
              <w:caps/>
              <w:lang w:eastAsia="lt-LT"/>
            </w:rPr>
          </w:pPr>
        </w:p>
        <w:p>
          <w:pPr>
            <w:jc w:val="center"/>
            <w:rPr>
              <w:lang w:eastAsia="lt-LT"/>
            </w:rPr>
          </w:pPr>
          <w:r>
            <w:rPr>
              <w:lang w:eastAsia="lt-LT"/>
            </w:rPr>
            <w:t xml:space="preserve">2025 m.                        d. Nr. T-</w:t>
          </w:r>
        </w:p>
        <w:p>
          <w:pPr>
            <w:jc w:val="center"/>
            <w:rPr>
              <w:lang w:eastAsia="lt-LT"/>
            </w:rPr>
          </w:pPr>
          <w:r>
            <w:rPr>
              <w:lang w:eastAsia="lt-LT"/>
            </w:rPr>
            <w:t>Radviliškis</w:t>
          </w:r>
        </w:p>
        <w:p>
          <w:pPr>
            <w:jc w:val="center"/>
            <w:rPr>
              <w:lang w:eastAsia="lt-LT"/>
            </w:rPr>
          </w:pPr>
        </w:p>
        <w:sdt>
          <w:sdtPr>
            <w:alias w:val="preambule"/>
            <w:tag w:val="part_79f7d405ae7b4d299f98a3e93c3e3377"/>
            <w:lock w:val="sdtLocked"/>
            <w:richText/>
          </w:sdtPr>
          <w:sdtContent>
            <w:p>
              <w:pPr>
                <w:ind w:right="27" w:firstLine="709"/>
                <w:jc w:val="both"/>
                <w:rPr>
                  <w:lang w:eastAsia="lt-LT"/>
                </w:rPr>
              </w:pPr>
              <w:r>
                <w:rPr>
                  <w:lang w:eastAsia="lt-LT"/>
                </w:rPr>
                <w:t xml:space="preserve">Vadovaudamasi Lietuvos Respublikos vietos savivaldos įstatymo </w:t>
              </w:r>
              <w:r>
                <w:rPr>
                  <w:color w:val="000000"/>
                </w:rPr>
                <w:t>15 straipsnio 4 dalimi,</w:t>
              </w:r>
              <w:r>
                <w:rPr>
                  <w:lang w:eastAsia="lt-LT"/>
                </w:rPr>
                <w:t xml:space="preserve"> Lietuvos Respublikos šilumos ūkio įstatymo </w:t>
              </w:r>
              <w:r>
                <w:rPr>
                  <w:color w:val="000000"/>
                </w:rPr>
                <w:t>32 straipsnio 8 dalies 2 punktu</w:t>
              </w:r>
              <w:r>
                <w:rPr>
                  <w:bCs/>
                  <w:lang w:eastAsia="lt-LT"/>
                </w:rPr>
                <w:t xml:space="preserve">, </w:t>
              </w:r>
              <w:r>
                <w:rPr>
                  <w:color w:val="000000"/>
                </w:rPr>
                <w:t>Šilumos kainų nustatymo metodikos, patvirtintos Valstybinės energetikos reguliavimo tarybos 2009 m. liepos 8 d. nutarimu Nr. O3-96 „Dėl šilumos kainų nustatymo metodikos” 59.2 papunkčiu</w:t>
              </w:r>
              <w:r>
                <w:rPr>
                  <w:lang w:eastAsia="lt-LT"/>
                </w:rPr>
                <w:t xml:space="preserve"> bei atsižvelgdama į uždarosios akcinės bendrovės „Baisogalos bioenergija“ 2025 m. spalio 27 d. raštą Nr. 207 „Dėl šilumos gamybos ir tiekimo pajamų bazinio lygio nustatymo tretiesiems baziniams metams“, Radviliškio rajono savivaldybės taryba </w:t>
              </w:r>
              <w:r>
                <w:rPr>
                  <w:color w:val="000000"/>
                  <w:spacing w:val="50"/>
                </w:rPr>
                <w:t>nusprendži</w:t>
              </w:r>
              <w:r>
                <w:rPr>
                  <w:color w:val="000000"/>
                </w:rPr>
                <w:t>a</w:t>
              </w:r>
              <w:r>
                <w:rPr>
                  <w:lang w:eastAsia="lt-LT"/>
                </w:rPr>
                <w:t>:</w:t>
              </w:r>
            </w:p>
          </w:sdtContent>
        </w:sdt>
        <w:sdt>
          <w:sdtPr>
            <w:alias w:val="1 p."/>
            <w:tag w:val="part_0303122b49654634b2b3d13b18a8f034"/>
            <w:lock w:val="sdtLocked"/>
            <w:richText/>
          </w:sdtPr>
          <w:sdtContent>
            <w:p>
              <w:pPr>
                <w:tabs>
                  <w:tab w:val="left" w:pos="993"/>
                </w:tabs>
                <w:ind w:right="27" w:firstLine="709"/>
                <w:jc w:val="both"/>
                <w:rPr>
                  <w:lang w:eastAsia="lt-LT"/>
                </w:rPr>
              </w:pPr>
              <w:sdt>
                <w:sdtPr>
                  <w:alias w:val="Numeris"/>
                  <w:tag w:val="nr_0303122b49654634b2b3d13b18a8f034"/>
                  <w:lock w:val="sdtLocked"/>
                  <w:richText/>
                </w:sdtPr>
                <w:sdtContent>
                  <w:r>
                    <w:rPr>
                      <w:lang w:eastAsia="lt-LT"/>
                    </w:rPr>
                    <w:t>1</w:t>
                  </w:r>
                </w:sdtContent>
              </w:sdt>
              <w:r>
                <w:rPr>
                  <w:lang w:eastAsia="lt-LT"/>
                </w:rPr>
                <w:t>.</w:t>
                <w:tab/>
                <w:t>Nustatyti uždarosios akcinės bendrovės „Baisogalos bioenergija“ koreguotą šilumos gamybos ir tiekimo pajamų bazinį lygį tretiesiems šilumos gamybos ir tiekimo pajamų bazinio lygio galiojimo metams:</w:t>
              </w:r>
            </w:p>
            <w:sdt>
              <w:sdtPr>
                <w:alias w:val="1.1 pp."/>
                <w:tag w:val="part_5f0e60d02e2a4716bfdff01cb4ca5e3c"/>
                <w:lock w:val="sdtLocked"/>
                <w:richText/>
              </w:sdtPr>
              <w:sdtContent>
                <w:p>
                  <w:pPr>
                    <w:ind w:firstLine="709"/>
                    <w:jc w:val="both"/>
                    <w:rPr>
                      <w:rFonts w:eastAsia="Calibri"/>
                      <w:szCs w:val="24"/>
                    </w:rPr>
                  </w:pPr>
                  <w:sdt>
                    <w:sdtPr>
                      <w:alias w:val="Numeris"/>
                      <w:tag w:val="nr_5f0e60d02e2a4716bfdff01cb4ca5e3c"/>
                      <w:lock w:val="sdtLocked"/>
                      <w:richText/>
                    </w:sdtPr>
                    <w:sdtContent>
                      <w:r>
                        <w:rPr>
                          <w:rFonts w:eastAsia="Calibri"/>
                          <w:szCs w:val="24"/>
                        </w:rPr>
                        <w:t>1.1</w:t>
                      </w:r>
                    </w:sdtContent>
                  </w:sdt>
                  <w:r>
                    <w:rPr>
                      <w:rFonts w:eastAsia="Calibri"/>
                      <w:szCs w:val="24"/>
                    </w:rPr>
                    <w:t xml:space="preserve">. šilumos </w:t>
                  </w:r>
                  <w:r>
                    <w:rPr>
                      <w:lang w:eastAsia="lt-LT"/>
                    </w:rPr>
                    <w:t xml:space="preserve">gamybos </w:t>
                  </w:r>
                  <w:r>
                    <w:rPr>
                      <w:rFonts w:eastAsia="Calibri"/>
                      <w:szCs w:val="24"/>
                    </w:rPr>
                    <w:t xml:space="preserve">pajamų bazinio lygio, išreiškiamo formule </w:t>
                  </w:r>
                  <w:r>
                    <w:rPr>
                      <w:rFonts w:eastAsia="Calibri"/>
                      <w:color w:val="000000"/>
                      <w:szCs w:val="24"/>
                    </w:rPr>
                    <w:t>255 162 Eur + R</w:t>
                  </w:r>
                  <w:r>
                    <w:rPr>
                      <w:rFonts w:eastAsia="Calibri"/>
                      <w:color w:val="000000"/>
                      <w:szCs w:val="24"/>
                      <w:vertAlign w:val="subscript"/>
                    </w:rPr>
                    <w:t>H,KD</w:t>
                  </w:r>
                  <w:r>
                    <w:rPr>
                      <w:rFonts w:eastAsia="Calibri"/>
                      <w:szCs w:val="24"/>
                    </w:rPr>
                    <w:t>, dalis:</w:t>
                  </w:r>
                </w:p>
                <w:sdt>
                  <w:sdtPr>
                    <w:alias w:val="1.1.1 pp."/>
                    <w:tag w:val="part_af5c6a70e4274591af6cc4b820ab3f0f"/>
                    <w:lock w:val="sdtLocked"/>
                    <w:richText/>
                  </w:sdtPr>
                  <w:sdtContent>
                    <w:p>
                      <w:pPr>
                        <w:ind w:firstLine="709"/>
                        <w:jc w:val="both"/>
                        <w:rPr>
                          <w:rFonts w:eastAsia="Calibri"/>
                          <w:szCs w:val="24"/>
                        </w:rPr>
                      </w:pPr>
                      <w:sdt>
                        <w:sdtPr>
                          <w:alias w:val="Numeris"/>
                          <w:tag w:val="nr_af5c6a70e4274591af6cc4b820ab3f0f"/>
                          <w:lock w:val="sdtLocked"/>
                          <w:richText/>
                        </w:sdtPr>
                        <w:sdtContent>
                          <w:r>
                            <w:rPr>
                              <w:rFonts w:eastAsia="Calibri"/>
                              <w:szCs w:val="24"/>
                            </w:rPr>
                            <w:t>1.1.1</w:t>
                          </w:r>
                        </w:sdtContent>
                      </w:sdt>
                      <w:r>
                        <w:rPr>
                          <w:rFonts w:eastAsia="Calibri"/>
                          <w:szCs w:val="24"/>
                        </w:rPr>
                        <w:t xml:space="preserve">. pastoviąją dalį – </w:t>
                      </w:r>
                      <w:r>
                        <w:rPr>
                          <w:rFonts w:eastAsia="Calibri"/>
                          <w:color w:val="000000"/>
                          <w:szCs w:val="24"/>
                        </w:rPr>
                        <w:t>255 162 Eur</w:t>
                      </w:r>
                      <w:r>
                        <w:rPr>
                          <w:rFonts w:eastAsia="Calibri"/>
                          <w:szCs w:val="24"/>
                        </w:rPr>
                        <w:t>;</w:t>
                      </w:r>
                    </w:p>
                  </w:sdtContent>
                </w:sdt>
                <w:sdt>
                  <w:sdtPr>
                    <w:alias w:val="1.1.2 pp."/>
                    <w:tag w:val="part_2f4afb20841e497991ec78aadbe10573"/>
                    <w:lock w:val="sdtLocked"/>
                    <w:richText/>
                  </w:sdtPr>
                  <w:sdtContent>
                    <w:p>
                      <w:pPr>
                        <w:ind w:firstLine="709"/>
                        <w:jc w:val="both"/>
                        <w:rPr>
                          <w:szCs w:val="24"/>
                          <w:lang w:eastAsia="lt-LT"/>
                        </w:rPr>
                      </w:pPr>
                      <w:sdt>
                        <w:sdtPr>
                          <w:alias w:val="Numeris"/>
                          <w:tag w:val="nr_2f4afb20841e497991ec78aadbe10573"/>
                          <w:lock w:val="sdtLocked"/>
                          <w:richText/>
                        </w:sdtPr>
                        <w:sdtContent>
                          <w:r>
                            <w:rPr>
                              <w:szCs w:val="24"/>
                              <w:lang w:eastAsia="lt-LT"/>
                            </w:rPr>
                            <w:t>1.1.2</w:t>
                          </w:r>
                        </w:sdtContent>
                      </w:sdt>
                      <w:r>
                        <w:rPr>
                          <w:szCs w:val="24"/>
                          <w:lang w:eastAsia="lt-LT"/>
                        </w:rPr>
                        <w:t>. kintamąją dalį – R</w:t>
                      </w:r>
                      <w:r>
                        <w:rPr>
                          <w:szCs w:val="24"/>
                          <w:vertAlign w:val="subscript"/>
                          <w:lang w:eastAsia="lt-LT"/>
                        </w:rPr>
                        <w:t>H,KD</w:t>
                      </w:r>
                      <w:r>
                        <w:rPr>
                          <w:szCs w:val="24"/>
                          <w:lang w:eastAsia="lt-LT"/>
                        </w:rPr>
                        <w:t>.</w:t>
                      </w:r>
                    </w:p>
                  </w:sdtContent>
                </w:sdt>
              </w:sdtContent>
            </w:sdt>
          </w:sdtContent>
        </w:sdt>
        <w:sdt>
          <w:sdtPr>
            <w:alias w:val="2 p."/>
            <w:tag w:val="part_44c70878e3824e99ad0474f4f95517ed"/>
            <w:lock w:val="sdtLocked"/>
            <w:richText/>
          </w:sdtPr>
          <w:sdtContent>
            <w:p>
              <w:pPr>
                <w:tabs>
                  <w:tab w:val="left" w:pos="993"/>
                </w:tabs>
                <w:ind w:firstLine="709"/>
                <w:jc w:val="both"/>
                <w:rPr>
                  <w:szCs w:val="24"/>
                  <w:lang w:eastAsia="lt-LT"/>
                </w:rPr>
              </w:pPr>
              <w:sdt>
                <w:sdtPr>
                  <w:alias w:val="Numeris"/>
                  <w:tag w:val="nr_44c70878e3824e99ad0474f4f95517ed"/>
                  <w:lock w:val="sdtLocked"/>
                  <w:richText/>
                </w:sdtPr>
                <w:sdtContent>
                  <w:r>
                    <w:rPr>
                      <w:szCs w:val="24"/>
                      <w:lang w:eastAsia="lt-LT"/>
                    </w:rPr>
                    <w:t>2</w:t>
                  </w:r>
                </w:sdtContent>
              </w:sdt>
              <w:r>
                <w:rPr>
                  <w:szCs w:val="24"/>
                  <w:lang w:eastAsia="lt-LT"/>
                </w:rPr>
                <w:t>. Nustatyti dedamųjų R</w:t>
              </w:r>
              <w:r>
                <w:rPr>
                  <w:szCs w:val="24"/>
                  <w:vertAlign w:val="subscript"/>
                  <w:lang w:eastAsia="lt-LT"/>
                </w:rPr>
                <w:t>H,KD</w:t>
              </w:r>
              <w:r>
                <w:rPr>
                  <w:szCs w:val="24"/>
                  <w:lang w:eastAsia="lt-LT"/>
                </w:rPr>
                <w:t xml:space="preserve"> ir R</w:t>
              </w:r>
              <w:r>
                <w:rPr>
                  <w:szCs w:val="24"/>
                  <w:vertAlign w:val="subscript"/>
                  <w:lang w:eastAsia="lt-LT"/>
                </w:rPr>
                <w:t>H</w:t>
              </w:r>
              <w:r>
                <w:rPr>
                  <w:szCs w:val="24"/>
                  <w:lang w:eastAsia="lt-LT"/>
                </w:rPr>
                <w:t xml:space="preserve"> formules: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2992"/>
                <w:gridCol w:w="6108"/>
              </w:tblGrid>
              <w:tr>
                <w:trPr>
                  <w:trHeight w:val="458"/>
                  <w:tblHeader/>
                </w:trPr>
                <w:tc>
                  <w:tcPr>
                    <w:tcW w:w="274" w:type="pct"/>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r>
                      <w:rPr>
                        <w:sz w:val="22"/>
                        <w:szCs w:val="22"/>
                        <w:lang w:eastAsia="lt-LT"/>
                      </w:rPr>
                      <w:t>Eil. Nr.</w:t>
                    </w:r>
                  </w:p>
                </w:tc>
                <w:tc>
                  <w:tcPr>
                    <w:tcW w:w="1554" w:type="pct"/>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r>
                      <w:rPr>
                        <w:sz w:val="22"/>
                        <w:szCs w:val="22"/>
                        <w:lang w:eastAsia="lt-LT"/>
                      </w:rPr>
                      <w:t>Dedamoji</w:t>
                    </w:r>
                  </w:p>
                </w:tc>
                <w:tc>
                  <w:tcPr>
                    <w:tcW w:w="3171" w:type="pct"/>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r>
                      <w:rPr>
                        <w:sz w:val="22"/>
                        <w:szCs w:val="22"/>
                        <w:lang w:eastAsia="lt-LT"/>
                      </w:rPr>
                      <w:t>Formulė</w:t>
                    </w:r>
                  </w:p>
                </w:tc>
              </w:tr>
              <w:tr>
                <w:trPr>
                  <w:trHeight w:val="825"/>
                </w:trPr>
                <w:tc>
                  <w:tcPr>
                    <w:tcW w:w="274" w:type="pct"/>
                    <w:tcBorders>
                      <w:top w:val="single" w:sz="4" w:space="0" w:color="000000"/>
                      <w:left w:val="single" w:sz="4" w:space="0" w:color="000000"/>
                      <w:bottom w:val="single" w:sz="4" w:space="0" w:color="000000"/>
                      <w:right w:val="single" w:sz="4" w:space="0" w:color="000000"/>
                    </w:tcBorders>
                    <w:vAlign w:val="center"/>
                    <w:hideMark/>
                  </w:tcPr>
                  <w:p>
                    <w:pPr>
                      <w:jc w:val="center"/>
                      <w:rPr>
                        <w:rFonts w:eastAsia="Calibri"/>
                        <w:sz w:val="22"/>
                        <w:szCs w:val="22"/>
                      </w:rPr>
                    </w:pPr>
                    <w:r>
                      <w:rPr>
                        <w:rFonts w:eastAsia="Calibri"/>
                        <w:sz w:val="22"/>
                        <w:szCs w:val="22"/>
                      </w:rPr>
                      <w:t>1.</w:t>
                    </w:r>
                  </w:p>
                </w:tc>
                <w:tc>
                  <w:tcPr>
                    <w:tcW w:w="1554" w:type="pct"/>
                    <w:tcBorders>
                      <w:top w:val="single" w:sz="4" w:space="0" w:color="000000"/>
                      <w:left w:val="single" w:sz="4" w:space="0" w:color="000000"/>
                      <w:bottom w:val="single" w:sz="4" w:space="0" w:color="000000"/>
                      <w:right w:val="single" w:sz="4" w:space="0" w:color="000000"/>
                    </w:tcBorders>
                    <w:vAlign w:val="center"/>
                    <w:hideMark/>
                  </w:tcPr>
                  <w:p>
                    <w:pPr>
                      <w:rPr>
                        <w:sz w:val="22"/>
                        <w:szCs w:val="22"/>
                        <w:lang w:eastAsia="lt-LT"/>
                      </w:rPr>
                    </w:pPr>
                    <w:r>
                      <w:rPr>
                        <w:rFonts w:eastAsia="Calibri"/>
                        <w:sz w:val="22"/>
                        <w:szCs w:val="22"/>
                      </w:rPr>
                      <w:t xml:space="preserve">šilumos </w:t>
                    </w:r>
                    <w:r>
                      <w:rPr>
                        <w:sz w:val="22"/>
                        <w:szCs w:val="22"/>
                        <w:lang w:eastAsia="lt-LT"/>
                      </w:rPr>
                      <w:t xml:space="preserve">gamybos ir tiekimo </w:t>
                    </w:r>
                    <w:r>
                      <w:rPr>
                        <w:rFonts w:eastAsia="Calibri"/>
                        <w:sz w:val="22"/>
                        <w:szCs w:val="22"/>
                      </w:rPr>
                      <w:t>pajamų bazinio lyg</w:t>
                    </w:r>
                    <w:r>
                      <w:rPr>
                        <w:sz w:val="22"/>
                        <w:szCs w:val="22"/>
                        <w:lang w:eastAsia="lt-LT"/>
                      </w:rPr>
                      <w:t>io kintamoji dalis</w:t>
                    </w:r>
                  </w:p>
                </w:tc>
                <w:tc>
                  <w:tcPr>
                    <w:tcW w:w="3171" w:type="pct"/>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r>
                      <w:rPr>
                        <w:sz w:val="22"/>
                        <w:szCs w:val="22"/>
                        <w:lang w:eastAsia="lt-LT"/>
                      </w:rPr>
                      <w:t>R</w:t>
                    </w:r>
                    <w:r>
                      <w:rPr>
                        <w:sz w:val="22"/>
                        <w:szCs w:val="22"/>
                        <w:vertAlign w:val="subscript"/>
                        <w:lang w:eastAsia="lt-LT"/>
                      </w:rPr>
                      <w:t>H,KD</w:t>
                    </w:r>
                    <w:r>
                      <w:rPr>
                        <w:sz w:val="22"/>
                        <w:szCs w:val="22"/>
                        <w:lang w:eastAsia="lt-LT"/>
                      </w:rPr>
                      <w:t xml:space="preserve"> = 3 827</w:t>
                    </w:r>
                    <w:r>
                      <w:rPr>
                        <w:color w:val="000000"/>
                        <w:sz w:val="22"/>
                        <w:szCs w:val="22"/>
                        <w:lang w:eastAsia="lt-LT"/>
                      </w:rPr>
                      <w:t xml:space="preserve"> + (10 686 × p</w:t>
                    </w:r>
                    <w:r>
                      <w:rPr>
                        <w:color w:val="000000"/>
                        <w:sz w:val="22"/>
                        <w:szCs w:val="22"/>
                        <w:vertAlign w:val="subscript"/>
                        <w:lang w:eastAsia="lt-LT"/>
                      </w:rPr>
                      <w:t>F</w:t>
                    </w:r>
                    <w:r>
                      <w:rPr>
                        <w:color w:val="000000"/>
                        <w:sz w:val="22"/>
                        <w:szCs w:val="22"/>
                        <w:lang w:eastAsia="lt-LT"/>
                      </w:rPr>
                      <w:t xml:space="preserve"> + 199 631 × p</w:t>
                    </w:r>
                    <w:r>
                      <w:rPr>
                        <w:color w:val="000000"/>
                        <w:sz w:val="22"/>
                        <w:szCs w:val="22"/>
                        <w:vertAlign w:val="subscript"/>
                        <w:lang w:eastAsia="lt-LT"/>
                      </w:rPr>
                      <w:t>E</w:t>
                    </w:r>
                    <w:r>
                      <w:rPr>
                        <w:color w:val="000000"/>
                        <w:sz w:val="22"/>
                        <w:szCs w:val="22"/>
                        <w:lang w:eastAsia="lt-LT"/>
                      </w:rPr>
                      <w:t xml:space="preserve"> + 158 × p</w:t>
                    </w:r>
                    <w:r>
                      <w:rPr>
                        <w:color w:val="000000"/>
                        <w:sz w:val="22"/>
                        <w:szCs w:val="22"/>
                        <w:vertAlign w:val="subscript"/>
                        <w:lang w:eastAsia="lt-LT"/>
                      </w:rPr>
                      <w:t>W</w:t>
                    </w:r>
                    <w:r>
                      <w:rPr>
                        <w:color w:val="000000"/>
                        <w:sz w:val="22"/>
                        <w:szCs w:val="22"/>
                        <w:lang w:eastAsia="lt-LT"/>
                      </w:rPr>
                      <w:t xml:space="preserve">) / </w:t>
                      <w:br/>
                      <w:t>6 776 712 × Q</w:t>
                    </w:r>
                    <w:r>
                      <w:rPr>
                        <w:color w:val="000000"/>
                        <w:sz w:val="22"/>
                        <w:szCs w:val="22"/>
                        <w:vertAlign w:val="subscript"/>
                        <w:lang w:eastAsia="lt-LT"/>
                      </w:rPr>
                      <w:t>HR</w:t>
                    </w:r>
                  </w:p>
                </w:tc>
              </w:tr>
              <w:tr>
                <w:trPr>
                  <w:trHeight w:val="717"/>
                </w:trPr>
                <w:tc>
                  <w:tcPr>
                    <w:tcW w:w="274" w:type="pct"/>
                    <w:tcBorders>
                      <w:top w:val="single" w:sz="4" w:space="0" w:color="000000"/>
                      <w:left w:val="single" w:sz="4" w:space="0" w:color="000000"/>
                      <w:bottom w:val="single" w:sz="4" w:space="0" w:color="000000"/>
                      <w:right w:val="single" w:sz="4" w:space="0" w:color="000000"/>
                    </w:tcBorders>
                    <w:vAlign w:val="center"/>
                  </w:tcPr>
                  <w:p>
                    <w:pPr>
                      <w:jc w:val="center"/>
                      <w:rPr>
                        <w:rFonts w:eastAsia="Calibri"/>
                        <w:sz w:val="22"/>
                        <w:szCs w:val="22"/>
                      </w:rPr>
                    </w:pPr>
                    <w:r>
                      <w:rPr>
                        <w:rFonts w:eastAsia="Calibri"/>
                        <w:sz w:val="22"/>
                        <w:szCs w:val="22"/>
                      </w:rPr>
                      <w:t>2.</w:t>
                    </w:r>
                  </w:p>
                </w:tc>
                <w:tc>
                  <w:tcPr>
                    <w:tcW w:w="1554" w:type="pct"/>
                    <w:tcBorders>
                      <w:top w:val="single" w:sz="4" w:space="0" w:color="000000"/>
                      <w:left w:val="single" w:sz="4" w:space="0" w:color="000000"/>
                      <w:bottom w:val="single" w:sz="4" w:space="0" w:color="000000"/>
                      <w:right w:val="single" w:sz="4" w:space="0" w:color="000000"/>
                    </w:tcBorders>
                    <w:vAlign w:val="center"/>
                  </w:tcPr>
                  <w:p>
                    <w:pPr>
                      <w:rPr>
                        <w:rFonts w:eastAsia="Calibri"/>
                        <w:sz w:val="22"/>
                        <w:szCs w:val="22"/>
                      </w:rPr>
                    </w:pPr>
                    <w:r>
                      <w:rPr>
                        <w:rFonts w:eastAsia="Calibri"/>
                        <w:sz w:val="22"/>
                        <w:szCs w:val="22"/>
                      </w:rPr>
                      <w:t xml:space="preserve">šilumos </w:t>
                    </w:r>
                    <w:r>
                      <w:rPr>
                        <w:sz w:val="22"/>
                        <w:szCs w:val="22"/>
                        <w:lang w:eastAsia="lt-LT"/>
                      </w:rPr>
                      <w:t xml:space="preserve">gamybos ir tiekimo </w:t>
                    </w:r>
                    <w:r>
                      <w:rPr>
                        <w:rFonts w:eastAsia="Calibri"/>
                        <w:sz w:val="22"/>
                        <w:szCs w:val="22"/>
                      </w:rPr>
                      <w:t>pajamų bazinis lygis</w:t>
                    </w:r>
                  </w:p>
                </w:tc>
                <w:tc>
                  <w:tcPr>
                    <w:tcW w:w="3171" w:type="pct"/>
                    <w:tcBorders>
                      <w:top w:val="single" w:sz="4" w:space="0" w:color="000000"/>
                      <w:left w:val="single" w:sz="4" w:space="0" w:color="000000"/>
                      <w:bottom w:val="single" w:sz="4" w:space="0" w:color="000000"/>
                      <w:right w:val="single" w:sz="4" w:space="0" w:color="000000"/>
                    </w:tcBorders>
                    <w:vAlign w:val="center"/>
                  </w:tcPr>
                  <w:p>
                    <w:pPr>
                      <w:jc w:val="center"/>
                      <w:rPr>
                        <w:sz w:val="22"/>
                        <w:szCs w:val="22"/>
                        <w:lang w:eastAsia="lt-LT"/>
                      </w:rPr>
                    </w:pPr>
                    <w:r>
                      <w:rPr>
                        <w:sz w:val="22"/>
                        <w:szCs w:val="22"/>
                        <w:lang w:eastAsia="lt-LT"/>
                      </w:rPr>
                      <w:t>R</w:t>
                    </w:r>
                    <w:r>
                      <w:rPr>
                        <w:sz w:val="22"/>
                        <w:szCs w:val="22"/>
                        <w:vertAlign w:val="subscript"/>
                        <w:lang w:eastAsia="lt-LT"/>
                      </w:rPr>
                      <w:t>H</w:t>
                    </w:r>
                    <w:r>
                      <w:rPr>
                        <w:sz w:val="22"/>
                        <w:szCs w:val="22"/>
                        <w:lang w:eastAsia="lt-LT"/>
                      </w:rPr>
                      <w:t xml:space="preserve"> = 255 162</w:t>
                    </w:r>
                    <w:r>
                      <w:rPr>
                        <w:rFonts w:eastAsia="Calibri"/>
                        <w:sz w:val="22"/>
                        <w:szCs w:val="22"/>
                      </w:rPr>
                      <w:t xml:space="preserve"> + R</w:t>
                    </w:r>
                    <w:r>
                      <w:rPr>
                        <w:rFonts w:eastAsia="Calibri"/>
                        <w:sz w:val="22"/>
                        <w:szCs w:val="22"/>
                        <w:vertAlign w:val="subscript"/>
                      </w:rPr>
                      <w:t>H,KD</w:t>
                    </w:r>
                  </w:p>
                </w:tc>
              </w:tr>
            </w:tbl>
            <w:p>
              <w:pPr>
                <w:jc w:val="both"/>
                <w:rPr>
                  <w:rFonts w:eastAsia="Calibri"/>
                  <w:i/>
                  <w:sz w:val="20"/>
                </w:rPr>
              </w:pPr>
              <w:r>
                <w:rPr>
                  <w:rFonts w:eastAsia="Calibri"/>
                  <w:i/>
                  <w:sz w:val="20"/>
                </w:rPr>
                <w:t>čia:</w:t>
              </w:r>
            </w:p>
            <w:p>
              <w:pPr>
                <w:tabs>
                  <w:tab w:val="left" w:pos="1134"/>
                </w:tabs>
                <w:rPr>
                  <w:rFonts w:eastAsia="Calibri"/>
                  <w:sz w:val="20"/>
                </w:rPr>
              </w:pPr>
              <w:r>
                <w:rPr>
                  <w:sz w:val="20"/>
                </w:rPr>
                <w:t>p</w:t>
              </w:r>
              <w:r>
                <w:rPr>
                  <w:sz w:val="20"/>
                  <w:vertAlign w:val="subscript"/>
                </w:rPr>
                <w:t xml:space="preserve">F </w:t>
              </w:r>
              <w:r>
                <w:rPr>
                  <w:rFonts w:eastAsia="Calibri"/>
                  <w:sz w:val="20"/>
                </w:rPr>
                <w:t>– vidutinė svertinė kuro kaina, apskaičiuota pagal kuro žemutinę šiluminę vertę, Eur/MWh;</w:t>
              </w:r>
            </w:p>
            <w:p>
              <w:pPr>
                <w:tabs>
                  <w:tab w:val="left" w:pos="1134"/>
                </w:tabs>
                <w:rPr>
                  <w:rFonts w:eastAsia="Calibri"/>
                  <w:sz w:val="20"/>
                </w:rPr>
              </w:pPr>
              <w:r>
                <w:rPr>
                  <w:sz w:val="20"/>
                </w:rPr>
                <w:t>p</w:t>
              </w:r>
              <w:r>
                <w:rPr>
                  <w:sz w:val="20"/>
                  <w:vertAlign w:val="subscript"/>
                </w:rPr>
                <w:t xml:space="preserve">E </w:t>
              </w:r>
              <w:r>
                <w:rPr>
                  <w:rFonts w:eastAsia="Calibri"/>
                  <w:sz w:val="20"/>
                </w:rPr>
                <w:t>– elektros energijos kaina, Eur/kWh;</w:t>
              </w:r>
            </w:p>
            <w:p>
              <w:pPr>
                <w:tabs>
                  <w:tab w:val="left" w:pos="1134"/>
                </w:tabs>
                <w:rPr>
                  <w:rFonts w:eastAsia="Calibri"/>
                  <w:sz w:val="20"/>
                </w:rPr>
              </w:pPr>
              <w:r>
                <w:rPr>
                  <w:sz w:val="20"/>
                </w:rPr>
                <w:t>p</w:t>
              </w:r>
              <w:r>
                <w:rPr>
                  <w:sz w:val="20"/>
                  <w:vertAlign w:val="subscript"/>
                </w:rPr>
                <w:t xml:space="preserve">W </w:t>
              </w:r>
              <w:r>
                <w:rPr>
                  <w:rFonts w:eastAsia="Calibri"/>
                  <w:sz w:val="20"/>
                </w:rPr>
                <w:t>– vandens kaina, Eur/m</w:t>
              </w:r>
              <w:r>
                <w:rPr>
                  <w:rFonts w:eastAsia="Calibri"/>
                  <w:sz w:val="20"/>
                  <w:vertAlign w:val="superscript"/>
                </w:rPr>
                <w:t>3</w:t>
              </w:r>
              <w:r>
                <w:rPr>
                  <w:rFonts w:eastAsia="Calibri"/>
                  <w:sz w:val="20"/>
                </w:rPr>
                <w:t>;</w:t>
              </w:r>
            </w:p>
            <w:p>
              <w:pPr>
                <w:tabs>
                  <w:tab w:val="left" w:pos="993"/>
                </w:tabs>
                <w:jc w:val="both"/>
                <w:rPr>
                  <w:rFonts w:eastAsia="Calibri"/>
                  <w:sz w:val="20"/>
                </w:rPr>
              </w:pPr>
              <w:r>
                <w:rPr>
                  <w:sz w:val="20"/>
                </w:rPr>
                <w:t>Q</w:t>
              </w:r>
              <w:r>
                <w:rPr>
                  <w:sz w:val="20"/>
                  <w:vertAlign w:val="subscript"/>
                </w:rPr>
                <w:t xml:space="preserve">HR </w:t>
              </w:r>
              <w:r>
                <w:rPr>
                  <w:rFonts w:eastAsia="Calibri"/>
                  <w:sz w:val="20"/>
                </w:rPr>
                <w:t>– realizuotos šilumos kiekis, kWh.</w:t>
              </w:r>
            </w:p>
            <w:p>
              <w:pPr>
                <w:tabs>
                  <w:tab w:val="left" w:pos="993"/>
                </w:tabs>
                <w:ind w:firstLine="567"/>
                <w:jc w:val="both"/>
                <w:rPr>
                  <w:lang w:eastAsia="lt-LT"/>
                </w:rPr>
              </w:pPr>
            </w:p>
            <w:p>
              <w:pPr>
                <w:tabs>
                  <w:tab w:val="left" w:pos="1134"/>
                </w:tabs>
                <w:spacing w:line="276" w:lineRule="auto"/>
                <w:ind w:firstLine="567"/>
                <w:jc w:val="both"/>
                <w:rPr>
                  <w:sz w:val="20"/>
                  <w:szCs w:val="22"/>
                </w:rPr>
              </w:pPr>
            </w:p>
            <w:p>
              <w:pPr>
                <w:jc w:val="both"/>
              </w:pPr>
            </w:p>
            <w:p>
              <w:pPr>
                <w:tabs>
                  <w:tab w:val="right" w:pos="9570"/>
                </w:tabs>
                <w:jc w:val="both"/>
              </w:pPr>
              <w:r>
                <w:t xml:space="preserve">Savivaldybės meras </w:t>
                <w:tab/>
              </w: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p>
          </w:sdtContent>
        </w:sdt>
        <w:sdt>
          <w:sdtPr>
            <w:alias w:val="skirsnis"/>
            <w:tag w:val="part_6bddc841b46445c6a5c0e624c4caec67"/>
            <w:lock w:val="sdtLocked"/>
            <w:richText/>
          </w:sdtPr>
          <w:sdtContent>
            <w:sdt>
              <w:sdtPr>
                <w:alias w:val="Pavadinimas"/>
                <w:tag w:val="title_6bddc841b46445c6a5c0e624c4caec67"/>
                <w:lock w:val="sdtLocked"/>
                <w:richText/>
              </w:sdtPr>
              <w:sdtContent>
                <w:p>
                  <w:pPr>
                    <w:tabs>
                      <w:tab w:val="left" w:pos="993"/>
                    </w:tabs>
                    <w:jc w:val="center"/>
                    <w:rPr>
                      <w:b/>
                      <w:szCs w:val="24"/>
                    </w:rPr>
                  </w:pPr>
                  <w:r>
                    <w:rPr>
                      <w:b/>
                      <w:szCs w:val="24"/>
                    </w:rPr>
                    <w:t xml:space="preserve">RADVILIŠKIO RAJONO SAVIVALDYBĖS  TARYBOS SPRENDIMO PROJEKTO </w:t>
                  </w:r>
                </w:p>
                <w:p>
                  <w:pPr>
                    <w:jc w:val="center"/>
                    <w:rPr>
                      <w:b/>
                      <w:caps/>
                      <w:lang w:eastAsia="lt-LT"/>
                    </w:rPr>
                  </w:pPr>
                  <w:r>
                    <w:rPr>
                      <w:b/>
                    </w:rPr>
                    <w:t>„</w:t>
                  </w:r>
                  <w:r>
                    <w:rPr>
                      <w:b/>
                      <w:caps/>
                      <w:lang w:eastAsia="lt-LT"/>
                    </w:rPr>
                    <w:t xml:space="preserve">dėl UŽDAROSIOS AKCINĖS BENDROVĖS „Baisogalos bioenergija“ KOREGUOTO šilumos GAMYBOS IR TIEKIMO PAJAMŲ bazinIO LYGIO TRETIESIEMS ŠILUMOS GAMYBOS IR TIEKIMO PAJAMŲ BAZINIO LYGIO GALIOJIMO METAMS NUSTATYMO </w:t>
                  </w:r>
                  <w:r>
                    <w:rPr>
                      <w:b/>
                    </w:rPr>
                    <w:t xml:space="preserve">“ </w:t>
                  </w:r>
                </w:p>
                <w:p>
                  <w:pPr>
                    <w:jc w:val="center"/>
                    <w:rPr>
                      <w:b/>
                    </w:rPr>
                  </w:pPr>
                  <w:r>
                    <w:rPr>
                      <w:b/>
                    </w:rPr>
                    <w:t>AIŠKINAMASIS RAŠTAS</w:t>
                  </w:r>
                </w:p>
              </w:sdtContent>
            </w:sdt>
            <w:p>
              <w:pPr>
                <w:jc w:val="center"/>
              </w:pPr>
            </w:p>
            <w:p>
              <w:pPr>
                <w:jc w:val="center"/>
              </w:pPr>
              <w:r>
                <w:t>2025 m. lapkričio 10 d.</w:t>
              </w:r>
            </w:p>
            <w:p>
              <w:pPr>
                <w:jc w:val="center"/>
              </w:pPr>
              <w:r>
                <w:t>Radviliškis</w:t>
              </w:r>
            </w:p>
            <w:p>
              <w:pPr>
                <w:jc w:val="center"/>
              </w:pPr>
            </w:p>
            <w:sdt>
              <w:sdtPr>
                <w:alias w:val="1 p."/>
                <w:tag w:val="part_8c934181380441288786304a58e14d8e"/>
                <w:lock w:val="sdtLocked"/>
                <w:richText/>
              </w:sdtPr>
              <w:sdtContent>
                <w:p>
                  <w:pPr>
                    <w:tabs>
                      <w:tab w:val="left" w:pos="855"/>
                      <w:tab w:val="left" w:pos="1134"/>
                    </w:tabs>
                    <w:suppressAutoHyphens/>
                    <w:ind w:firstLine="709"/>
                    <w:jc w:val="both"/>
                    <w:rPr>
                      <w:szCs w:val="24"/>
                      <w:shd w:val="clear" w:color="auto" w:fill="FFFFFF"/>
                    </w:rPr>
                  </w:pPr>
                  <w:sdt>
                    <w:sdtPr>
                      <w:alias w:val="Numeris"/>
                      <w:tag w:val="nr_8c934181380441288786304a58e14d8e"/>
                      <w:lock w:val="sdtLocked"/>
                      <w:richText/>
                    </w:sdtPr>
                    <w:sdtContent>
                      <w:r>
                        <w:rPr>
                          <w:b/>
                          <w:szCs w:val="24"/>
                        </w:rPr>
                        <w:t>1</w:t>
                      </w:r>
                    </w:sdtContent>
                  </w:sdt>
                  <w:r>
                    <w:rPr>
                      <w:b/>
                      <w:szCs w:val="24"/>
                    </w:rPr>
                    <w:t>.</w:t>
                    <w:tab/>
                  </w:r>
                  <w:r>
                    <w:rPr>
                      <w:b/>
                      <w:szCs w:val="24"/>
                      <w:lang w:bidi="he-IL"/>
                    </w:rPr>
                    <w:t>Projekto rengimą paskatinusios priežastys, parengto sprendimo projekto tikslai ir uždaviniai</w:t>
                  </w:r>
                  <w:r>
                    <w:rPr>
                      <w:b/>
                      <w:szCs w:val="24"/>
                    </w:rPr>
                    <w:t>.</w:t>
                  </w:r>
                </w:p>
                <w:p>
                  <w:pPr>
                    <w:ind w:firstLine="709"/>
                    <w:jc w:val="both"/>
                    <w:rPr>
                      <w:color w:val="EE0000"/>
                      <w:szCs w:val="24"/>
                    </w:rPr>
                  </w:pPr>
                  <w:r>
                    <w:rPr>
                      <w:szCs w:val="24"/>
                      <w:lang w:eastAsia="lt-LT"/>
                    </w:rPr>
                    <w:t>Sprendimo projekto tikslas – nustatyti šilumos tiekėjui UAB „Baisogalos bioenergija”, realizuojančiam mažiau kaip 10 GWh šilumos per metus, koreguotą šilumos gamybos ir tiekimo pajamų bazinį lygį, tretiesiems šilumos gamybos ir tiekimo pajamų lygio galiojimo metams</w:t>
                  </w:r>
                </w:p>
              </w:sdtContent>
            </w:sdt>
            <w:sdt>
              <w:sdtPr>
                <w:alias w:val="2 p."/>
                <w:tag w:val="part_5c6f557fb3f049dfa8c6f31cf9862949"/>
                <w:lock w:val="sdtLocked"/>
                <w:richText/>
              </w:sdtPr>
              <w:sdtContent>
                <w:p>
                  <w:pPr>
                    <w:tabs>
                      <w:tab w:val="left" w:pos="851"/>
                      <w:tab w:val="left" w:pos="993"/>
                    </w:tabs>
                    <w:suppressAutoHyphens/>
                    <w:ind w:firstLine="709"/>
                    <w:jc w:val="both"/>
                    <w:rPr>
                      <w:szCs w:val="24"/>
                    </w:rPr>
                  </w:pPr>
                  <w:sdt>
                    <w:sdtPr>
                      <w:alias w:val="Numeris"/>
                      <w:tag w:val="nr_5c6f557fb3f049dfa8c6f31cf9862949"/>
                      <w:lock w:val="sdtLocked"/>
                      <w:richText/>
                    </w:sdtPr>
                    <w:sdtContent>
                      <w:r>
                        <w:rPr>
                          <w:b/>
                          <w:szCs w:val="24"/>
                        </w:rPr>
                        <w:t>2</w:t>
                      </w:r>
                    </w:sdtContent>
                  </w:sdt>
                  <w:r>
                    <w:rPr>
                      <w:b/>
                      <w:szCs w:val="24"/>
                    </w:rPr>
                    <w:t>.</w:t>
                    <w:tab/>
                  </w:r>
                  <w:r>
                    <w:rPr>
                      <w:b/>
                      <w:bCs/>
                      <w:szCs w:val="24"/>
                    </w:rPr>
                    <w:t>Projekto iniciatoriai (institucija, asmenys ar piliečių atstovai) ir rengėjai.</w:t>
                  </w:r>
                </w:p>
                <w:p>
                  <w:pPr>
                    <w:tabs>
                      <w:tab w:val="left" w:pos="851"/>
                    </w:tabs>
                    <w:suppressAutoHyphens/>
                    <w:ind w:firstLine="709"/>
                    <w:jc w:val="both"/>
                    <w:rPr>
                      <w:szCs w:val="24"/>
                    </w:rPr>
                  </w:pPr>
                  <w:r>
                    <w:rPr>
                      <w:szCs w:val="24"/>
                    </w:rPr>
                    <w:t>Projekto iniciatorius – UAB „Baisogalos bioenergija“, rengėjas – Radviliškio rajono savivaldybės administracijos Investicijų ir turto valdymo skyrius.</w:t>
                  </w:r>
                </w:p>
              </w:sdtContent>
            </w:sdt>
            <w:sdt>
              <w:sdtPr>
                <w:alias w:val="3 p."/>
                <w:tag w:val="part_ad38d2decc014a92ae90862fc82b1399"/>
                <w:lock w:val="sdtLocked"/>
                <w:richText/>
              </w:sdtPr>
              <w:sdtContent>
                <w:p>
                  <w:pPr>
                    <w:tabs>
                      <w:tab w:val="left" w:pos="851"/>
                      <w:tab w:val="left" w:pos="993"/>
                    </w:tabs>
                    <w:suppressAutoHyphens/>
                    <w:ind w:firstLine="709"/>
                    <w:jc w:val="both"/>
                    <w:rPr>
                      <w:szCs w:val="24"/>
                    </w:rPr>
                  </w:pPr>
                  <w:sdt>
                    <w:sdtPr>
                      <w:alias w:val="Numeris"/>
                      <w:tag w:val="nr_ad38d2decc014a92ae90862fc82b1399"/>
                      <w:lock w:val="sdtLocked"/>
                      <w:richText/>
                    </w:sdtPr>
                    <w:sdtContent>
                      <w:r>
                        <w:rPr>
                          <w:b/>
                          <w:szCs w:val="24"/>
                        </w:rPr>
                        <w:t>3</w:t>
                      </w:r>
                    </w:sdtContent>
                  </w:sdt>
                  <w:r>
                    <w:rPr>
                      <w:b/>
                      <w:szCs w:val="24"/>
                    </w:rPr>
                    <w:t>.</w:t>
                    <w:tab/>
                    <w:t>Kaip šiuo metu yra reguliuojami sprendimo projekte aptarti teisiniai santykiai.</w:t>
                  </w:r>
                </w:p>
                <w:p>
                  <w:pPr>
                    <w:ind w:firstLine="709"/>
                    <w:jc w:val="both"/>
                    <w:rPr>
                      <w:szCs w:val="24"/>
                    </w:rPr>
                  </w:pPr>
                  <w:r>
                    <w:rPr>
                      <w:szCs w:val="24"/>
                    </w:rPr>
                    <w:t>Tarybos sprendimo projektas parengtas vadovaujantis:</w:t>
                  </w:r>
                </w:p>
                <w:p>
                  <w:pPr>
                    <w:tabs>
                      <w:tab w:val="left" w:pos="993"/>
                    </w:tabs>
                    <w:ind w:firstLine="709"/>
                    <w:jc w:val="both"/>
                    <w:rPr>
                      <w:szCs w:val="24"/>
                    </w:rPr>
                  </w:pPr>
                  <w:r>
                    <w:rPr>
                      <w:rFonts w:ascii="Symbol" w:hAnsi="Symbol"/>
                      <w:szCs w:val="24"/>
                    </w:rPr>
                    <w:t></w:t>
                    <w:tab/>
                  </w:r>
                  <w:r>
                    <w:rPr>
                      <w:szCs w:val="24"/>
                    </w:rPr>
                    <w:t xml:space="preserve"> Lietuvos Respublikos vietos savivaldos įstatymo 15 straipsnio 4 dalies nuostatomis, kurios numato, kad jeigu teisės aktuose yra nustatyta papildomų įgaliojimų savivaldybei, sprendimų dėl tokių įgaliojimų vykdymo priėmimo iniciatyva, neperžengiant nustatytų įgaliojimų, priklauso savivaldybės tarybai; </w:t>
                  </w:r>
                </w:p>
                <w:p>
                  <w:pPr>
                    <w:tabs>
                      <w:tab w:val="left" w:pos="993"/>
                    </w:tabs>
                    <w:ind w:firstLine="709"/>
                    <w:jc w:val="both"/>
                    <w:rPr>
                      <w:szCs w:val="24"/>
                    </w:rPr>
                  </w:pPr>
                  <w:r>
                    <w:rPr>
                      <w:rFonts w:ascii="Symbol" w:hAnsi="Symbol"/>
                      <w:szCs w:val="24"/>
                    </w:rPr>
                    <w:t></w:t>
                    <w:tab/>
                  </w:r>
                  <w:r>
                    <w:rPr>
                      <w:szCs w:val="24"/>
                    </w:rPr>
                    <w:t xml:space="preserve"> Lietuvos Respublikos šilumos ūkio įstatymo 32 straipsnio 8 dalies 2 punktu, kuris numato, kad šilumos tiekėjams, realizuojantiems mažiau kaip 10 GWh šilumos per metus, vadovaujantis Šilumos kainų nustatymo metodika savivaldybių tarybos nustato šilumos pajamų bazinį lygį ir kiekvienais metais koreguojamus šilumos pajamų metinius lygius;</w:t>
                  </w:r>
                </w:p>
                <w:p>
                  <w:pPr>
                    <w:tabs>
                      <w:tab w:val="left" w:pos="993"/>
                    </w:tabs>
                    <w:ind w:firstLine="709"/>
                    <w:jc w:val="both"/>
                    <w:rPr>
                      <w:szCs w:val="24"/>
                    </w:rPr>
                  </w:pPr>
                  <w:r>
                    <w:rPr>
                      <w:rFonts w:ascii="Symbol" w:hAnsi="Symbol"/>
                      <w:szCs w:val="24"/>
                    </w:rPr>
                    <w:t></w:t>
                    <w:tab/>
                  </w:r>
                  <w:r>
                    <w:rPr>
                      <w:szCs w:val="24"/>
                    </w:rPr>
                    <w:t xml:space="preserve"> Šilumos kainų nustatymo metodikoje numatoma, kad šilumos tiekėjas, vadovaudamasis šia metodika, ne vėliau kaip likus 3 mėnesiams iki einamojo pajamų lygio galiojimo metų pabaigos parengia ir pateikia atitinkamos savivaldybės institucijai koreguoto pajamų lygio projektą, o atitinkamos savivaldybės taryba, vadovaudamasi metodikos 59.2 papunkčiu, koreguotą pajamų lygį nustato per 30 kalendorinių dienų.</w:t>
                  </w:r>
                </w:p>
              </w:sdtContent>
            </w:sdt>
            <w:sdt>
              <w:sdtPr>
                <w:alias w:val="4 p."/>
                <w:tag w:val="part_9d0d42f885024c398a92d4352c079709"/>
                <w:lock w:val="sdtLocked"/>
                <w:richText/>
              </w:sdtPr>
              <w:sdtContent>
                <w:p>
                  <w:pPr>
                    <w:tabs>
                      <w:tab w:val="left" w:pos="855"/>
                    </w:tabs>
                    <w:ind w:firstLine="709"/>
                    <w:jc w:val="both"/>
                    <w:rPr>
                      <w:b/>
                      <w:bCs/>
                      <w:szCs w:val="24"/>
                    </w:rPr>
                  </w:pPr>
                  <w:sdt>
                    <w:sdtPr>
                      <w:alias w:val="Numeris"/>
                      <w:tag w:val="nr_9d0d42f885024c398a92d4352c079709"/>
                      <w:lock w:val="sdtLocked"/>
                      <w:richText/>
                    </w:sdtPr>
                    <w:sdtContent>
                      <w:r>
                        <w:rPr>
                          <w:b/>
                          <w:bCs/>
                          <w:szCs w:val="24"/>
                        </w:rPr>
                        <w:t>4</w:t>
                      </w:r>
                    </w:sdtContent>
                  </w:sdt>
                  <w:r>
                    <w:rPr>
                      <w:b/>
                      <w:bCs/>
                      <w:szCs w:val="24"/>
                    </w:rPr>
                    <w:t>.</w:t>
                  </w:r>
                  <w:r>
                    <w:rPr>
                      <w:szCs w:val="24"/>
                    </w:rPr>
                    <w:t xml:space="preserve"> </w:t>
                  </w:r>
                  <w:r>
                    <w:rPr>
                      <w:b/>
                      <w:bCs/>
                      <w:szCs w:val="24"/>
                    </w:rPr>
                    <w:t>Kokios siūlomos naujos teisinio reguliavimo nuostatos, kokių teigiamų rezultatų laukiama.</w:t>
                  </w:r>
                </w:p>
                <w:p>
                  <w:pPr>
                    <w:tabs>
                      <w:tab w:val="left" w:pos="709"/>
                      <w:tab w:val="left" w:pos="1134"/>
                    </w:tabs>
                    <w:ind w:firstLine="709"/>
                    <w:jc w:val="both"/>
                    <w:rPr>
                      <w:szCs w:val="24"/>
                      <w:shd w:val="clear" w:color="auto" w:fill="FFFFFF"/>
                    </w:rPr>
                  </w:pPr>
                  <w:r>
                    <w:rPr>
                      <w:szCs w:val="24"/>
                      <w:shd w:val="clear" w:color="auto" w:fill="FFFFFF"/>
                    </w:rPr>
                    <w:t xml:space="preserve">Nuo 2023 m. spalio 1 d. </w:t>
                  </w:r>
                  <w:r>
                    <w:rPr>
                      <w:szCs w:val="24"/>
                      <w:lang w:eastAsia="lt-LT"/>
                    </w:rPr>
                    <w:t>pasikeitus Lietuvos Respublikos šilumos ūkio įstatymui ir Šilumos kainų nustatymo metodikai</w:t>
                  </w:r>
                  <w:r>
                    <w:rPr>
                      <w:szCs w:val="24"/>
                      <w:shd w:val="clear" w:color="auto" w:fill="FFFFFF"/>
                    </w:rPr>
                    <w:t xml:space="preserve"> Savivaldybių tarybos </w:t>
                  </w:r>
                  <w:r>
                    <w:rPr>
                      <w:szCs w:val="24"/>
                    </w:rPr>
                    <w:t>nustato ne bazines ir perskaičiuotas šilumos kainas, o šilumos pajamų bazinį lygį ir kiekvienais metais koreguojamus šilumos pajamų metinius lygius šilumos tiekėjui, realizuojančiam mažiau kaip 10 GWh šilumos per metus.</w:t>
                  </w:r>
                  <w:r>
                    <w:rPr>
                      <w:szCs w:val="24"/>
                      <w:shd w:val="clear" w:color="auto" w:fill="FFFFFF"/>
                    </w:rPr>
                    <w:t xml:space="preserve"> </w:t>
                  </w:r>
                </w:p>
                <w:p>
                  <w:pPr>
                    <w:tabs>
                      <w:tab w:val="left" w:pos="709"/>
                      <w:tab w:val="left" w:pos="1134"/>
                    </w:tabs>
                    <w:ind w:firstLine="709"/>
                    <w:jc w:val="both"/>
                    <w:rPr>
                      <w:szCs w:val="24"/>
                      <w:shd w:val="clear" w:color="auto" w:fill="FFFFFF"/>
                    </w:rPr>
                  </w:pPr>
                  <w:r>
                    <w:rPr>
                      <w:szCs w:val="24"/>
                      <w:shd w:val="clear" w:color="auto" w:fill="FFFFFF"/>
                    </w:rPr>
                    <w:t xml:space="preserve">2023 m. lapkričio 16 d. Radviliškio rajono savivaldybės tarybos sprendimu Nr. T-173 nustatytas </w:t>
                  </w:r>
                  <w:r>
                    <w:rPr>
                      <w:szCs w:val="24"/>
                      <w:lang w:eastAsia="lt-LT"/>
                    </w:rPr>
                    <w:t>UAB „Baisogalos bioenergija“ šilumos gamybos ir tiekimo pajamų bazinis lygis ir šilumos gamybos ir tiekimo pajamų metinis lygis pirmiesiems šilumos gamybos ir tiekimo pajamų bazinio lygio galiojimo metams.</w:t>
                  </w:r>
                  <w:r>
                    <w:rPr>
                      <w:szCs w:val="24"/>
                      <w:shd w:val="clear" w:color="auto" w:fill="FFFFFF"/>
                    </w:rPr>
                    <w:t xml:space="preserve"> Baigiantis įmonei nustatytos </w:t>
                  </w:r>
                  <w:r>
                    <w:rPr>
                      <w:szCs w:val="24"/>
                      <w:lang w:eastAsia="lt-LT"/>
                    </w:rPr>
                    <w:t>šilumos gamybos ir tiekimo pajamų metinio lygio galiojimo terminui, įmonė kreipėsi su prašymu nustatyti koreguotą šilumos gamybos ir tiekimo pajamų bazinį lygį antriesiems šilumos gamybos ir tiekimo pajamų bazinio lygio galiojimo metams.</w:t>
                  </w:r>
                </w:p>
                <w:p>
                  <w:pPr>
                    <w:tabs>
                      <w:tab w:val="left" w:pos="709"/>
                      <w:tab w:val="left" w:pos="1134"/>
                    </w:tabs>
                    <w:ind w:firstLine="709"/>
                    <w:jc w:val="both"/>
                    <w:rPr>
                      <w:szCs w:val="24"/>
                      <w:shd w:val="clear" w:color="auto" w:fill="FFFFFF"/>
                    </w:rPr>
                  </w:pPr>
                  <w:r>
                    <w:rPr>
                      <w:szCs w:val="24"/>
                      <w:shd w:val="clear" w:color="auto" w:fill="FFFFFF"/>
                    </w:rPr>
                    <w:t xml:space="preserve">2024 m. gruodžio 19 d. Radviliškio rajono savivaldybės tarybos sprendimu Nr. T-535 nustatytas </w:t>
                  </w:r>
                  <w:r>
                    <w:rPr>
                      <w:szCs w:val="24"/>
                      <w:lang w:eastAsia="lt-LT"/>
                    </w:rPr>
                    <w:t>UAB „Baisogalos bioenergija“ šilumos gamybos ir tiekimo pajamų bazinis lygis ir šilumos gamybos ir tiekimo pajamų metinis lygis antriesiems šilumos gamybos ir tiekimo pajamų bazinio lygio galiojimo metams.</w:t>
                  </w:r>
                  <w:r>
                    <w:rPr>
                      <w:szCs w:val="24"/>
                      <w:shd w:val="clear" w:color="auto" w:fill="FFFFFF"/>
                    </w:rPr>
                    <w:t xml:space="preserve"> Baigiantis įmonei nustatytos </w:t>
                  </w:r>
                  <w:r>
                    <w:rPr>
                      <w:szCs w:val="24"/>
                      <w:lang w:eastAsia="lt-LT"/>
                    </w:rPr>
                    <w:t>šilumos gamybos ir tiekimo pajamų metinio lygio galiojimo terminui, įmonė kreipėsi su prašymu nustatyti koreguotą šilumos gamybos ir tiekimo pajamų bazinį lygį tretiesiems šilumos gamybos ir tiekimo pajamų bazinio lygio galiojimo metams.</w:t>
                  </w:r>
                </w:p>
                <w:p>
                  <w:pPr>
                    <w:tabs>
                      <w:tab w:val="left" w:pos="709"/>
                      <w:tab w:val="left" w:pos="1134"/>
                    </w:tabs>
                    <w:ind w:firstLine="709"/>
                    <w:jc w:val="both"/>
                    <w:rPr>
                      <w:szCs w:val="24"/>
                      <w:shd w:val="clear" w:color="auto" w:fill="FFFFFF"/>
                    </w:rPr>
                  </w:pPr>
                  <w:r>
                    <w:rPr>
                      <w:szCs w:val="24"/>
                      <w:shd w:val="clear" w:color="auto" w:fill="FFFFFF"/>
                    </w:rPr>
                    <w:t>Vadovaudamasi Šilumos ūkio įstatymo bei Šilumos kainų nustatymo metodikos nuostatomis, UAB „Baisogalos bioenergija“ pateikė perskaičiuotos kainos dedamųjų projektą</w:t>
                  </w:r>
                  <w:r>
                    <w:rPr>
                      <w:szCs w:val="24"/>
                    </w:rPr>
                    <w:t xml:space="preserve"> bei perskaičiuoto šilumos pajamų bazinio lygio projektą tretiesiems metams. </w:t>
                  </w:r>
                </w:p>
                <w:p>
                  <w:pPr>
                    <w:tabs>
                      <w:tab w:val="left" w:pos="709"/>
                      <w:tab w:val="left" w:pos="1134"/>
                    </w:tabs>
                    <w:ind w:firstLine="709"/>
                    <w:jc w:val="both"/>
                    <w:rPr>
                      <w:szCs w:val="24"/>
                      <w:shd w:val="clear" w:color="auto" w:fill="FFFFFF"/>
                    </w:rPr>
                  </w:pPr>
                  <w:r>
                    <w:rPr>
                      <w:szCs w:val="24"/>
                    </w:rPr>
                    <w:t>Lentelėje žemiau pateikiamos projekcinės šilumos kainos dedamosios, taikant 26,43 Eur/MWh svertinę kuro kainą, naudotą apskaičiuojant projekcinę šilumos kainą:</w:t>
                  </w:r>
                </w:p>
                <w:p>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9"/>
                    <w:gridCol w:w="3209"/>
                    <w:gridCol w:w="3210"/>
                  </w:tblGrid>
                  <w:tr>
                    <w:tc>
                      <w:tcPr>
                        <w:tcW w:w="3209" w:type="dxa"/>
                      </w:tcPr>
                      <w:p>
                        <w:pPr>
                          <w:rPr>
                            <w:b/>
                            <w:bCs/>
                            <w:szCs w:val="24"/>
                          </w:rPr>
                        </w:pPr>
                        <w:r>
                          <w:rPr>
                            <w:b/>
                            <w:bCs/>
                            <w:szCs w:val="24"/>
                          </w:rPr>
                          <w:t>Dedamoji</w:t>
                        </w:r>
                      </w:p>
                    </w:tc>
                    <w:tc>
                      <w:tcPr>
                        <w:tcW w:w="3209" w:type="dxa"/>
                      </w:tcPr>
                      <w:p>
                        <w:pPr>
                          <w:rPr>
                            <w:b/>
                            <w:bCs/>
                            <w:szCs w:val="24"/>
                            <w:shd w:val="clear" w:color="auto" w:fill="FFFFFF"/>
                          </w:rPr>
                        </w:pPr>
                        <w:r>
                          <w:rPr>
                            <w:b/>
                            <w:bCs/>
                            <w:szCs w:val="24"/>
                          </w:rPr>
                          <w:t xml:space="preserve">Kaina nustatyta </w:t>
                        </w:r>
                        <w:r>
                          <w:rPr>
                            <w:b/>
                            <w:bCs/>
                            <w:szCs w:val="24"/>
                            <w:shd w:val="clear" w:color="auto" w:fill="FFFFFF"/>
                          </w:rPr>
                          <w:t xml:space="preserve">2024-12-19 </w:t>
                        </w:r>
                      </w:p>
                      <w:p>
                        <w:pPr>
                          <w:rPr>
                            <w:b/>
                            <w:bCs/>
                            <w:szCs w:val="24"/>
                          </w:rPr>
                        </w:pPr>
                        <w:r>
                          <w:rPr>
                            <w:b/>
                            <w:bCs/>
                            <w:szCs w:val="24"/>
                            <w:shd w:val="clear" w:color="auto" w:fill="FFFFFF"/>
                          </w:rPr>
                          <w:t>ct/kWh</w:t>
                        </w:r>
                      </w:p>
                    </w:tc>
                    <w:tc>
                      <w:tcPr>
                        <w:tcW w:w="3210" w:type="dxa"/>
                      </w:tcPr>
                      <w:p>
                        <w:pPr>
                          <w:rPr>
                            <w:b/>
                            <w:bCs/>
                            <w:szCs w:val="24"/>
                          </w:rPr>
                        </w:pPr>
                        <w:r>
                          <w:rPr>
                            <w:b/>
                            <w:bCs/>
                            <w:szCs w:val="24"/>
                          </w:rPr>
                          <w:t xml:space="preserve">Projekcinė kaina, </w:t>
                        </w:r>
                      </w:p>
                      <w:p>
                        <w:pPr>
                          <w:rPr>
                            <w:b/>
                            <w:bCs/>
                            <w:szCs w:val="24"/>
                          </w:rPr>
                        </w:pPr>
                        <w:r>
                          <w:rPr>
                            <w:b/>
                            <w:bCs/>
                            <w:szCs w:val="24"/>
                            <w:shd w:val="clear" w:color="auto" w:fill="FFFFFF"/>
                          </w:rPr>
                          <w:t>ct/kWh</w:t>
                        </w:r>
                        <w:r>
                          <w:rPr>
                            <w:b/>
                            <w:bCs/>
                            <w:szCs w:val="24"/>
                          </w:rPr>
                          <w:t xml:space="preserve"> </w:t>
                        </w:r>
                      </w:p>
                    </w:tc>
                  </w:tr>
                  <w:tr>
                    <w:tc>
                      <w:tcPr>
                        <w:tcW w:w="3209" w:type="dxa"/>
                      </w:tcPr>
                      <w:p>
                        <w:pPr>
                          <w:rPr>
                            <w:szCs w:val="24"/>
                          </w:rPr>
                        </w:pPr>
                        <w:r>
                          <w:rPr>
                            <w:szCs w:val="24"/>
                          </w:rPr>
                          <w:t>Šilumos gamybos ir tiekimo kintamoji dedamoji</w:t>
                        </w:r>
                      </w:p>
                    </w:tc>
                    <w:tc>
                      <w:tcPr>
                        <w:tcW w:w="3209" w:type="dxa"/>
                      </w:tcPr>
                      <w:p>
                        <w:pPr>
                          <w:jc w:val="both"/>
                          <w:rPr>
                            <w:szCs w:val="24"/>
                          </w:rPr>
                        </w:pPr>
                        <w:r>
                          <w:rPr>
                            <w:szCs w:val="24"/>
                          </w:rPr>
                          <w:t>4,4495</w:t>
                        </w:r>
                      </w:p>
                    </w:tc>
                    <w:tc>
                      <w:tcPr>
                        <w:tcW w:w="3210" w:type="dxa"/>
                      </w:tcPr>
                      <w:p>
                        <w:pPr>
                          <w:jc w:val="both"/>
                          <w:rPr>
                            <w:szCs w:val="24"/>
                          </w:rPr>
                        </w:pPr>
                        <w:r>
                          <w:rPr>
                            <w:szCs w:val="24"/>
                          </w:rPr>
                          <w:t>3,5396</w:t>
                        </w:r>
                      </w:p>
                    </w:tc>
                  </w:tr>
                  <w:tr>
                    <w:tc>
                      <w:tcPr>
                        <w:tcW w:w="3209" w:type="dxa"/>
                      </w:tcPr>
                      <w:p>
                        <w:pPr>
                          <w:rPr>
                            <w:szCs w:val="24"/>
                          </w:rPr>
                        </w:pPr>
                        <w:r>
                          <w:rPr>
                            <w:szCs w:val="24"/>
                          </w:rPr>
                          <w:t>Šilumos gamybos ir tiekimo pastovioji dedamoji</w:t>
                        </w:r>
                      </w:p>
                    </w:tc>
                    <w:tc>
                      <w:tcPr>
                        <w:tcW w:w="3209" w:type="dxa"/>
                      </w:tcPr>
                      <w:p>
                        <w:pPr>
                          <w:jc w:val="both"/>
                          <w:rPr>
                            <w:szCs w:val="24"/>
                          </w:rPr>
                        </w:pPr>
                        <w:r>
                          <w:rPr>
                            <w:szCs w:val="24"/>
                          </w:rPr>
                          <w:t>3,77</w:t>
                        </w:r>
                      </w:p>
                    </w:tc>
                    <w:tc>
                      <w:tcPr>
                        <w:tcW w:w="3210" w:type="dxa"/>
                      </w:tcPr>
                      <w:p>
                        <w:pPr>
                          <w:jc w:val="both"/>
                          <w:rPr>
                            <w:szCs w:val="24"/>
                          </w:rPr>
                        </w:pPr>
                        <w:r>
                          <w:rPr>
                            <w:szCs w:val="24"/>
                          </w:rPr>
                          <w:t>3,77</w:t>
                        </w:r>
                      </w:p>
                    </w:tc>
                  </w:tr>
                  <w:tr>
                    <w:tc>
                      <w:tcPr>
                        <w:tcW w:w="3209" w:type="dxa"/>
                      </w:tcPr>
                      <w:p>
                        <w:pPr>
                          <w:jc w:val="both"/>
                          <w:rPr>
                            <w:b/>
                            <w:bCs/>
                            <w:szCs w:val="24"/>
                          </w:rPr>
                        </w:pPr>
                        <w:r>
                          <w:rPr>
                            <w:b/>
                            <w:bCs/>
                            <w:szCs w:val="24"/>
                          </w:rPr>
                          <w:t>Vienanarė šilumos kaina</w:t>
                        </w:r>
                      </w:p>
                    </w:tc>
                    <w:tc>
                      <w:tcPr>
                        <w:tcW w:w="3209" w:type="dxa"/>
                      </w:tcPr>
                      <w:p>
                        <w:pPr>
                          <w:jc w:val="both"/>
                          <w:rPr>
                            <w:b/>
                            <w:bCs/>
                            <w:szCs w:val="24"/>
                          </w:rPr>
                        </w:pPr>
                        <w:r>
                          <w:rPr>
                            <w:b/>
                            <w:bCs/>
                            <w:szCs w:val="24"/>
                          </w:rPr>
                          <w:t>8,22</w:t>
                        </w:r>
                      </w:p>
                    </w:tc>
                    <w:tc>
                      <w:tcPr>
                        <w:tcW w:w="3210" w:type="dxa"/>
                      </w:tcPr>
                      <w:p>
                        <w:pPr>
                          <w:jc w:val="both"/>
                          <w:rPr>
                            <w:b/>
                            <w:bCs/>
                            <w:szCs w:val="24"/>
                          </w:rPr>
                        </w:pPr>
                        <w:r>
                          <w:rPr>
                            <w:b/>
                            <w:bCs/>
                            <w:szCs w:val="24"/>
                          </w:rPr>
                          <w:t>7,31</w:t>
                        </w:r>
                      </w:p>
                    </w:tc>
                  </w:tr>
                </w:tbl>
                <w:p>
                  <w:pPr>
                    <w:ind w:firstLine="709"/>
                    <w:jc w:val="both"/>
                    <w:rPr>
                      <w:szCs w:val="24"/>
                    </w:rPr>
                  </w:pPr>
                </w:p>
                <w:p>
                  <w:pPr>
                    <w:ind w:firstLine="709"/>
                    <w:jc w:val="both"/>
                    <w:rPr>
                      <w:szCs w:val="24"/>
                    </w:rPr>
                  </w:pPr>
                  <w:r>
                    <w:rPr>
                      <w:szCs w:val="24"/>
                    </w:rPr>
                    <w:t>Lentelėje žemiau pateikiama apskaičiuoto šilumos gamybos ir tiekimo pajamų bazinio lygio formulė pagal Šilumos kainų nustatymo metodiką:</w:t>
                  </w:r>
                </w:p>
                <w:p>
                  <w:pPr>
                    <w:ind w:firstLine="709"/>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9"/>
                    <w:gridCol w:w="3209"/>
                    <w:gridCol w:w="3210"/>
                  </w:tblGrid>
                  <w:tr>
                    <w:tc>
                      <w:tcPr>
                        <w:tcW w:w="3209" w:type="dxa"/>
                      </w:tcPr>
                      <w:p>
                        <w:pPr>
                          <w:rPr>
                            <w:b/>
                            <w:bCs/>
                            <w:szCs w:val="24"/>
                          </w:rPr>
                        </w:pPr>
                        <w:r>
                          <w:rPr>
                            <w:b/>
                            <w:bCs/>
                            <w:szCs w:val="24"/>
                          </w:rPr>
                          <w:t>Dedamoji</w:t>
                        </w:r>
                      </w:p>
                    </w:tc>
                    <w:tc>
                      <w:tcPr>
                        <w:tcW w:w="3209" w:type="dxa"/>
                      </w:tcPr>
                      <w:p>
                        <w:pPr>
                          <w:rPr>
                            <w:b/>
                            <w:bCs/>
                            <w:szCs w:val="24"/>
                          </w:rPr>
                        </w:pPr>
                        <w:r>
                          <w:rPr>
                            <w:b/>
                            <w:bCs/>
                            <w:szCs w:val="24"/>
                          </w:rPr>
                          <w:t xml:space="preserve">Nustatyta </w:t>
                        </w:r>
                        <w:r>
                          <w:rPr>
                            <w:b/>
                            <w:bCs/>
                            <w:szCs w:val="24"/>
                            <w:shd w:val="clear" w:color="auto" w:fill="FFFFFF"/>
                          </w:rPr>
                          <w:t>2024-12-19</w:t>
                        </w:r>
                      </w:p>
                    </w:tc>
                    <w:tc>
                      <w:tcPr>
                        <w:tcW w:w="3210" w:type="dxa"/>
                      </w:tcPr>
                      <w:p>
                        <w:pPr>
                          <w:rPr>
                            <w:b/>
                            <w:bCs/>
                            <w:szCs w:val="24"/>
                          </w:rPr>
                        </w:pPr>
                        <w:r>
                          <w:rPr>
                            <w:b/>
                            <w:bCs/>
                            <w:szCs w:val="24"/>
                          </w:rPr>
                          <w:t xml:space="preserve">Projekcinė </w:t>
                        </w:r>
                      </w:p>
                      <w:p>
                        <w:pPr>
                          <w:rPr>
                            <w:b/>
                            <w:bCs/>
                            <w:szCs w:val="24"/>
                          </w:rPr>
                        </w:pPr>
                      </w:p>
                    </w:tc>
                  </w:tr>
                  <w:tr>
                    <w:tc>
                      <w:tcPr>
                        <w:tcW w:w="3209" w:type="dxa"/>
                        <w:vAlign w:val="center"/>
                      </w:tcPr>
                      <w:p>
                        <w:pPr>
                          <w:rPr>
                            <w:szCs w:val="24"/>
                          </w:rPr>
                        </w:pPr>
                        <w:r>
                          <w:rPr>
                            <w:rFonts w:eastAsia="Calibri"/>
                            <w:szCs w:val="24"/>
                          </w:rPr>
                          <w:t xml:space="preserve">Šilumos </w:t>
                        </w:r>
                        <w:r>
                          <w:rPr>
                            <w:szCs w:val="24"/>
                          </w:rPr>
                          <w:t xml:space="preserve">gamybos ir tiekimo </w:t>
                        </w:r>
                        <w:r>
                          <w:rPr>
                            <w:rFonts w:eastAsia="Calibri"/>
                            <w:szCs w:val="24"/>
                          </w:rPr>
                          <w:t>pajamų bazinio lyg</w:t>
                        </w:r>
                        <w:r>
                          <w:rPr>
                            <w:szCs w:val="24"/>
                          </w:rPr>
                          <w:t>io kintamoji dalis</w:t>
                        </w:r>
                      </w:p>
                    </w:tc>
                    <w:tc>
                      <w:tcPr>
                        <w:tcW w:w="3209" w:type="dxa"/>
                        <w:vAlign w:val="center"/>
                      </w:tcPr>
                      <w:p>
                        <w:pPr>
                          <w:rPr>
                            <w:szCs w:val="24"/>
                          </w:rPr>
                        </w:pPr>
                        <w:r>
                          <w:rPr>
                            <w:szCs w:val="24"/>
                          </w:rPr>
                          <w:t>R</w:t>
                        </w:r>
                        <w:r>
                          <w:rPr>
                            <w:szCs w:val="24"/>
                            <w:vertAlign w:val="subscript"/>
                          </w:rPr>
                          <w:t>H,KD</w:t>
                        </w:r>
                        <w:r>
                          <w:rPr>
                            <w:szCs w:val="24"/>
                          </w:rPr>
                          <w:t xml:space="preserve"> = </w:t>
                        </w:r>
                        <w:r>
                          <w:rPr>
                            <w:color w:val="000000"/>
                            <w:szCs w:val="24"/>
                          </w:rPr>
                          <w:t>5149 + (11067 × p</w:t>
                        </w:r>
                        <w:r>
                          <w:rPr>
                            <w:color w:val="000000"/>
                            <w:szCs w:val="24"/>
                            <w:vertAlign w:val="subscript"/>
                          </w:rPr>
                          <w:t>F</w:t>
                        </w:r>
                        <w:r>
                          <w:rPr>
                            <w:color w:val="000000"/>
                            <w:szCs w:val="24"/>
                          </w:rPr>
                          <w:t xml:space="preserve"> + 189292 × p</w:t>
                        </w:r>
                        <w:r>
                          <w:rPr>
                            <w:color w:val="000000"/>
                            <w:szCs w:val="24"/>
                            <w:vertAlign w:val="subscript"/>
                          </w:rPr>
                          <w:t>E</w:t>
                        </w:r>
                        <w:r>
                          <w:rPr>
                            <w:color w:val="000000"/>
                            <w:szCs w:val="24"/>
                          </w:rPr>
                          <w:t xml:space="preserve"> + 158 × p</w:t>
                        </w:r>
                        <w:r>
                          <w:rPr>
                            <w:color w:val="000000"/>
                            <w:szCs w:val="24"/>
                            <w:vertAlign w:val="subscript"/>
                          </w:rPr>
                          <w:t>W</w:t>
                        </w:r>
                        <w:r>
                          <w:rPr>
                            <w:color w:val="000000"/>
                            <w:szCs w:val="24"/>
                          </w:rPr>
                          <w:t xml:space="preserve">) / </w:t>
                          <w:br/>
                          <w:t>7456180 × Q</w:t>
                        </w:r>
                        <w:r>
                          <w:rPr>
                            <w:color w:val="000000"/>
                            <w:szCs w:val="24"/>
                            <w:vertAlign w:val="subscript"/>
                          </w:rPr>
                          <w:t>HR</w:t>
                        </w:r>
                      </w:p>
                    </w:tc>
                    <w:tc>
                      <w:tcPr>
                        <w:tcW w:w="3210" w:type="dxa"/>
                        <w:vAlign w:val="center"/>
                      </w:tcPr>
                      <w:p>
                        <w:pPr>
                          <w:rPr>
                            <w:szCs w:val="24"/>
                          </w:rPr>
                        </w:pPr>
                        <w:r>
                          <w:rPr>
                            <w:szCs w:val="24"/>
                          </w:rPr>
                          <w:t>R</w:t>
                        </w:r>
                        <w:r>
                          <w:rPr>
                            <w:szCs w:val="24"/>
                            <w:vertAlign w:val="subscript"/>
                          </w:rPr>
                          <w:t>H,KD</w:t>
                        </w:r>
                        <w:r>
                          <w:rPr>
                            <w:szCs w:val="24"/>
                          </w:rPr>
                          <w:t xml:space="preserve"> = 3827</w:t>
                        </w:r>
                        <w:r>
                          <w:rPr>
                            <w:color w:val="000000"/>
                            <w:szCs w:val="24"/>
                          </w:rPr>
                          <w:t xml:space="preserve"> + (10686 × p</w:t>
                        </w:r>
                        <w:r>
                          <w:rPr>
                            <w:color w:val="000000"/>
                            <w:szCs w:val="24"/>
                            <w:vertAlign w:val="subscript"/>
                          </w:rPr>
                          <w:t>F</w:t>
                        </w:r>
                        <w:r>
                          <w:rPr>
                            <w:color w:val="000000"/>
                            <w:szCs w:val="24"/>
                          </w:rPr>
                          <w:t xml:space="preserve"> + 199631 × p</w:t>
                        </w:r>
                        <w:r>
                          <w:rPr>
                            <w:color w:val="000000"/>
                            <w:szCs w:val="24"/>
                            <w:vertAlign w:val="subscript"/>
                          </w:rPr>
                          <w:t>E</w:t>
                        </w:r>
                        <w:r>
                          <w:rPr>
                            <w:color w:val="000000"/>
                            <w:szCs w:val="24"/>
                          </w:rPr>
                          <w:t xml:space="preserve"> + 158 × p</w:t>
                        </w:r>
                        <w:r>
                          <w:rPr>
                            <w:color w:val="000000"/>
                            <w:szCs w:val="24"/>
                            <w:vertAlign w:val="subscript"/>
                          </w:rPr>
                          <w:t>W</w:t>
                        </w:r>
                        <w:r>
                          <w:rPr>
                            <w:color w:val="000000"/>
                            <w:szCs w:val="24"/>
                          </w:rPr>
                          <w:t xml:space="preserve">) / </w:t>
                          <w:br/>
                          <w:t>6776712 × Q</w:t>
                        </w:r>
                        <w:r>
                          <w:rPr>
                            <w:color w:val="000000"/>
                            <w:szCs w:val="24"/>
                            <w:vertAlign w:val="subscript"/>
                          </w:rPr>
                          <w:t>HR</w:t>
                        </w:r>
                      </w:p>
                    </w:tc>
                  </w:tr>
                  <w:tr>
                    <w:tc>
                      <w:tcPr>
                        <w:tcW w:w="3209" w:type="dxa"/>
                        <w:vAlign w:val="center"/>
                      </w:tcPr>
                      <w:p>
                        <w:pPr>
                          <w:rPr>
                            <w:rFonts w:eastAsia="Calibri"/>
                            <w:szCs w:val="24"/>
                          </w:rPr>
                        </w:pPr>
                        <w:r>
                          <w:rPr>
                            <w:rFonts w:eastAsia="Calibri"/>
                            <w:szCs w:val="24"/>
                          </w:rPr>
                          <w:t xml:space="preserve">Šilumos </w:t>
                        </w:r>
                        <w:r>
                          <w:rPr>
                            <w:szCs w:val="24"/>
                          </w:rPr>
                          <w:t xml:space="preserve">gamybos ir tiekimo </w:t>
                        </w:r>
                        <w:r>
                          <w:rPr>
                            <w:rFonts w:eastAsia="Calibri"/>
                            <w:szCs w:val="24"/>
                          </w:rPr>
                          <w:t>pajamų bazinio lyg</w:t>
                        </w:r>
                        <w:r>
                          <w:rPr>
                            <w:szCs w:val="24"/>
                          </w:rPr>
                          <w:t>io pastovioji dalis</w:t>
                        </w:r>
                      </w:p>
                    </w:tc>
                    <w:tc>
                      <w:tcPr>
                        <w:tcW w:w="3209" w:type="dxa"/>
                        <w:vAlign w:val="center"/>
                      </w:tcPr>
                      <w:p>
                        <w:pPr>
                          <w:rPr>
                            <w:szCs w:val="24"/>
                          </w:rPr>
                        </w:pPr>
                        <w:r>
                          <w:rPr>
                            <w:szCs w:val="24"/>
                          </w:rPr>
                          <w:t>R</w:t>
                        </w:r>
                        <w:r>
                          <w:rPr>
                            <w:szCs w:val="24"/>
                            <w:vertAlign w:val="subscript"/>
                          </w:rPr>
                          <w:t>H, PD</w:t>
                        </w:r>
                        <w:r>
                          <w:rPr>
                            <w:szCs w:val="24"/>
                          </w:rPr>
                          <w:t xml:space="preserve"> = </w:t>
                        </w:r>
                        <w:r>
                          <w:rPr>
                            <w:rFonts w:eastAsia="Calibri"/>
                            <w:color w:val="000000"/>
                            <w:szCs w:val="24"/>
                          </w:rPr>
                          <w:t>281001</w:t>
                        </w:r>
                        <w:r>
                          <w:rPr>
                            <w:rFonts w:eastAsia="Calibri"/>
                            <w:szCs w:val="24"/>
                          </w:rPr>
                          <w:t xml:space="preserve"> </w:t>
                        </w:r>
                      </w:p>
                    </w:tc>
                    <w:tc>
                      <w:tcPr>
                        <w:tcW w:w="3210" w:type="dxa"/>
                        <w:vAlign w:val="center"/>
                      </w:tcPr>
                      <w:p>
                        <w:pPr>
                          <w:rPr>
                            <w:szCs w:val="24"/>
                          </w:rPr>
                        </w:pPr>
                        <w:r>
                          <w:rPr>
                            <w:szCs w:val="24"/>
                          </w:rPr>
                          <w:t>R</w:t>
                        </w:r>
                        <w:r>
                          <w:rPr>
                            <w:szCs w:val="24"/>
                            <w:vertAlign w:val="subscript"/>
                          </w:rPr>
                          <w:t>H, PD</w:t>
                        </w:r>
                        <w:r>
                          <w:rPr>
                            <w:szCs w:val="24"/>
                          </w:rPr>
                          <w:t xml:space="preserve"> = </w:t>
                        </w:r>
                        <w:r>
                          <w:rPr>
                            <w:rFonts w:eastAsia="Calibri"/>
                            <w:color w:val="000000"/>
                            <w:szCs w:val="24"/>
                          </w:rPr>
                          <w:t>255162</w:t>
                        </w:r>
                      </w:p>
                    </w:tc>
                  </w:tr>
                  <w:tr>
                    <w:tc>
                      <w:tcPr>
                        <w:tcW w:w="3209" w:type="dxa"/>
                        <w:vAlign w:val="center"/>
                      </w:tcPr>
                      <w:p>
                        <w:pPr>
                          <w:rPr>
                            <w:szCs w:val="24"/>
                          </w:rPr>
                        </w:pPr>
                        <w:r>
                          <w:rPr>
                            <w:rFonts w:eastAsia="Calibri"/>
                            <w:szCs w:val="24"/>
                          </w:rPr>
                          <w:t xml:space="preserve">Šilumos </w:t>
                        </w:r>
                        <w:r>
                          <w:rPr>
                            <w:szCs w:val="24"/>
                          </w:rPr>
                          <w:t xml:space="preserve">gamybos ir tiekimo </w:t>
                        </w:r>
                        <w:r>
                          <w:rPr>
                            <w:rFonts w:eastAsia="Calibri"/>
                            <w:szCs w:val="24"/>
                          </w:rPr>
                          <w:t>pajamų bazinis lygis</w:t>
                        </w:r>
                      </w:p>
                    </w:tc>
                    <w:tc>
                      <w:tcPr>
                        <w:tcW w:w="3209" w:type="dxa"/>
                        <w:vAlign w:val="center"/>
                      </w:tcPr>
                      <w:p>
                        <w:pPr>
                          <w:rPr>
                            <w:szCs w:val="24"/>
                          </w:rPr>
                        </w:pPr>
                        <w:r>
                          <w:rPr>
                            <w:szCs w:val="24"/>
                          </w:rPr>
                          <w:t>R</w:t>
                        </w:r>
                        <w:r>
                          <w:rPr>
                            <w:szCs w:val="24"/>
                            <w:vertAlign w:val="subscript"/>
                          </w:rPr>
                          <w:t>H</w:t>
                        </w:r>
                        <w:r>
                          <w:rPr>
                            <w:szCs w:val="24"/>
                          </w:rPr>
                          <w:t xml:space="preserve"> = </w:t>
                        </w:r>
                        <w:r>
                          <w:rPr>
                            <w:rFonts w:eastAsia="Calibri"/>
                            <w:color w:val="000000"/>
                            <w:szCs w:val="24"/>
                          </w:rPr>
                          <w:t>281001</w:t>
                        </w:r>
                        <w:r>
                          <w:rPr>
                            <w:rFonts w:eastAsia="Calibri"/>
                            <w:szCs w:val="24"/>
                          </w:rPr>
                          <w:t xml:space="preserve"> + R</w:t>
                        </w:r>
                        <w:r>
                          <w:rPr>
                            <w:rFonts w:eastAsia="Calibri"/>
                            <w:szCs w:val="24"/>
                            <w:vertAlign w:val="subscript"/>
                          </w:rPr>
                          <w:t>H,KD</w:t>
                        </w:r>
                      </w:p>
                    </w:tc>
                    <w:tc>
                      <w:tcPr>
                        <w:tcW w:w="3210" w:type="dxa"/>
                        <w:vAlign w:val="center"/>
                      </w:tcPr>
                      <w:p>
                        <w:pPr>
                          <w:rPr>
                            <w:szCs w:val="24"/>
                          </w:rPr>
                        </w:pPr>
                        <w:r>
                          <w:rPr>
                            <w:szCs w:val="24"/>
                          </w:rPr>
                          <w:t>R</w:t>
                        </w:r>
                        <w:r>
                          <w:rPr>
                            <w:szCs w:val="24"/>
                            <w:vertAlign w:val="subscript"/>
                          </w:rPr>
                          <w:t>H</w:t>
                        </w:r>
                        <w:r>
                          <w:rPr>
                            <w:szCs w:val="24"/>
                          </w:rPr>
                          <w:t xml:space="preserve"> = 255162</w:t>
                        </w:r>
                        <w:r>
                          <w:rPr>
                            <w:rFonts w:eastAsia="Calibri"/>
                            <w:szCs w:val="24"/>
                          </w:rPr>
                          <w:t xml:space="preserve"> + R</w:t>
                        </w:r>
                        <w:r>
                          <w:rPr>
                            <w:rFonts w:eastAsia="Calibri"/>
                            <w:szCs w:val="24"/>
                            <w:vertAlign w:val="subscript"/>
                          </w:rPr>
                          <w:t>H,KD</w:t>
                        </w:r>
                      </w:p>
                    </w:tc>
                  </w:tr>
                </w:tbl>
                <w:p>
                  <w:pPr>
                    <w:jc w:val="both"/>
                    <w:rPr>
                      <w:szCs w:val="24"/>
                    </w:rPr>
                  </w:pPr>
                </w:p>
                <w:p>
                  <w:pPr>
                    <w:tabs>
                      <w:tab w:val="left" w:pos="1134"/>
                    </w:tabs>
                    <w:ind w:firstLine="567"/>
                    <w:rPr>
                      <w:rFonts w:eastAsia="Calibri"/>
                      <w:sz w:val="20"/>
                    </w:rPr>
                  </w:pPr>
                  <w:r>
                    <w:rPr>
                      <w:sz w:val="20"/>
                    </w:rPr>
                    <w:t>p</w:t>
                  </w:r>
                  <w:r>
                    <w:rPr>
                      <w:sz w:val="20"/>
                      <w:vertAlign w:val="subscript"/>
                    </w:rPr>
                    <w:t xml:space="preserve">F </w:t>
                  </w:r>
                  <w:r>
                    <w:rPr>
                      <w:rFonts w:eastAsia="Calibri"/>
                      <w:sz w:val="20"/>
                    </w:rPr>
                    <w:t>– vidutinė svertinė kuro kaina, apskaičiuota pagal kuro žemutinę šiluminę vertę, Eur/MWh;</w:t>
                  </w:r>
                </w:p>
                <w:p>
                  <w:pPr>
                    <w:tabs>
                      <w:tab w:val="left" w:pos="1134"/>
                    </w:tabs>
                    <w:ind w:firstLine="567"/>
                    <w:rPr>
                      <w:rFonts w:eastAsia="Calibri"/>
                      <w:sz w:val="20"/>
                    </w:rPr>
                  </w:pPr>
                  <w:r>
                    <w:rPr>
                      <w:sz w:val="20"/>
                    </w:rPr>
                    <w:t>p</w:t>
                  </w:r>
                  <w:r>
                    <w:rPr>
                      <w:sz w:val="20"/>
                      <w:vertAlign w:val="subscript"/>
                    </w:rPr>
                    <w:t xml:space="preserve">E </w:t>
                  </w:r>
                  <w:r>
                    <w:rPr>
                      <w:rFonts w:eastAsia="Calibri"/>
                      <w:sz w:val="20"/>
                    </w:rPr>
                    <w:t>– elektros energijos kaina, Eur/kWh;</w:t>
                  </w:r>
                </w:p>
                <w:p>
                  <w:pPr>
                    <w:tabs>
                      <w:tab w:val="left" w:pos="1134"/>
                    </w:tabs>
                    <w:ind w:firstLine="567"/>
                    <w:rPr>
                      <w:rFonts w:eastAsia="Calibri"/>
                      <w:sz w:val="20"/>
                    </w:rPr>
                  </w:pPr>
                  <w:r>
                    <w:rPr>
                      <w:sz w:val="20"/>
                    </w:rPr>
                    <w:t>p</w:t>
                  </w:r>
                  <w:r>
                    <w:rPr>
                      <w:sz w:val="20"/>
                      <w:vertAlign w:val="subscript"/>
                    </w:rPr>
                    <w:t xml:space="preserve">W </w:t>
                  </w:r>
                  <w:r>
                    <w:rPr>
                      <w:rFonts w:eastAsia="Calibri"/>
                      <w:sz w:val="20"/>
                    </w:rPr>
                    <w:t>– vandens kaina, Eur/m</w:t>
                  </w:r>
                  <w:r>
                    <w:rPr>
                      <w:rFonts w:eastAsia="Calibri"/>
                      <w:sz w:val="20"/>
                      <w:vertAlign w:val="superscript"/>
                    </w:rPr>
                    <w:t>3</w:t>
                  </w:r>
                  <w:r>
                    <w:rPr>
                      <w:rFonts w:eastAsia="Calibri"/>
                      <w:sz w:val="20"/>
                    </w:rPr>
                    <w:t>;</w:t>
                  </w:r>
                </w:p>
                <w:p>
                  <w:pPr>
                    <w:tabs>
                      <w:tab w:val="left" w:pos="993"/>
                    </w:tabs>
                    <w:ind w:firstLine="567"/>
                    <w:jc w:val="both"/>
                    <w:rPr>
                      <w:rFonts w:eastAsia="Calibri"/>
                      <w:sz w:val="20"/>
                    </w:rPr>
                  </w:pPr>
                  <w:r>
                    <w:rPr>
                      <w:sz w:val="20"/>
                    </w:rPr>
                    <w:t>Q</w:t>
                  </w:r>
                  <w:r>
                    <w:rPr>
                      <w:sz w:val="20"/>
                      <w:vertAlign w:val="subscript"/>
                    </w:rPr>
                    <w:t xml:space="preserve">HR </w:t>
                  </w:r>
                  <w:r>
                    <w:rPr>
                      <w:rFonts w:eastAsia="Calibri"/>
                      <w:sz w:val="20"/>
                    </w:rPr>
                    <w:t>– realizuotos šilumos kiekis, kWh.</w:t>
                  </w:r>
                </w:p>
                <w:p>
                  <w:pPr>
                    <w:ind w:firstLine="567"/>
                    <w:jc w:val="both"/>
                    <w:rPr>
                      <w:szCs w:val="24"/>
                    </w:rPr>
                  </w:pPr>
                  <w:r>
                    <w:rPr>
                      <w:szCs w:val="24"/>
                    </w:rPr>
                    <w:t>Nustatytas Koreguotas pajamų lygis įsigalioja nuo kito mėnesio pirmos dienos ir galioja ne ilgiau kaip 12 mėnesių.</w:t>
                  </w:r>
                </w:p>
                <w:p>
                  <w:pPr>
                    <w:tabs>
                      <w:tab w:val="left" w:pos="855"/>
                    </w:tabs>
                    <w:ind w:firstLine="567"/>
                    <w:jc w:val="both"/>
                    <w:rPr>
                      <w:szCs w:val="24"/>
                    </w:rPr>
                  </w:pPr>
                  <w:r>
                    <w:rPr>
                      <w:szCs w:val="24"/>
                    </w:rPr>
                    <w:t>Nustačius Šilumos tiekėjui šilumos kainas, šilumos tiekėjas galės ir toliau vykdyti licencijuojamą šilumos tiekimo veiklą, bus užtikrinama paskata didinti šilumos tiekimo efektyvumą, optimizuoti šilumos tiekimo sistemą bei kitų priemonių įgyvendinimą.</w:t>
                  </w:r>
                </w:p>
              </w:sdtContent>
            </w:sdt>
            <w:sdt>
              <w:sdtPr>
                <w:alias w:val="5 p."/>
                <w:tag w:val="part_cab14f8508e04bf081015934b4231941"/>
                <w:lock w:val="sdtLocked"/>
                <w:richText/>
              </w:sdtPr>
              <w:sdtContent>
                <w:p>
                  <w:pPr>
                    <w:ind w:firstLine="567"/>
                    <w:jc w:val="both"/>
                    <w:rPr>
                      <w:b/>
                      <w:bCs/>
                      <w:szCs w:val="24"/>
                    </w:rPr>
                  </w:pPr>
                  <w:sdt>
                    <w:sdtPr>
                      <w:alias w:val="Numeris"/>
                      <w:tag w:val="nr_cab14f8508e04bf081015934b4231941"/>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ind w:firstLine="567"/>
                    <w:jc w:val="both"/>
                    <w:rPr>
                      <w:szCs w:val="24"/>
                    </w:rPr>
                  </w:pPr>
                  <w:r>
                    <w:rPr>
                      <w:szCs w:val="24"/>
                    </w:rPr>
                    <w:t>Neigiamų pasekmių nenumatoma.</w:t>
                  </w:r>
                </w:p>
              </w:sdtContent>
            </w:sdt>
            <w:sdt>
              <w:sdtPr>
                <w:alias w:val="6 p."/>
                <w:tag w:val="part_446ae54bccef4269874adea6567beb52"/>
                <w:lock w:val="sdtLocked"/>
                <w:richText/>
              </w:sdtPr>
              <w:sdtContent>
                <w:p>
                  <w:pPr>
                    <w:ind w:firstLine="567"/>
                    <w:jc w:val="both"/>
                    <w:rPr>
                      <w:szCs w:val="24"/>
                    </w:rPr>
                  </w:pPr>
                  <w:sdt>
                    <w:sdtPr>
                      <w:alias w:val="Numeris"/>
                      <w:tag w:val="nr_446ae54bccef4269874adea6567beb52"/>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ind w:firstLine="567"/>
                    <w:jc w:val="both"/>
                    <w:rPr>
                      <w:szCs w:val="24"/>
                      <w:shd w:val="clear" w:color="auto" w:fill="FFFFFF"/>
                    </w:rPr>
                  </w:pPr>
                  <w:r>
                    <w:rPr>
                      <w:rFonts w:eastAsia="Lucida Sans Unicode"/>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8ccd23f9a58b456d948d253c083461ff"/>
                <w:lock w:val="sdtLocked"/>
                <w:richText/>
              </w:sdtPr>
              <w:sdtContent>
                <w:p>
                  <w:pPr>
                    <w:tabs>
                      <w:tab w:val="left" w:pos="855"/>
                    </w:tabs>
                    <w:ind w:firstLine="567"/>
                    <w:jc w:val="both"/>
                    <w:rPr>
                      <w:szCs w:val="24"/>
                      <w:shd w:val="clear" w:color="auto" w:fill="FFFFFF"/>
                    </w:rPr>
                  </w:pPr>
                  <w:sdt>
                    <w:sdtPr>
                      <w:alias w:val="Numeris"/>
                      <w:tag w:val="nr_8ccd23f9a58b456d948d253c083461ff"/>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ind w:firstLine="567"/>
                    <w:jc w:val="both"/>
                    <w:rPr>
                      <w:bCs/>
                      <w:caps/>
                      <w:szCs w:val="24"/>
                    </w:rPr>
                  </w:pPr>
                  <w:r>
                    <w:rPr>
                      <w:bCs/>
                      <w:szCs w:val="24"/>
                    </w:rPr>
                    <w:t>Sprendimo įgyvendinimui savivaldybės biudžeto lėšų nereikės.</w:t>
                  </w:r>
                </w:p>
              </w:sdtContent>
            </w:sdt>
            <w:sdt>
              <w:sdtPr>
                <w:alias w:val="8 p."/>
                <w:tag w:val="part_e93cdec3b7e4429dab933c512f5081d7"/>
                <w:lock w:val="sdtLocked"/>
                <w:richText/>
              </w:sdtPr>
              <w:sdtContent>
                <w:p>
                  <w:pPr>
                    <w:tabs>
                      <w:tab w:val="left" w:pos="1200"/>
                    </w:tabs>
                    <w:ind w:firstLine="567"/>
                    <w:jc w:val="both"/>
                    <w:rPr>
                      <w:b/>
                      <w:szCs w:val="24"/>
                    </w:rPr>
                  </w:pPr>
                  <w:sdt>
                    <w:sdtPr>
                      <w:alias w:val="Numeris"/>
                      <w:tag w:val="nr_e93cdec3b7e4429dab933c512f5081d7"/>
                      <w:lock w:val="sdtLocked"/>
                      <w:richText/>
                    </w:sdtPr>
                    <w:sdtContent>
                      <w:r>
                        <w:rPr>
                          <w:b/>
                          <w:szCs w:val="24"/>
                        </w:rPr>
                        <w:t>8</w:t>
                      </w:r>
                    </w:sdtContent>
                  </w:sdt>
                  <w:r>
                    <w:rPr>
                      <w:b/>
                      <w:szCs w:val="24"/>
                    </w:rPr>
                    <w:t>. Sprendimo projekto rengimo metu gauti specialistų vertinimai ir išvados.</w:t>
                  </w:r>
                </w:p>
                <w:p>
                  <w:pPr>
                    <w:ind w:firstLine="567"/>
                    <w:jc w:val="both"/>
                    <w:rPr>
                      <w:bCs/>
                      <w:szCs w:val="24"/>
                    </w:rPr>
                  </w:pPr>
                  <w:r>
                    <w:rPr>
                      <w:bCs/>
                      <w:szCs w:val="24"/>
                    </w:rPr>
                    <w:t>Sprendimo projektas</w:t>
                  </w:r>
                  <w:r>
                    <w:rPr>
                      <w:b/>
                      <w:bCs/>
                      <w:szCs w:val="24"/>
                    </w:rPr>
                    <w:t> </w:t>
                  </w:r>
                  <w:r>
                    <w:rPr>
                      <w:bCs/>
                      <w:szCs w:val="24"/>
                    </w:rPr>
                    <w:t xml:space="preserve">suderintas su juristu, kalbininku,  investicijų ir turto valdymo skyriaus vedėju.</w:t>
                  </w:r>
                </w:p>
              </w:sdtContent>
            </w:sdt>
            <w:sdt>
              <w:sdtPr>
                <w:alias w:val="9 p."/>
                <w:tag w:val="part_aed37181cd8c483182fd44f3e4d3fa7e"/>
                <w:lock w:val="sdtLocked"/>
                <w:richText/>
              </w:sdtPr>
              <w:sdtContent>
                <w:p>
                  <w:pPr>
                    <w:tabs>
                      <w:tab w:val="left" w:pos="1200"/>
                    </w:tabs>
                    <w:ind w:firstLine="567"/>
                    <w:jc w:val="both"/>
                    <w:rPr>
                      <w:b/>
                      <w:szCs w:val="24"/>
                    </w:rPr>
                  </w:pPr>
                  <w:sdt>
                    <w:sdtPr>
                      <w:alias w:val="Numeris"/>
                      <w:tag w:val="nr_aed37181cd8c483182fd44f3e4d3fa7e"/>
                      <w:lock w:val="sdtLocked"/>
                      <w:richText/>
                    </w:sdtPr>
                    <w:sdtContent>
                      <w:r>
                        <w:rPr>
                          <w:b/>
                          <w:szCs w:val="24"/>
                        </w:rPr>
                        <w:t>9</w:t>
                      </w:r>
                    </w:sdtContent>
                  </w:sdt>
                  <w:r>
                    <w:rPr>
                      <w:b/>
                      <w:szCs w:val="24"/>
                    </w:rPr>
                    <w:t>. Numatomo teisinio reguliavimo poveikio vertinimo rezultatai.</w:t>
                  </w:r>
                </w:p>
                <w:p>
                  <w:pPr>
                    <w:tabs>
                      <w:tab w:val="left" w:pos="855"/>
                    </w:tabs>
                    <w:ind w:firstLine="567"/>
                    <w:jc w:val="both"/>
                    <w:rPr>
                      <w:szCs w:val="24"/>
                      <w:shd w:val="clear" w:color="auto" w:fill="FFFFFF"/>
                    </w:rPr>
                  </w:pPr>
                  <w:r>
                    <w:rPr>
                      <w:szCs w:val="24"/>
                      <w:shd w:val="clear" w:color="auto" w:fill="FFFFFF"/>
                    </w:rPr>
                    <w:t>Neatlikta ir nenumatyta.</w:t>
                  </w:r>
                </w:p>
              </w:sdtContent>
            </w:sdt>
            <w:sdt>
              <w:sdtPr>
                <w:alias w:val="10 p."/>
                <w:tag w:val="part_1425dca9c59640e9b8b4b52287174a15"/>
                <w:lock w:val="sdtLocked"/>
                <w:richText/>
              </w:sdtPr>
              <w:sdtContent>
                <w:p>
                  <w:pPr>
                    <w:ind w:firstLine="567"/>
                    <w:jc w:val="both"/>
                    <w:rPr>
                      <w:szCs w:val="24"/>
                      <w:shd w:val="clear" w:color="auto" w:fill="FFFFFF"/>
                    </w:rPr>
                  </w:pPr>
                  <w:sdt>
                    <w:sdtPr>
                      <w:alias w:val="Numeris"/>
                      <w:tag w:val="nr_1425dca9c59640e9b8b4b52287174a15"/>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ind w:firstLine="567"/>
                    <w:jc w:val="both"/>
                    <w:rPr>
                      <w:szCs w:val="24"/>
                      <w:shd w:val="clear" w:color="auto" w:fill="FFFFFF"/>
                    </w:rPr>
                  </w:pPr>
                  <w:r>
                    <w:rPr>
                      <w:szCs w:val="24"/>
                      <w:shd w:val="clear" w:color="auto" w:fill="FFFFFF"/>
                    </w:rPr>
                    <w:t>A</w:t>
                  </w:r>
                  <w:r>
                    <w:rPr>
                      <w:szCs w:val="24"/>
                    </w:rPr>
                    <w:t>ntikorupcinis sprendimo projektas vertinimas neatliekamas</w:t>
                  </w:r>
                  <w:r>
                    <w:rPr>
                      <w:szCs w:val="24"/>
                      <w:shd w:val="clear" w:color="auto" w:fill="FFFFFF"/>
                    </w:rPr>
                    <w:t>.</w:t>
                  </w:r>
                </w:p>
              </w:sdtContent>
            </w:sdt>
            <w:sdt>
              <w:sdtPr>
                <w:alias w:val="11 p."/>
                <w:tag w:val="part_8dea4dd3f7324662b09b4dbdf0564688"/>
                <w:lock w:val="sdtLocked"/>
                <w:richText/>
              </w:sdtPr>
              <w:sdtContent>
                <w:p>
                  <w:pPr>
                    <w:tabs>
                      <w:tab w:val="left" w:pos="1134"/>
                    </w:tabs>
                    <w:ind w:firstLine="567"/>
                    <w:jc w:val="both"/>
                    <w:rPr>
                      <w:rFonts w:eastAsia="Calibri"/>
                      <w:b/>
                      <w:bCs/>
                      <w:szCs w:val="24"/>
                    </w:rPr>
                  </w:pPr>
                  <w:sdt>
                    <w:sdtPr>
                      <w:alias w:val="Numeris"/>
                      <w:tag w:val="nr_8dea4dd3f7324662b09b4dbdf0564688"/>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ind w:firstLine="567"/>
                    <w:jc w:val="both"/>
                    <w:rPr>
                      <w:kern w:val="2"/>
                      <w:szCs w:val="24"/>
                      <w:shd w:val="clear" w:color="auto" w:fill="FFFFFF"/>
                    </w:rPr>
                  </w:pPr>
                  <w:r>
                    <w:rPr>
                      <w:kern w:val="2"/>
                      <w:szCs w:val="24"/>
                      <w:shd w:val="clear" w:color="auto" w:fill="FFFFFF"/>
                    </w:rPr>
                    <w:t>Nėra.</w:t>
                  </w:r>
                </w:p>
              </w:sdtContent>
            </w:sdt>
            <w:sdt>
              <w:sdtPr>
                <w:alias w:val="12 p."/>
                <w:tag w:val="part_d6893bb2863f4cff800bac86382d3978"/>
                <w:lock w:val="sdtLocked"/>
                <w:richText/>
              </w:sdtPr>
              <w:sdtContent>
                <w:p>
                  <w:pPr>
                    <w:ind w:firstLine="567"/>
                    <w:jc w:val="both"/>
                    <w:rPr>
                      <w:rFonts w:eastAsia="Calibri"/>
                      <w:b/>
                      <w:bCs/>
                      <w:szCs w:val="24"/>
                    </w:rPr>
                  </w:pPr>
                  <w:sdt>
                    <w:sdtPr>
                      <w:alias w:val="Numeris"/>
                      <w:tag w:val="nr_d6893bb2863f4cff800bac86382d3978"/>
                      <w:lock w:val="sdtLocked"/>
                      <w:richText/>
                    </w:sdtPr>
                    <w:sdtContent>
                      <w:r>
                        <w:rPr>
                          <w:rFonts w:eastAsia="Calibri"/>
                          <w:b/>
                          <w:bCs/>
                          <w:kern w:val="2"/>
                          <w:szCs w:val="24"/>
                          <w:shd w:val="clear" w:color="auto" w:fill="FFFFFF"/>
                        </w:rPr>
                        <w:t>12</w:t>
                      </w:r>
                    </w:sdtContent>
                  </w:sdt>
                  <w:r>
                    <w:rPr>
                      <w:rFonts w:eastAsia="Calibri"/>
                      <w:b/>
                      <w:bCs/>
                      <w:kern w:val="2"/>
                      <w:szCs w:val="24"/>
                      <w:shd w:val="clear" w:color="auto" w:fill="FFFFFF"/>
                    </w:rPr>
                    <w:t>.</w:t>
                  </w:r>
                  <w:r>
                    <w:rPr>
                      <w:rFonts w:eastAsia="Calibri"/>
                      <w:b/>
                      <w:bCs/>
                      <w:szCs w:val="24"/>
                    </w:rPr>
                    <w:t xml:space="preserve"> Pridedami dokumentai.</w:t>
                  </w:r>
                </w:p>
                <w:p>
                  <w:pPr>
                    <w:ind w:firstLine="567"/>
                    <w:jc w:val="both"/>
                    <w:rPr>
                      <w:kern w:val="2"/>
                      <w:szCs w:val="24"/>
                      <w:shd w:val="clear" w:color="auto" w:fill="FFFFFF"/>
                    </w:rPr>
                  </w:pPr>
                  <w:r>
                    <w:rPr>
                      <w:szCs w:val="24"/>
                      <w:lang w:eastAsia="lt-LT"/>
                    </w:rPr>
                    <w:t>UAB „Baisogalos bioenergija“ 2025 m. spalio 27 d. raštas Nr. 207 „Dėl šilumos gamybos ir tiekimo pajamų bazinio lygio nustatymo tretiesiems baziniams metams“ su pridedamais dokumentais</w:t>
                  </w:r>
                  <w:r>
                    <w:rPr>
                      <w:szCs w:val="24"/>
                    </w:rPr>
                    <w:t>.</w:t>
                  </w:r>
                </w:p>
                <w:p>
                  <w:pPr>
                    <w:ind w:firstLine="567"/>
                    <w:jc w:val="both"/>
                    <w:rPr>
                      <w:szCs w:val="24"/>
                    </w:rPr>
                  </w:pPr>
                </w:p>
                <w:p>
                  <w:pPr>
                    <w:jc w:val="both"/>
                    <w:rPr>
                      <w:szCs w:val="24"/>
                    </w:rPr>
                  </w:pPr>
                </w:p>
                <w:p>
                  <w:pPr>
                    <w:widowControl w:val="0"/>
                    <w:tabs>
                      <w:tab w:val="right" w:pos="9638"/>
                    </w:tabs>
                    <w:suppressAutoHyphens/>
                    <w:ind w:firstLine="567"/>
                    <w:jc w:val="both"/>
                    <w:rPr>
                      <w:rFonts w:eastAsia="Lucida Sans Unicode"/>
                      <w:szCs w:val="24"/>
                    </w:rPr>
                  </w:pPr>
                </w:p>
              </w:sdtContent>
            </w:sdt>
          </w:sdtContent>
        </w:sdt>
        <w:sdt>
          <w:sdtPr>
            <w:alias w:val="signatura"/>
            <w:tag w:val="part_44d48b3d9743451698e7330d6d06c29f"/>
            <w:lock w:val="sdtLocked"/>
            <w:richText/>
          </w:sdtPr>
          <w:sdtContent>
            <w:p>
              <w:pPr>
                <w:widowControl w:val="0"/>
                <w:tabs>
                  <w:tab w:val="right" w:pos="9638"/>
                </w:tabs>
                <w:suppressAutoHyphens/>
                <w:jc w:val="both"/>
                <w:rPr>
                  <w:rFonts w:eastAsia="Lucida Sans Unicode"/>
                  <w:szCs w:val="24"/>
                </w:rPr>
              </w:pPr>
              <w:r>
                <w:rPr>
                  <w:rFonts w:eastAsia="Lucida Sans Unicode"/>
                  <w:szCs w:val="24"/>
                </w:rPr>
                <w:t xml:space="preserve">Radviliškio rajono savivaldybės administracijos </w:t>
              </w:r>
            </w:p>
            <w:p>
              <w:pPr>
                <w:widowControl w:val="0"/>
                <w:tabs>
                  <w:tab w:val="right" w:pos="9638"/>
                </w:tabs>
                <w:suppressAutoHyphens/>
                <w:jc w:val="both"/>
                <w:rPr>
                  <w:rFonts w:eastAsia="Lucida Sans Unicode"/>
                  <w:szCs w:val="24"/>
                </w:rPr>
              </w:pPr>
              <w:r>
                <w:rPr>
                  <w:rFonts w:eastAsia="Lucida Sans Unicode"/>
                  <w:szCs w:val="24"/>
                </w:rPr>
                <w:t xml:space="preserve">Investicijų ir turto valdymo skyriaus vyriausioji specialistė                                        Lina Labanauskienė</w:t>
              </w:r>
            </w:p>
            <w:p>
              <w:pPr>
                <w:tabs>
                  <w:tab w:val="left" w:pos="7268"/>
                </w:tabs>
                <w:ind w:firstLine="567"/>
                <w:jc w:val="both"/>
                <w:rPr>
                  <w:szCs w:val="24"/>
                </w:rPr>
              </w:pPr>
            </w:p>
            <w:p>
              <w:pPr>
                <w:tabs>
                  <w:tab w:val="left" w:pos="7268"/>
                </w:tabs>
                <w:ind w:firstLine="567"/>
                <w:jc w:val="both"/>
                <w:rPr>
                  <w:szCs w:val="24"/>
                </w:rPr>
              </w:pPr>
            </w:p>
            <w:p>
              <w:pPr>
                <w:tabs>
                  <w:tab w:val="left" w:pos="7268"/>
                </w:tabs>
                <w:ind w:firstLine="567"/>
                <w:jc w:val="both"/>
                <w:rPr>
                  <w:szCs w:val="24"/>
                </w:rPr>
              </w:pPr>
            </w:p>
            <w:p>
              <w:pPr>
                <w:tabs>
                  <w:tab w:val="left" w:pos="7268"/>
                </w:tabs>
                <w:jc w:val="both"/>
                <w:rPr>
                  <w:szCs w:val="24"/>
                </w:rPr>
              </w:pPr>
              <w:r>
                <w:rPr>
                  <w:szCs w:val="24"/>
                </w:rPr>
                <w:t xml:space="preserve">UAB „Baisogalos bioenergija“ direktorius </w:t>
                <w:tab/>
                <w:t xml:space="preserve">  </w:t>
                <w:tab/>
                <w:t>Tadas Misevičius</w:t>
              </w:r>
            </w:p>
          </w:sdtContent>
        </w:sdt>
      </w:sdtContent>
    </w:sdt>
    <w:sectPr>
      <w:footerReference w:type="even" r:id="rId6"/>
      <w:headerReference w:type="first" r:id="rId7"/>
      <w:footerReference w:type="first" r:id="rId8"/>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lang w:eastAsia="lt-LT"/>
        </w:rPr>
      </w:pPr>
      <w:r>
        <w:rPr>
          <w:lang w:eastAsia="lt-LT"/>
        </w:rPr>
        <w:separator/>
      </w:r>
    </w:p>
  </w:endnote>
  <w:endnote w:type="continuationSeparator" w:id="0">
    <w:p>
      <w:pPr>
        <w:jc w:val="both"/>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jc w:val="both"/>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jc w:val="both"/>
      <w:rPr>
        <w:lang w:eastAsia="lt-LT"/>
      </w:rPr>
    </w:pPr>
  </w:p>
  <w:p/>
  <w:p/>
  <w:p/>
  <w:p/>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sz w:val="1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lang w:eastAsia="lt-LT"/>
        </w:rPr>
      </w:pPr>
      <w:r>
        <w:rPr>
          <w:lang w:eastAsia="lt-LT"/>
        </w:rPr>
        <w:separator/>
      </w:r>
    </w:p>
  </w:footnote>
  <w:footnote w:type="continuationSeparator" w:id="0">
    <w:p>
      <w:pPr>
        <w:jc w:val="both"/>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0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10F8E037-AB73-492B-8EF0-8290A42427B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238895">
      <w:marLeft w:val="0"/>
      <w:marRight w:val="0"/>
      <w:marTop w:val="0"/>
      <w:marBottom w:val="0"/>
      <w:divBdr>
        <w:top w:val="none" w:sz="0" w:space="0" w:color="auto"/>
        <w:left w:val="none" w:sz="0" w:space="0" w:color="auto"/>
        <w:bottom w:val="none" w:sz="0" w:space="0" w:color="auto"/>
        <w:right w:val="none" w:sz="0" w:space="0" w:color="auto"/>
      </w:divBdr>
    </w:div>
    <w:div w:id="18238896">
      <w:marLeft w:val="0"/>
      <w:marRight w:val="0"/>
      <w:marTop w:val="0"/>
      <w:marBottom w:val="0"/>
      <w:divBdr>
        <w:top w:val="none" w:sz="0" w:space="0" w:color="auto"/>
        <w:left w:val="none" w:sz="0" w:space="0" w:color="auto"/>
        <w:bottom w:val="none" w:sz="0" w:space="0" w:color="auto"/>
        <w:right w:val="none" w:sz="0" w:space="0" w:color="auto"/>
      </w:divBdr>
    </w:div>
    <w:div w:id="210385478">
      <w:bodyDiv w:val="1"/>
      <w:marLeft w:val="0"/>
      <w:marRight w:val="0"/>
      <w:marTop w:val="0"/>
      <w:marBottom w:val="0"/>
      <w:divBdr>
        <w:top w:val="none" w:sz="0" w:space="0" w:color="auto"/>
        <w:left w:val="none" w:sz="0" w:space="0" w:color="auto"/>
        <w:bottom w:val="none" w:sz="0" w:space="0" w:color="auto"/>
        <w:right w:val="none" w:sz="0" w:space="0" w:color="auto"/>
      </w:divBdr>
    </w:div>
    <w:div w:id="396048848">
      <w:bodyDiv w:val="1"/>
      <w:marLeft w:val="0"/>
      <w:marRight w:val="0"/>
      <w:marTop w:val="0"/>
      <w:marBottom w:val="0"/>
      <w:divBdr>
        <w:top w:val="none" w:sz="0" w:space="0" w:color="auto"/>
        <w:left w:val="none" w:sz="0" w:space="0" w:color="auto"/>
        <w:bottom w:val="none" w:sz="0" w:space="0" w:color="auto"/>
        <w:right w:val="none" w:sz="0" w:space="0" w:color="auto"/>
      </w:divBdr>
      <w:divsChild>
        <w:div w:id="293800601">
          <w:marLeft w:val="0"/>
          <w:marRight w:val="0"/>
          <w:marTop w:val="0"/>
          <w:marBottom w:val="0"/>
          <w:divBdr>
            <w:top w:val="none" w:sz="0" w:space="0" w:color="auto"/>
            <w:left w:val="none" w:sz="0" w:space="0" w:color="auto"/>
            <w:bottom w:val="none" w:sz="0" w:space="0" w:color="auto"/>
            <w:right w:val="none" w:sz="0" w:space="0" w:color="auto"/>
          </w:divBdr>
          <w:divsChild>
            <w:div w:id="1485929124">
              <w:marLeft w:val="0"/>
              <w:marRight w:val="0"/>
              <w:marTop w:val="0"/>
              <w:marBottom w:val="0"/>
              <w:divBdr>
                <w:top w:val="none" w:sz="0" w:space="0" w:color="auto"/>
                <w:left w:val="none" w:sz="0" w:space="0" w:color="auto"/>
                <w:bottom w:val="none" w:sz="0" w:space="0" w:color="auto"/>
                <w:right w:val="none" w:sz="0" w:space="0" w:color="auto"/>
              </w:divBdr>
              <w:divsChild>
                <w:div w:id="811337487">
                  <w:marLeft w:val="0"/>
                  <w:marRight w:val="0"/>
                  <w:marTop w:val="0"/>
                  <w:marBottom w:val="0"/>
                  <w:divBdr>
                    <w:top w:val="none" w:sz="0" w:space="0" w:color="auto"/>
                    <w:left w:val="none" w:sz="0" w:space="0" w:color="auto"/>
                    <w:bottom w:val="none" w:sz="0" w:space="0" w:color="auto"/>
                    <w:right w:val="none" w:sz="0" w:space="0" w:color="auto"/>
                  </w:divBdr>
                </w:div>
                <w:div w:id="141728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317405">
      <w:bodyDiv w:val="1"/>
      <w:marLeft w:val="0"/>
      <w:marRight w:val="0"/>
      <w:marTop w:val="0"/>
      <w:marBottom w:val="0"/>
      <w:divBdr>
        <w:top w:val="none" w:sz="0" w:space="0" w:color="auto"/>
        <w:left w:val="none" w:sz="0" w:space="0" w:color="auto"/>
        <w:bottom w:val="none" w:sz="0" w:space="0" w:color="auto"/>
        <w:right w:val="none" w:sz="0" w:space="0" w:color="auto"/>
      </w:divBdr>
    </w:div>
    <w:div w:id="1291132768">
      <w:bodyDiv w:val="1"/>
      <w:marLeft w:val="0"/>
      <w:marRight w:val="0"/>
      <w:marTop w:val="0"/>
      <w:marBottom w:val="0"/>
      <w:divBdr>
        <w:top w:val="none" w:sz="0" w:space="0" w:color="auto"/>
        <w:left w:val="none" w:sz="0" w:space="0" w:color="auto"/>
        <w:bottom w:val="none" w:sz="0" w:space="0" w:color="auto"/>
        <w:right w:val="none" w:sz="0" w:space="0" w:color="auto"/>
      </w:divBdr>
    </w:div>
    <w:div w:id="1711415252">
      <w:bodyDiv w:val="1"/>
      <w:marLeft w:val="0"/>
      <w:marRight w:val="0"/>
      <w:marTop w:val="0"/>
      <w:marBottom w:val="0"/>
      <w:divBdr>
        <w:top w:val="none" w:sz="0" w:space="0" w:color="auto"/>
        <w:left w:val="none" w:sz="0" w:space="0" w:color="auto"/>
        <w:bottom w:val="none" w:sz="0" w:space="0" w:color="auto"/>
        <w:right w:val="none" w:sz="0" w:space="0" w:color="auto"/>
      </w:divBdr>
      <w:divsChild>
        <w:div w:id="183441696">
          <w:marLeft w:val="0"/>
          <w:marRight w:val="0"/>
          <w:marTop w:val="0"/>
          <w:marBottom w:val="0"/>
          <w:divBdr>
            <w:top w:val="none" w:sz="0" w:space="0" w:color="auto"/>
            <w:left w:val="none" w:sz="0" w:space="0" w:color="auto"/>
            <w:bottom w:val="none" w:sz="0" w:space="0" w:color="auto"/>
            <w:right w:val="none" w:sz="0" w:space="0" w:color="auto"/>
          </w:divBdr>
          <w:divsChild>
            <w:div w:id="1328358439">
              <w:marLeft w:val="0"/>
              <w:marRight w:val="0"/>
              <w:marTop w:val="0"/>
              <w:marBottom w:val="0"/>
              <w:divBdr>
                <w:top w:val="none" w:sz="0" w:space="0" w:color="auto"/>
                <w:left w:val="none" w:sz="0" w:space="0" w:color="auto"/>
                <w:bottom w:val="none" w:sz="0" w:space="0" w:color="auto"/>
                <w:right w:val="none" w:sz="0" w:space="0" w:color="auto"/>
              </w:divBdr>
              <w:divsChild>
                <w:div w:id="579946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534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theme" Target="theme/theme1.xml"/>
  <Relationship Id="rId11"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oter" Target="footer1.xml"/>
  <Relationship Id="rId7" Type="http://schemas.openxmlformats.org/officeDocument/2006/relationships/header" Target="header1.xml"/>
  <Relationship Id="rId8" Type="http://schemas.openxmlformats.org/officeDocument/2006/relationships/footer" Target="footer2.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efa8e0e2ac4ad3ae635c753af7cace" PartId="cf5e613688314692a0f50e2989d68e2a">
    <Part Type="preambule" DocPartId="65c9aa20b42e47909ef7c116405537ba" PartId="79f7d405ae7b4d299f98a3e93c3e3377"/>
    <Part Type="punktas" Nr="1" Abbr="1 p." DocPartId="5738b95369434e818e3012945bf2e4a6" PartId="0303122b49654634b2b3d13b18a8f034">
      <Part Type="papunktis" Nr="1.1" Abbr="1.1 pp." DocPartId="8f93db1f148d40fab0689aea704e87c2" PartId="5f0e60d02e2a4716bfdff01cb4ca5e3c">
        <Part Type="papunktis" Nr="1.1.1" Abbr="1.1.1 pp." DocPartId="deda57f1bc5246e58295495ec2d5e533" PartId="af5c6a70e4274591af6cc4b820ab3f0f"/>
        <Part Type="papunktis" Nr="1.1.2" Abbr="1.1.2 pp." DocPartId="ba34f4316c674c74ad20bc937ec1fa62" PartId="2f4afb20841e497991ec78aadbe10573"/>
      </Part>
    </Part>
    <Part Type="punktas" Nr="2" Abbr="2 p." DocPartId="474f13d1936048b7a9e2bc994da9d7f0" PartId="44c70878e3824e99ad0474f4f95517ed"/>
    <Part Type="skirsnis" Title="RADVILIŠKIO RAJONO SAVIVALDYBĖS TARYBOS SPRENDIMO PROJEKTO „DĖL UŽDAROSIOS AKCINĖS BENDROVĖS „BAISOGALOS BIOENERGIJA“ KOREGUOTO ŠILUMOS GAMYBOS IR TIEKIMO PAJAMŲ BAZINIO LYGIO TRETIESIEMS ŠILUMOS GAMYBOS IR TIEKIMO PAJAMŲ BAZINIO LYGIO GALIOJIMO METAMS NUSTATYMO “ AIŠKINAMASIS RAŠTAS" DocPartId="4f78611208f74ec1a7c370802d42676f" PartId="6bddc841b46445c6a5c0e624c4caec67">
      <Part Type="punktas" Nr="1" Abbr="1 p." DocPartId="ec4862e1f7b1452495d482be7e195d49" PartId="8c934181380441288786304a58e14d8e"/>
      <Part Type="punktas" Nr="2" Abbr="2 p." DocPartId="ce65e5b0794d478b8b65999dd53f1edf" PartId="5c6f557fb3f049dfa8c6f31cf9862949"/>
      <Part Type="punktas" Nr="3" Abbr="3 p." DocPartId="9b3ed1022ce84dd29310aa6b63df8915" PartId="ad38d2decc014a92ae90862fc82b1399"/>
      <Part Type="punktas" Nr="4" Abbr="4 p." DocPartId="5077a9e471fc4275a5fbdfb6f30490e7" PartId="9d0d42f885024c398a92d4352c079709"/>
      <Part Type="punktas" Nr="5" Abbr="5 p." DocPartId="44b995881b0a481eb857f8ad0ed4f1cc" PartId="cab14f8508e04bf081015934b4231941"/>
      <Part Type="punktas" Nr="6" Abbr="6 p." DocPartId="a34e6c057eee403fb69ab995580e589a" PartId="446ae54bccef4269874adea6567beb52"/>
      <Part Type="punktas" Nr="7" Abbr="7 p." DocPartId="71a97b1981584f38b16b78a83ca07bdd" PartId="8ccd23f9a58b456d948d253c083461ff"/>
      <Part Type="punktas" Nr="8" Abbr="8 p." DocPartId="6f71f14bc42744f48c06c11918a3a3f0" PartId="e93cdec3b7e4429dab933c512f5081d7"/>
      <Part Type="punktas" Nr="9" Abbr="9 p." DocPartId="b2134cfa88404cd88df1e9499345f613" PartId="aed37181cd8c483182fd44f3e4d3fa7e"/>
      <Part Type="punktas" Nr="10" Abbr="10 p." DocPartId="ac55aba1608c42958c95cc9c9a6aaa59" PartId="1425dca9c59640e9b8b4b52287174a15"/>
      <Part Type="punktas" Nr="11" Abbr="11 p." DocPartId="a1a1cb97e61c41b89fc9adafe21a4450" PartId="8dea4dd3f7324662b09b4dbdf0564688"/>
      <Part Type="punktas" Nr="12" Abbr="12 p." DocPartId="4da1f293611045ec93d8e1b0c96422c2" PartId="d6893bb2863f4cff800bac86382d3978"/>
    </Part>
    <Part Type="signatura" DocPartId="bcce37875908460898ee520fe416a0cd" PartId="44d48b3d9743451698e7330d6d06c29f"/>
  </Part>
</Parts>
</file>

<file path=customXml/itemProps1.xml><?xml version="1.0" encoding="utf-8"?>
<ds:datastoreItem xmlns:ds="http://schemas.openxmlformats.org/officeDocument/2006/customXml" ds:itemID="{439F4EC5-BE32-4CA0-A8E1-33590D1294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1157</Words>
  <Characters>7625</Characters>
  <Application>Microsoft Office Word</Application>
  <DocSecurity>4</DocSecurity>
  <Lines>206</Lines>
  <Paragraphs>117</Paragraphs>
  <ScaleCrop>false</ScaleCrop>
  <HeadingPairs>
    <vt:vector size="2" baseType="variant">
      <vt:variant>
        <vt:lpstr>Pavadinimas</vt:lpstr>
      </vt:variant>
      <vt:variant>
        <vt:i4>1</vt:i4>
      </vt:variant>
    </vt:vector>
  </HeadingPairs>
  <TitlesOfParts>
    <vt:vector size="1" baseType="lpstr">
      <vt:lpstr>VALSTYBINĖ KAINŲ IR ENERGETIKOS KONTROLĖS KOMISIJA</vt:lpstr>
    </vt:vector>
  </TitlesOfParts>
  <Company>KPC</Company>
  <LinksUpToDate>false</LinksUpToDate>
  <CharactersWithSpaces>8665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2025-11-21T07:49:00Z</dcterms:created>
  <dc:creator>Vilma</dc:creator>
  <lastModifiedBy>adlibuser</lastModifiedBy>
  <lastPrinted>2018-11-16T11:15:00Z</lastPrinted>
  <dcterms:modified xsi:type="dcterms:W3CDTF">2025-11-21T07:49:00Z</dcterms:modified>
  <revision>2</revision>
  <dc:title>VALSTYBINĖ KAINŲ IR ENERGETIKOS KONTROLĖS KOMISIJA</dc:title>
</coreProperties>
</file>