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db722883f3e41d8bb597e587e935589"/>
        <w:lock w:val="sdtLocked"/>
        <w:richText/>
      </w:sdtPr>
      <w:sdtContent>
        <w:p w14:paraId="0E9686A3" w14:textId="77777777">
          <w:pPr>
            <w:tabs>
              <w:tab w:val="center" w:pos="4819"/>
              <w:tab w:val="right" w:pos="9638"/>
            </w:tabs>
            <w:ind w:right="140"/>
            <w:jc w:val="center"/>
            <w:rPr>
              <w:rFonts w:ascii="Calibri" w:hAnsi="Calibri" w:cs="Calibri"/>
              <w:sz w:val="22"/>
              <w:szCs w:val="22"/>
            </w:rPr>
          </w:pPr>
        </w:p>
        <w:p w14:paraId="627E997E" w14:textId="091162D8">
          <w:pPr>
            <w:ind w:left="6803" w:firstLine="622"/>
            <w:jc w:val="right"/>
            <w:textAlignment w:val="center"/>
            <w:rPr>
              <w:b/>
              <w:bCs/>
              <w:color w:val="000000"/>
              <w:szCs w:val="24"/>
            </w:rPr>
          </w:pPr>
          <w:r>
            <w:rPr>
              <w:b/>
              <w:bCs/>
              <w:color w:val="000000"/>
              <w:szCs w:val="24"/>
            </w:rPr>
            <w:t>Projektas</w:t>
          </w:r>
        </w:p>
        <w:p w14:paraId="2371530A" w14:textId="77777777">
          <w:pPr>
            <w:ind w:left="6803" w:firstLine="312"/>
            <w:jc w:val="right"/>
            <w:textAlignment w:val="center"/>
            <w:rPr>
              <w:b/>
              <w:bCs/>
              <w:color w:val="000000"/>
              <w:szCs w:val="24"/>
            </w:rPr>
          </w:pPr>
        </w:p>
        <w:p w14:paraId="4D8B69C5" w14:textId="77777777">
          <w:pPr>
            <w:tabs>
              <w:tab w:val="left" w:pos="709"/>
            </w:tabs>
            <w:spacing w:line="276" w:lineRule="auto"/>
            <w:jc w:val="center"/>
            <w:rPr>
              <w:b/>
              <w:bCs/>
              <w:szCs w:val="24"/>
              <w:lang w:eastAsia="lt-LT"/>
            </w:rPr>
          </w:pPr>
          <w:r>
            <w:rPr>
              <w:b/>
              <w:bCs/>
              <w:szCs w:val="24"/>
              <w:lang w:eastAsia="lt-LT"/>
            </w:rPr>
            <w:t>LIETUVOS RESPUBLIKOS ENERGETIKOS MINISTRAS</w:t>
          </w:r>
        </w:p>
        <w:p w14:paraId="78657AD0" w14:textId="77777777">
          <w:pPr>
            <w:overflowPunct w:val="0"/>
            <w:spacing w:line="276" w:lineRule="auto"/>
            <w:jc w:val="center"/>
            <w:textAlignment w:val="baseline"/>
            <w:rPr>
              <w:b/>
              <w:bCs/>
              <w:szCs w:val="24"/>
              <w:lang w:eastAsia="lt-LT"/>
            </w:rPr>
          </w:pPr>
        </w:p>
        <w:p w14:paraId="68256C01" w14:textId="77777777">
          <w:pPr>
            <w:overflowPunct w:val="0"/>
            <w:jc w:val="center"/>
            <w:textAlignment w:val="baseline"/>
            <w:rPr>
              <w:szCs w:val="24"/>
              <w:lang w:eastAsia="lt-LT"/>
            </w:rPr>
          </w:pPr>
          <w:r>
            <w:rPr>
              <w:b/>
              <w:bCs/>
              <w:szCs w:val="24"/>
              <w:lang w:eastAsia="lt-LT"/>
            </w:rPr>
            <w:t>ĮSAKYMAS</w:t>
          </w:r>
        </w:p>
        <w:p w14:paraId="7EAD58AC" w14:textId="461E2D8A">
          <w:pPr>
            <w:overflowPunct w:val="0"/>
            <w:jc w:val="center"/>
            <w:textAlignment w:val="baseline"/>
            <w:rPr>
              <w:szCs w:val="24"/>
            </w:rPr>
          </w:pPr>
          <w:r>
            <w:rPr>
              <w:b/>
              <w:bCs/>
              <w:szCs w:val="24"/>
              <w:lang w:eastAsia="lt-LT"/>
            </w:rPr>
            <w:t>DĖL LIETUVOS RESPUBLIKOS ENERGETIKOS MINISTRO 2016 M. RUGSĖJO 23 D. ĮSAKYMO NR. 1-253 „</w:t>
          </w:r>
          <w:r>
            <w:rPr>
              <w:b/>
              <w:bCs/>
              <w:szCs w:val="24"/>
            </w:rPr>
            <w:t xml:space="preserve">DĖL </w:t>
          </w:r>
          <w:r>
            <w:rPr>
              <w:b/>
              <w:bCs/>
              <w:caps/>
              <w:szCs w:val="24"/>
            </w:rPr>
            <w:t xml:space="preserve">2014–2020 METŲ EUROPOS SĄJUNGOS FONDŲ INVESTICIJŲ VEIKSMŲ PROGRAMOS 6 PRIORITETO „DARNAUS TRANSPORTO IR PAGRINDINIŲ TINKLŲ INFRASTRUKTŪROS PLĖTRA“ </w:t>
          </w:r>
          <w:r>
            <w:rPr>
              <w:b/>
              <w:caps/>
              <w:szCs w:val="24"/>
            </w:rPr>
            <w:t>06.3.1-LVPA-V-104 priemonės „Gamtinių dujų</w:t>
          </w:r>
          <w:r>
            <w:rPr>
              <w:b/>
              <w:bCs/>
              <w:caps/>
              <w:color w:val="000000"/>
              <w:szCs w:val="24"/>
            </w:rPr>
            <w:t xml:space="preserve"> perdavimo sistemos modernizavimas ir plėtra</w:t>
          </w:r>
          <w:r>
            <w:rPr>
              <w:b/>
              <w:caps/>
              <w:szCs w:val="24"/>
            </w:rPr>
            <w:t>“</w:t>
          </w:r>
          <w:r>
            <w:rPr>
              <w:b/>
              <w:bCs/>
              <w:caps/>
              <w:szCs w:val="24"/>
            </w:rPr>
            <w:t xml:space="preserve">  PROJEKTŲ FINANSAVIMO SĄLYGŲ APRAŠO Nr. 2 PATVIRTINIMO</w:t>
          </w:r>
          <w:r>
            <w:rPr>
              <w:b/>
              <w:bCs/>
              <w:caps/>
              <w:szCs w:val="24"/>
              <w:lang w:eastAsia="lt-LT"/>
            </w:rPr>
            <w:t xml:space="preserve">“ PAKEITIMO </w:t>
          </w:r>
        </w:p>
        <w:p w14:paraId="5B2FB76B" w14:textId="77777777">
          <w:pPr>
            <w:overflowPunct w:val="0"/>
            <w:spacing w:line="276" w:lineRule="auto"/>
            <w:jc w:val="center"/>
            <w:textAlignment w:val="baseline"/>
            <w:rPr>
              <w:b/>
              <w:bCs/>
              <w:szCs w:val="24"/>
              <w:lang w:eastAsia="lt-LT"/>
            </w:rPr>
          </w:pPr>
        </w:p>
        <w:p w14:paraId="509C644E" w14:textId="77777777">
          <w:pPr>
            <w:keepNext/>
            <w:overflowPunct w:val="0"/>
            <w:spacing w:line="276" w:lineRule="auto"/>
            <w:jc w:val="center"/>
            <w:textAlignment w:val="baseline"/>
            <w:rPr>
              <w:szCs w:val="24"/>
              <w:lang w:eastAsia="lt-LT"/>
            </w:rPr>
          </w:pPr>
          <w:r>
            <w:rPr>
              <w:szCs w:val="24"/>
              <w:lang w:eastAsia="lt-LT"/>
            </w:rPr>
            <w:t xml:space="preserve">2018 m.                        Nr. </w:t>
          </w:r>
        </w:p>
        <w:p w14:paraId="1AC0D569" w14:textId="77777777">
          <w:pPr>
            <w:overflowPunct w:val="0"/>
            <w:spacing w:line="276" w:lineRule="auto"/>
            <w:jc w:val="center"/>
            <w:textAlignment w:val="baseline"/>
            <w:rPr>
              <w:szCs w:val="24"/>
              <w:lang w:eastAsia="lt-LT"/>
            </w:rPr>
          </w:pPr>
          <w:r>
            <w:rPr>
              <w:szCs w:val="24"/>
              <w:lang w:eastAsia="lt-LT"/>
            </w:rPr>
            <w:t>Vilnius</w:t>
          </w:r>
        </w:p>
        <w:p w14:paraId="72C7E526" w14:textId="77777777">
          <w:pPr>
            <w:overflowPunct w:val="0"/>
            <w:spacing w:line="276" w:lineRule="auto"/>
            <w:jc w:val="center"/>
            <w:textAlignment w:val="baseline"/>
            <w:rPr>
              <w:szCs w:val="24"/>
              <w:lang w:eastAsia="lt-LT"/>
            </w:rPr>
          </w:pPr>
        </w:p>
        <w:sdt>
          <w:sdtPr>
            <w:alias w:val="preambule"/>
            <w:tag w:val="part_9a8436d2d1f443278134be96d663cc22"/>
            <w:lock w:val="sdtLocked"/>
            <w:richText/>
          </w:sdtPr>
          <w:sdtContent>
            <w:p w14:paraId="79AED1FF" w14:textId="77777777">
              <w:pPr>
                <w:tabs>
                  <w:tab w:val="left" w:pos="1134"/>
                </w:tabs>
                <w:overflowPunct w:val="0"/>
                <w:ind w:firstLine="851"/>
                <w:jc w:val="both"/>
                <w:textAlignment w:val="baseline"/>
                <w:rPr>
                  <w:szCs w:val="24"/>
                </w:rPr>
              </w:pPr>
              <w:r>
                <w:rPr>
                  <w:color w:val="000000"/>
                  <w:szCs w:val="24"/>
                  <w:lang w:eastAsia="lt-LT"/>
                </w:rPr>
                <w:t xml:space="preserve">P a k e i č i u </w:t>
              </w:r>
              <w:r>
                <w:rPr>
                  <w:szCs w:val="24"/>
                </w:rPr>
                <w:t>2014–2020 metų Europos Sąjungos fondų investicijų veiksmų programos 6 prioriteto „Darnaus transporto ir pagrindinių tinklų infrastruktūros plėtra“ 06.3.1-LVPA-V-104 priemonės „Gamtinių dujų</w:t>
              </w:r>
              <w:r>
                <w:rPr>
                  <w:bCs/>
                  <w:caps/>
                  <w:color w:val="000000"/>
                  <w:szCs w:val="24"/>
                </w:rPr>
                <w:t xml:space="preserve"> </w:t>
              </w:r>
              <w:r>
                <w:rPr>
                  <w:bCs/>
                  <w:color w:val="000000"/>
                  <w:szCs w:val="24"/>
                </w:rPr>
                <w:t>perdavimo sistemos modernizavimas ir plėtra</w:t>
              </w:r>
              <w:r>
                <w:rPr>
                  <w:szCs w:val="24"/>
                </w:rPr>
                <w:t xml:space="preserve">“ projektų finansavimo sąlygų aprašą Nr. 2, patvirtintą </w:t>
              </w:r>
              <w:r>
                <w:rPr>
                  <w:color w:val="000000"/>
                  <w:szCs w:val="24"/>
                  <w:lang w:eastAsia="lt-LT"/>
                </w:rPr>
                <w:t xml:space="preserve">Lietuvos Respublikos energetikos ministro 2016 m. </w:t>
              </w:r>
              <w:r>
                <w:rPr>
                  <w:bCs/>
                  <w:szCs w:val="24"/>
                  <w:lang w:eastAsia="lt-LT"/>
                </w:rPr>
                <w:t>rugsėjo 23</w:t>
              </w:r>
              <w:r>
                <w:rPr>
                  <w:b/>
                  <w:bCs/>
                  <w:szCs w:val="24"/>
                  <w:lang w:eastAsia="lt-LT"/>
                </w:rPr>
                <w:t xml:space="preserve"> </w:t>
              </w:r>
              <w:r>
                <w:rPr>
                  <w:color w:val="000000"/>
                  <w:szCs w:val="24"/>
                  <w:lang w:eastAsia="lt-LT"/>
                </w:rPr>
                <w:t>d. įsakymu Nr. 1-253 „Dėl 2014–2020 metų Europos Sąjungos fondų investicijų veiksmų programos 6 prioriteto „Darnaus transporto ir pagrindinių tinklų infrastruktūros plėtra“ 06.3.1-LVPA-V-104 priemonės „Gamtinių dujų perdavimo sistemos modernizavimas ir plėtra“ projektų finansavimo sąlygų aprašo Nr. 2 patvirtinimo“:</w:t>
              </w:r>
            </w:p>
          </w:sdtContent>
        </w:sdt>
        <w:sdt>
          <w:sdtPr>
            <w:alias w:val="1 p."/>
            <w:tag w:val="part_91bac08cf07f4ba8b5dde97cb5fcc2ea"/>
            <w:lock w:val="sdtLocked"/>
            <w:richText/>
          </w:sdtPr>
          <w:sdtContent>
            <w:p w14:paraId="42BB12C1" w14:textId="3F23C97B">
              <w:pPr>
                <w:tabs>
                  <w:tab w:val="left" w:pos="0"/>
                  <w:tab w:val="left" w:pos="567"/>
                  <w:tab w:val="left" w:pos="851"/>
                </w:tabs>
                <w:ind w:left="720" w:firstLine="131"/>
                <w:jc w:val="both"/>
                <w:rPr>
                  <w:color w:val="000000"/>
                  <w:szCs w:val="24"/>
                  <w:lang w:eastAsia="lt-LT"/>
                </w:rPr>
              </w:pPr>
              <w:sdt>
                <w:sdtPr>
                  <w:alias w:val="Numeris"/>
                  <w:tag w:val="nr_91bac08cf07f4ba8b5dde97cb5fcc2ea"/>
                  <w:lock w:val="sdtLocked"/>
                  <w:richText/>
                </w:sdtPr>
                <w:sdtContent>
                  <w:r>
                    <w:rPr>
                      <w:color w:val="000000"/>
                      <w:szCs w:val="24"/>
                      <w:lang w:eastAsia="lt-LT"/>
                    </w:rPr>
                    <w:t>1</w:t>
                  </w:r>
                </w:sdtContent>
              </w:sdt>
              <w:r>
                <w:rPr>
                  <w:color w:val="000000"/>
                  <w:szCs w:val="24"/>
                  <w:lang w:eastAsia="lt-LT"/>
                </w:rPr>
                <w:t>.</w:t>
                <w:tab/>
                <w:t xml:space="preserve">Pakeičiu </w:t>
              </w:r>
              <w:r>
                <w:rPr>
                  <w:szCs w:val="24"/>
                </w:rPr>
                <w:t xml:space="preserve">53 punktą </w:t>
              </w:r>
              <w:r>
                <w:rPr>
                  <w:color w:val="000000"/>
                  <w:szCs w:val="24"/>
                  <w:lang w:eastAsia="lt-LT"/>
                </w:rPr>
                <w:t>ir jį išdėstau taip:</w:t>
              </w:r>
            </w:p>
            <w:sdt>
              <w:sdtPr>
                <w:alias w:val="citata"/>
                <w:tag w:val="part_aba5a76954c4486e923ca11311ac05d5"/>
                <w:lock w:val="sdtLocked"/>
                <w:richText/>
              </w:sdtPr>
              <w:sdtContent>
                <w:sdt>
                  <w:sdtPr>
                    <w:alias w:val="53 p."/>
                    <w:tag w:val="part_5dee5aff282b4b3d9a0b504017286a59"/>
                    <w:lock w:val="sdtLocked"/>
                    <w:richText/>
                  </w:sdtPr>
                  <w:sdtContent>
                    <w:p w14:paraId="1DCB5E57" w14:textId="387EB839">
                      <w:pPr>
                        <w:spacing w:line="276" w:lineRule="auto"/>
                        <w:ind w:firstLine="851"/>
                        <w:jc w:val="both"/>
                        <w:textAlignment w:val="baseline"/>
                        <w:rPr>
                          <w:szCs w:val="24"/>
                          <w:lang w:eastAsia="lt-LT"/>
                        </w:rPr>
                      </w:pPr>
                      <w:r>
                        <w:rPr>
                          <w:szCs w:val="24"/>
                          <w:lang w:eastAsia="lt-LT"/>
                        </w:rPr>
                        <w:t>„</w:t>
                      </w:r>
                      <w:sdt>
                        <w:sdtPr>
                          <w:alias w:val="Numeris"/>
                          <w:tag w:val="nr_5dee5aff282b4b3d9a0b504017286a59"/>
                          <w:lock w:val="sdtLocked"/>
                          <w:richText/>
                        </w:sdtPr>
                        <w:sdtContent>
                          <w:r>
                            <w:rPr>
                              <w:szCs w:val="24"/>
                              <w:lang w:eastAsia="lt-LT"/>
                            </w:rPr>
                            <w:t>53</w:t>
                          </w:r>
                        </w:sdtContent>
                      </w:sdt>
                      <w:r>
                        <w:rPr>
                          <w:szCs w:val="24"/>
                          <w:lang w:eastAsia="lt-LT"/>
                        </w:rPr>
                        <w:t>. Pareiškėjas, vadovaudamasis Atrankos tvarkos aprašu, turi Ministerijai pateikti: </w:t>
                      </w:r>
                    </w:p>
                    <w:sdt>
                      <w:sdtPr>
                        <w:alias w:val="53.1 pp."/>
                        <w:tag w:val="part_7e9ab1cd267740cf83d0fe56dab39f96"/>
                        <w:lock w:val="sdtLocked"/>
                        <w:richText/>
                      </w:sdtPr>
                      <w:sdtContent>
                        <w:p w14:paraId="1DEEFC7C" w14:textId="129640AD">
                          <w:pPr>
                            <w:ind w:firstLine="851"/>
                            <w:jc w:val="both"/>
                            <w:textAlignment w:val="baseline"/>
                            <w:rPr>
                              <w:color w:val="000000"/>
                              <w:szCs w:val="24"/>
                              <w:lang w:eastAsia="lt-LT"/>
                            </w:rPr>
                          </w:pPr>
                          <w:sdt>
                            <w:sdtPr>
                              <w:alias w:val="Numeris"/>
                              <w:tag w:val="nr_7e9ab1cd267740cf83d0fe56dab39f96"/>
                              <w:lock w:val="sdtLocked"/>
                              <w:richText/>
                            </w:sdtPr>
                            <w:sdtContent>
                              <w:r>
                                <w:rPr>
                                  <w:szCs w:val="24"/>
                                  <w:lang w:eastAsia="lt-LT"/>
                                </w:rPr>
                                <w:t>53.1</w:t>
                              </w:r>
                            </w:sdtContent>
                          </w:sdt>
                          <w:r>
                            <w:rPr>
                              <w:szCs w:val="24"/>
                              <w:lang w:eastAsia="lt-LT"/>
                            </w:rPr>
                            <w:t xml:space="preserve">. projektinį pasiūlymą dėl valstybės projekto įgyvendinimo, parengtą pagal formą, numatytą Atrankos tvarkos aprašo 1 priede, ir investicijų projektą </w:t>
                          </w:r>
                          <w:r>
                            <w:rPr>
                              <w:bCs/>
                              <w:szCs w:val="24"/>
                              <w:lang w:eastAsia="lt-LT"/>
                            </w:rPr>
                            <w:t>(.docx formatu)</w:t>
                          </w:r>
                          <w:r>
                            <w:rPr>
                              <w:szCs w:val="24"/>
                              <w:lang w:eastAsia="lt-LT"/>
                            </w:rPr>
                            <w:t xml:space="preserve"> su Sąnaudų ir naudos analizės rezultatų skaičiuokle </w:t>
                          </w:r>
                          <w:r>
                            <w:rPr>
                              <w:bCs/>
                              <w:szCs w:val="24"/>
                              <w:lang w:eastAsia="lt-LT"/>
                            </w:rPr>
                            <w:t>(.xlsx formatu</w:t>
                          </w:r>
                          <w:r>
                            <w:rPr>
                              <w:szCs w:val="24"/>
                            </w:rPr>
                            <w:t xml:space="preserve">), </w:t>
                          </w:r>
                          <w:r>
                            <w:rPr>
                              <w:szCs w:val="24"/>
                              <w:lang w:eastAsia="lt-LT"/>
                            </w:rPr>
                            <w:t>kaip nurodyta Aprašo 26.1 papunktyje.</w:t>
                          </w:r>
                        </w:p>
                      </w:sdtContent>
                    </w:sdt>
                    <w:sdt>
                      <w:sdtPr>
                        <w:alias w:val="53.2 pp."/>
                        <w:tag w:val="part_566993ee3be2480796aa7f6ed22ecfbe"/>
                        <w:lock w:val="sdtLocked"/>
                        <w:richText/>
                      </w:sdtPr>
                      <w:sdtContent>
                        <w:p w14:paraId="19A9A81F" w14:textId="77777777">
                          <w:pPr>
                            <w:tabs>
                              <w:tab w:val="left" w:pos="1418"/>
                            </w:tabs>
                            <w:overflowPunct w:val="0"/>
                            <w:ind w:firstLine="851"/>
                            <w:jc w:val="both"/>
                            <w:textAlignment w:val="baseline"/>
                            <w:rPr>
                              <w:szCs w:val="24"/>
                            </w:rPr>
                          </w:pPr>
                          <w:sdt>
                            <w:sdtPr>
                              <w:alias w:val="Numeris"/>
                              <w:tag w:val="nr_566993ee3be2480796aa7f6ed22ecfbe"/>
                              <w:lock w:val="sdtLocked"/>
                              <w:richText/>
                            </w:sdtPr>
                            <w:sdtContent>
                              <w:r>
                                <w:rPr>
                                  <w:szCs w:val="24"/>
                                </w:rPr>
                                <w:t>53.2</w:t>
                              </w:r>
                            </w:sdtContent>
                          </w:sdt>
                          <w:r>
                            <w:rPr>
                              <w:szCs w:val="24"/>
                            </w:rPr>
                            <w:t xml:space="preserve"> informaciją, kad pareiškėjas tenkina Aprašo 26.2, 26.3, 26.4, 26.6 papunkčiuose projekto parengtumui taikomus reikalavimus. Pareiškėjas turi pateikti dokumentus, jų nuorašus ar kopijas apie projektui taikomus aplinkosauginius reikalavimus, projektui numatytų investicijų derinimo su Valstybine kainų ir energetikos kontroles komisija pradžią pagrindžiančius dokumentus (jų kopijas ar nuorašus).“</w:t>
                          </w:r>
                        </w:p>
                      </w:sdtContent>
                    </w:sdt>
                  </w:sdtContent>
                </w:sdt>
              </w:sdtContent>
            </w:sdt>
          </w:sdtContent>
        </w:sdt>
        <w:sdt>
          <w:sdtPr>
            <w:alias w:val="2 p."/>
            <w:tag w:val="part_d40b08ded4b141c5a8fe520e58e6a656"/>
            <w:lock w:val="sdtLocked"/>
            <w:richText/>
          </w:sdtPr>
          <w:sdtContent>
            <w:p w14:paraId="7458E275" w14:textId="10737FFE">
              <w:pPr>
                <w:tabs>
                  <w:tab w:val="left" w:pos="0"/>
                  <w:tab w:val="left" w:pos="567"/>
                  <w:tab w:val="left" w:pos="851"/>
                </w:tabs>
                <w:ind w:left="720" w:firstLine="131"/>
                <w:jc w:val="both"/>
                <w:rPr>
                  <w:color w:val="000000"/>
                  <w:szCs w:val="24"/>
                  <w:lang w:eastAsia="lt-LT"/>
                </w:rPr>
              </w:pPr>
              <w:sdt>
                <w:sdtPr>
                  <w:alias w:val="Numeris"/>
                  <w:tag w:val="nr_d40b08ded4b141c5a8fe520e58e6a656"/>
                  <w:lock w:val="sdtLocked"/>
                  <w:richText/>
                </w:sdtPr>
                <w:sdtContent>
                  <w:r>
                    <w:rPr>
                      <w:color w:val="000000"/>
                      <w:szCs w:val="24"/>
                      <w:lang w:eastAsia="lt-LT"/>
                    </w:rPr>
                    <w:t>2</w:t>
                  </w:r>
                </w:sdtContent>
              </w:sdt>
              <w:r>
                <w:rPr>
                  <w:color w:val="000000"/>
                  <w:szCs w:val="24"/>
                  <w:lang w:eastAsia="lt-LT"/>
                </w:rPr>
                <w:t>.</w:t>
                <w:tab/>
              </w:r>
              <w:r>
                <w:rPr>
                  <w:szCs w:val="24"/>
                </w:rPr>
                <w:t>Papildau 53</w:t>
              </w:r>
              <w:r>
                <w:rPr>
                  <w:szCs w:val="24"/>
                  <w:vertAlign w:val="superscript"/>
                </w:rPr>
                <w:t>1</w:t>
              </w:r>
              <w:r>
                <w:rPr>
                  <w:szCs w:val="24"/>
                </w:rPr>
                <w:t xml:space="preserve"> punktu:</w:t>
              </w:r>
            </w:p>
            <w:sdt>
              <w:sdtPr>
                <w:alias w:val="citata"/>
                <w:tag w:val="part_53197411fa064ffb8cf04a4bdf44c1a4"/>
                <w:lock w:val="sdtLocked"/>
                <w:richText/>
              </w:sdtPr>
              <w:sdtContent>
                <w:sdt>
                  <w:sdtPr>
                    <w:alias w:val="53-1 p."/>
                    <w:tag w:val="part_1592b67d57d54c9eaf024acf5ac835e0"/>
                    <w:lock w:val="sdtLocked"/>
                    <w:richText/>
                  </w:sdtPr>
                  <w:sdtContent>
                    <w:p w14:paraId="10F4924D" w14:textId="2DB1A1BB">
                      <w:pPr>
                        <w:tabs>
                          <w:tab w:val="left" w:pos="1418"/>
                        </w:tabs>
                        <w:overflowPunct w:val="0"/>
                        <w:ind w:firstLine="851"/>
                        <w:jc w:val="both"/>
                        <w:textAlignment w:val="baseline"/>
                        <w:rPr>
                          <w:strike/>
                          <w:szCs w:val="24"/>
                          <w:lang w:eastAsia="lt-LT"/>
                        </w:rPr>
                      </w:pPr>
                      <w:r>
                        <w:rPr>
                          <w:color w:val="000000"/>
                          <w:szCs w:val="24"/>
                          <w:lang w:eastAsia="lt-LT"/>
                        </w:rPr>
                        <w:t>„</w:t>
                      </w:r>
                      <w:sdt>
                        <w:sdtPr>
                          <w:alias w:val="Numeris"/>
                          <w:tag w:val="nr_1592b67d57d54c9eaf024acf5ac835e0"/>
                          <w:lock w:val="sdtLocked"/>
                          <w:richText/>
                        </w:sdtPr>
                        <w:sdtContent>
                          <w:r>
                            <w:rPr>
                              <w:color w:val="000000"/>
                              <w:szCs w:val="24"/>
                              <w:lang w:eastAsia="lt-LT"/>
                            </w:rPr>
                            <w:t>53</w:t>
                          </w:r>
                          <w:r>
                            <w:rPr>
                              <w:color w:val="000000"/>
                              <w:szCs w:val="24"/>
                              <w:vertAlign w:val="superscript"/>
                              <w:lang w:eastAsia="lt-LT"/>
                            </w:rPr>
                            <w:t>1</w:t>
                          </w:r>
                        </w:sdtContent>
                      </w:sdt>
                      <w:r>
                        <w:rPr>
                          <w:color w:val="000000"/>
                          <w:szCs w:val="24"/>
                          <w:lang w:eastAsia="lt-LT"/>
                        </w:rPr>
                        <w:t>. dokumentai, nurodyti Aprašo 53.1 ir 53.2 papunkčiuose, turi būti pateikti vienu iš šių būdų:</w:t>
                      </w:r>
                    </w:p>
                    <w:sdt>
                      <w:sdtPr>
                        <w:alias w:val="53-1.1 pp."/>
                        <w:tag w:val="part_6aaa35f77dc8417db6ab04cb6cda284f"/>
                        <w:lock w:val="sdtLocked"/>
                        <w:richText/>
                      </w:sdtPr>
                      <w:sdtContent>
                        <w:p w14:paraId="119D47C0" w14:textId="5B341654">
                          <w:pPr>
                            <w:spacing w:line="276" w:lineRule="auto"/>
                            <w:ind w:firstLine="851"/>
                            <w:jc w:val="both"/>
                            <w:textAlignment w:val="baseline"/>
                            <w:rPr>
                              <w:bCs/>
                              <w:color w:val="000000"/>
                              <w:szCs w:val="24"/>
                              <w:lang w:eastAsia="lt-LT"/>
                            </w:rPr>
                          </w:pPr>
                          <w:sdt>
                            <w:sdtPr>
                              <w:alias w:val="Numeris"/>
                              <w:tag w:val="nr_6aaa35f77dc8417db6ab04cb6cda284f"/>
                              <w:lock w:val="sdtLocked"/>
                              <w:richText/>
                            </w:sdtPr>
                            <w:sdtContent>
                              <w:r>
                                <w:rPr>
                                  <w:color w:val="000000"/>
                                  <w:szCs w:val="24"/>
                                  <w:lang w:eastAsia="lt-LT"/>
                                </w:rPr>
                                <w:t>53</w:t>
                              </w:r>
                              <w:r>
                                <w:rPr>
                                  <w:color w:val="000000"/>
                                  <w:szCs w:val="24"/>
                                  <w:vertAlign w:val="superscript"/>
                                  <w:lang w:eastAsia="lt-LT"/>
                                </w:rPr>
                                <w:t>1</w:t>
                              </w:r>
                              <w:r>
                                <w:rPr>
                                  <w:szCs w:val="24"/>
                                  <w:lang w:eastAsia="lt-LT"/>
                                </w:rPr>
                                <w:t>.1</w:t>
                              </w:r>
                            </w:sdtContent>
                          </w:sdt>
                          <w:r>
                            <w:rPr>
                              <w:szCs w:val="24"/>
                              <w:lang w:eastAsia="lt-LT"/>
                            </w:rPr>
                            <w:t xml:space="preserve">. raštu,  lydraštyje nurodytus priedus teikiant</w:t>
                          </w:r>
                          <w:r>
                            <w:rPr>
                              <w:bCs/>
                              <w:szCs w:val="24"/>
                              <w:lang w:eastAsia="lt-LT"/>
                            </w:rPr>
                            <w:t xml:space="preserve"> </w:t>
                          </w:r>
                          <w:r>
                            <w:rPr>
                              <w:szCs w:val="24"/>
                              <w:lang w:eastAsia="lt-LT"/>
                            </w:rPr>
                            <w:t xml:space="preserve">elektroninėje laikmenoje </w:t>
                          </w:r>
                          <w:r>
                            <w:rPr>
                              <w:bCs/>
                              <w:szCs w:val="24"/>
                              <w:lang w:eastAsia="lt-LT"/>
                            </w:rPr>
                            <w:t>(</w:t>
                          </w:r>
                          <w:r>
                            <w:rPr>
                              <w:bCs/>
                              <w:color w:val="000000"/>
                              <w:szCs w:val="24"/>
                              <w:lang w:eastAsia="lt-LT"/>
                            </w:rPr>
                            <w:t>atsiųsti registruotu paštu, įteikti asmeniškai pareiškėjo ar jam atstovaujančio asmens arba pristatyti pašto kurjerio);</w:t>
                          </w:r>
                        </w:p>
                      </w:sdtContent>
                    </w:sdt>
                    <w:sdt>
                      <w:sdtPr>
                        <w:alias w:val="53-1.2 pp."/>
                        <w:tag w:val="part_e7821e99e232411bb3106b6303864c7b"/>
                        <w:lock w:val="sdtLocked"/>
                        <w:richText/>
                      </w:sdtPr>
                      <w:sdtContent>
                        <w:p w14:paraId="59D657EE" w14:textId="36297311">
                          <w:pPr>
                            <w:ind w:firstLine="851"/>
                            <w:jc w:val="both"/>
                            <w:rPr>
                              <w:color w:val="000000"/>
                              <w:szCs w:val="24"/>
                              <w:lang w:eastAsia="lt-LT"/>
                            </w:rPr>
                          </w:pPr>
                          <w:sdt>
                            <w:sdtPr>
                              <w:alias w:val="Numeris"/>
                              <w:tag w:val="nr_e7821e99e232411bb3106b6303864c7b"/>
                              <w:lock w:val="sdtLocked"/>
                              <w:richText/>
                            </w:sdtPr>
                            <w:sdtContent>
                              <w:r>
                                <w:rPr>
                                  <w:color w:val="000000"/>
                                  <w:szCs w:val="24"/>
                                  <w:lang w:eastAsia="lt-LT"/>
                                </w:rPr>
                                <w:t>53</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w:t>
                          </w:r>
                          <w:r>
                            <w:rPr>
                              <w:szCs w:val="24"/>
                              <w:lang w:eastAsia="lt-LT"/>
                            </w:rPr>
                            <w:t xml:space="preserve">raštu,  </w:t>
                          </w:r>
                          <w:r>
                            <w:rPr>
                              <w:color w:val="000000"/>
                              <w:szCs w:val="24"/>
                              <w:lang w:eastAsia="lt-LT"/>
                            </w:rPr>
                            <w:t xml:space="preserve">dalį </w:t>
                          </w:r>
                          <w:r>
                            <w:rPr>
                              <w:szCs w:val="24"/>
                              <w:lang w:eastAsia="lt-LT"/>
                            </w:rPr>
                            <w:t>lydraštyje</w:t>
                          </w:r>
                          <w:r>
                            <w:rPr>
                              <w:color w:val="000000"/>
                              <w:szCs w:val="24"/>
                              <w:lang w:eastAsia="lt-LT"/>
                            </w:rPr>
                            <w:t xml:space="preserve"> </w:t>
                          </w:r>
                          <w:r>
                            <w:rPr>
                              <w:szCs w:val="24"/>
                              <w:lang w:eastAsia="lt-LT"/>
                            </w:rPr>
                            <w:t>nurodytų priedų teikiant</w:t>
                          </w:r>
                          <w:r>
                            <w:rPr>
                              <w:bCs/>
                              <w:szCs w:val="24"/>
                              <w:lang w:eastAsia="lt-LT"/>
                            </w:rPr>
                            <w:t xml:space="preserve"> </w:t>
                          </w:r>
                          <w:r>
                            <w:rPr>
                              <w:szCs w:val="24"/>
                              <w:lang w:eastAsia="lt-LT"/>
                            </w:rPr>
                            <w:t xml:space="preserve">elektroninėje laikmenoje, dalį kaip popierines laikmenas </w:t>
                          </w:r>
                          <w:r>
                            <w:rPr>
                              <w:bCs/>
                              <w:szCs w:val="24"/>
                              <w:lang w:eastAsia="lt-LT"/>
                            </w:rPr>
                            <w:t>(</w:t>
                          </w:r>
                          <w:r>
                            <w:rPr>
                              <w:bCs/>
                              <w:color w:val="000000"/>
                              <w:szCs w:val="24"/>
                              <w:lang w:eastAsia="lt-LT"/>
                            </w:rPr>
                            <w:t>atsiųsti registruotu paštu, įteikti asmeniškai pareiškėjo ar jam atstovaujančio asmens arba pristatyti pašto kurjerio);</w:t>
                          </w:r>
                        </w:p>
                      </w:sdtContent>
                    </w:sdt>
                    <w:sdt>
                      <w:sdtPr>
                        <w:alias w:val="53-1.3 pp."/>
                        <w:tag w:val="part_08113001172948da94e12782e60d5b75"/>
                        <w:lock w:val="sdtLocked"/>
                        <w:richText/>
                      </w:sdtPr>
                      <w:sdtContent>
                        <w:p w14:paraId="0EF834BC" w14:textId="2264B05B">
                          <w:pPr>
                            <w:spacing w:line="276" w:lineRule="auto"/>
                            <w:ind w:firstLine="851"/>
                            <w:jc w:val="both"/>
                            <w:rPr>
                              <w:szCs w:val="24"/>
                              <w:lang w:eastAsia="lt-LT"/>
                            </w:rPr>
                          </w:pPr>
                          <w:sdt>
                            <w:sdtPr>
                              <w:alias w:val="Numeris"/>
                              <w:tag w:val="nr_08113001172948da94e12782e60d5b75"/>
                              <w:lock w:val="sdtLocked"/>
                              <w:richText/>
                            </w:sdtPr>
                            <w:sdtContent>
                              <w:r>
                                <w:rPr>
                                  <w:color w:val="000000"/>
                                  <w:szCs w:val="24"/>
                                  <w:lang w:eastAsia="lt-LT"/>
                                </w:rPr>
                                <w:t>53</w:t>
                              </w:r>
                              <w:r>
                                <w:rPr>
                                  <w:color w:val="000000"/>
                                  <w:szCs w:val="24"/>
                                  <w:vertAlign w:val="superscript"/>
                                  <w:lang w:eastAsia="lt-LT"/>
                                </w:rPr>
                                <w:t>1</w:t>
                              </w:r>
                              <w:r>
                                <w:rPr>
                                  <w:color w:val="000000"/>
                                  <w:szCs w:val="24"/>
                                  <w:lang w:eastAsia="lt-LT"/>
                                </w:rPr>
                                <w:t>.3</w:t>
                              </w:r>
                            </w:sdtContent>
                          </w:sdt>
                          <w:r>
                            <w:rPr>
                              <w:color w:val="000000"/>
                              <w:szCs w:val="24"/>
                              <w:lang w:eastAsia="lt-LT"/>
                            </w:rPr>
                            <w:t xml:space="preserve">. </w:t>
                          </w:r>
                          <w:r>
                            <w:rPr>
                              <w:szCs w:val="24"/>
                              <w:lang w:eastAsia="lt-LT"/>
                            </w:rPr>
                            <w:t xml:space="preserve">elektroniniu paštu info@enmin.lt tik tuo atveju, kai siunčiami elektroniniai dokumentai, pasirašyti elektroninio pasirašymo priemonėmis su kvalifikuoto elektroninio parašo sertifikatais. </w:t>
                          </w:r>
                          <w:r>
                            <w:rPr>
                              <w:bCs/>
                              <w:szCs w:val="24"/>
                              <w:lang w:eastAsia="lt-LT"/>
                            </w:rPr>
                            <w:t>Šiuo atveju projektinis pasiūlymas ir kartu su juo teikiami priedai turi būti pasirašyti elektroniniu sertifikuotu parašu</w:t>
                          </w:r>
                          <w:r>
                            <w:rPr>
                              <w:szCs w:val="24"/>
                              <w:lang w:eastAsia="lt-LT"/>
                            </w:rPr>
                            <w:t xml:space="preserve"> (elektroninio dokumento pakuotės rinkmenos arba elektroninio dokumento turinį sudarančių rinkmenų dydis neturi viršyti 4 GB).“</w:t>
                          </w:r>
                        </w:p>
                      </w:sdtContent>
                    </w:sdt>
                  </w:sdtContent>
                </w:sdt>
              </w:sdtContent>
            </w:sdt>
          </w:sdtContent>
        </w:sdt>
        <w:sdt>
          <w:sdtPr>
            <w:alias w:val="3 p."/>
            <w:tag w:val="part_2249b75d24294043a1aaad89f75391b2"/>
            <w:lock w:val="sdtLocked"/>
            <w:richText/>
          </w:sdtPr>
          <w:sdtContent>
            <w:p w14:paraId="630BB9A8" w14:textId="7CB8A590">
              <w:pPr>
                <w:tabs>
                  <w:tab w:val="left" w:pos="0"/>
                  <w:tab w:val="left" w:pos="567"/>
                  <w:tab w:val="left" w:pos="851"/>
                </w:tabs>
                <w:ind w:left="720" w:firstLine="131"/>
                <w:jc w:val="both"/>
                <w:rPr>
                  <w:color w:val="000000"/>
                  <w:szCs w:val="24"/>
                  <w:lang w:eastAsia="lt-LT"/>
                </w:rPr>
              </w:pPr>
              <w:sdt>
                <w:sdtPr>
                  <w:alias w:val="Numeris"/>
                  <w:tag w:val="nr_2249b75d24294043a1aaad89f75391b2"/>
                  <w:lock w:val="sdtLocked"/>
                  <w:richText/>
                </w:sdtPr>
                <w:sdtContent>
                  <w:r>
                    <w:rPr>
                      <w:color w:val="000000"/>
                      <w:szCs w:val="24"/>
                      <w:lang w:eastAsia="lt-LT"/>
                    </w:rPr>
                    <w:t>3</w:t>
                  </w:r>
                </w:sdtContent>
              </w:sdt>
              <w:r>
                <w:rPr>
                  <w:color w:val="000000"/>
                  <w:szCs w:val="24"/>
                  <w:lang w:eastAsia="lt-LT"/>
                </w:rPr>
                <w:t>.</w:t>
                <w:tab/>
                <w:t xml:space="preserve">Pakeičiu </w:t>
              </w:r>
              <w:r>
                <w:rPr>
                  <w:szCs w:val="24"/>
                </w:rPr>
                <w:t xml:space="preserve">1 priedo 5.4.2 papunktį </w:t>
              </w:r>
              <w:r>
                <w:rPr>
                  <w:color w:val="000000"/>
                  <w:szCs w:val="24"/>
                  <w:lang w:eastAsia="lt-LT"/>
                </w:rPr>
                <w:t>ir jį išdėstau taip:</w:t>
              </w:r>
            </w:p>
            <w:p w14:paraId="53DE460F" w14:textId="62D420A3">
              <w:pPr>
                <w:tabs>
                  <w:tab w:val="left" w:pos="0"/>
                  <w:tab w:val="left" w:pos="567"/>
                  <w:tab w:val="left" w:pos="851"/>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551"/>
                <w:gridCol w:w="1418"/>
                <w:gridCol w:w="1269"/>
              </w:tblGrid>
              <w:tr w14:paraId="7CF6B1BA" w14:textId="77777777">
                <w:tc>
                  <w:tcPr>
                    <w:tcW w:w="4390" w:type="dxa"/>
                    <w:tcBorders>
                      <w:top w:val="single" w:sz="4" w:space="0" w:color="auto"/>
                      <w:left w:val="single" w:sz="4" w:space="0" w:color="auto"/>
                      <w:bottom w:val="single" w:sz="4" w:space="0" w:color="auto"/>
                      <w:right w:val="single" w:sz="4" w:space="0" w:color="auto"/>
                    </w:tcBorders>
                    <w:hideMark/>
                  </w:tcPr>
                  <w:p w14:paraId="11329A19" w14:textId="16003F6F">
                    <w:pPr>
                      <w:tabs>
                        <w:tab w:val="left" w:pos="0"/>
                        <w:tab w:val="left" w:pos="567"/>
                        <w:tab w:val="left" w:pos="851"/>
                      </w:tabs>
                      <w:jc w:val="both"/>
                      <w:rPr>
                        <w:color w:val="000000"/>
                        <w:szCs w:val="24"/>
                        <w:lang w:eastAsia="lt-LT"/>
                      </w:rPr>
                    </w:pPr>
                    <w:r>
                      <w:rPr>
                        <w:szCs w:val="24"/>
                      </w:rPr>
                      <w:t xml:space="preserve">„5.4.2. paraiškos pateikimo dieną pareiškėjas ir partneris (-iai) neturi su mokesčių ir socialinio draudimo įmokų mokėjimu susijusių skolų pagal Lietuvos Respublikos teisės aktus arba pagal kitos valstybės teisės aktus, jei pareiškėjas ir partneris (-iai) yra užsienyje registruotas juridinis asmuo (asmenys) ar fizinis (-iai) asmuo (asmenys) yra užsienio pilietis (-čiai), arba kiekvienu atveju skola neviršija 50 eurų </w:t>
                    </w:r>
                    <w:r>
                      <w:rPr>
                        <w:i/>
                        <w:szCs w:val="24"/>
                      </w:rPr>
                      <w:t>(tikrinama ne vėliau kaip per 7 dienas nuo paraiškos gavimo dienos; jei nustatoma, kad skola viršija 50 eurų, pareiškėjui leidžiama dokumentais pagrįsti, kad paraiškos pateikimo dieną skola neviršijo 50 eurų)</w:t>
                    </w:r>
                    <w:r>
                      <w:rPr>
                        <w:i/>
                        <w:iCs/>
                        <w:szCs w:val="24"/>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p>
                </w:tc>
                <w:tc>
                  <w:tcPr>
                    <w:tcW w:w="2551" w:type="dxa"/>
                    <w:tcBorders>
                      <w:top w:val="single" w:sz="4" w:space="0" w:color="auto"/>
                      <w:left w:val="single" w:sz="4" w:space="0" w:color="auto"/>
                      <w:bottom w:val="single" w:sz="4" w:space="0" w:color="auto"/>
                      <w:right w:val="single" w:sz="4" w:space="0" w:color="auto"/>
                    </w:tcBorders>
                    <w:hideMark/>
                  </w:tcPr>
                  <w:p w14:paraId="5D4E7318" w14:textId="77777777">
                    <w:pPr>
                      <w:tabs>
                        <w:tab w:val="left" w:pos="0"/>
                        <w:tab w:val="left" w:pos="567"/>
                        <w:tab w:val="left" w:pos="851"/>
                      </w:tabs>
                      <w:jc w:val="both"/>
                      <w:rPr>
                        <w:color w:val="000000"/>
                        <w:szCs w:val="24"/>
                        <w:lang w:eastAsia="lt-LT"/>
                      </w:rPr>
                    </w:pPr>
                    <w:r>
                      <w:rPr>
                        <w:i/>
                        <w:iCs/>
                        <w:szCs w:val="24"/>
                      </w:rPr>
                      <w:t>Informacijos šaltinis: paraiška, Valstybinio socialinio draudimo fondo valdybos prie Lietuvos Respublikos socialinės apsaugos ir darbo ministerijos ir Valstybinės mokesčių inspekcijos prie Lietuvos Respublikos finansų ministerijos pateikta informacija.“</w:t>
                    </w:r>
                  </w:p>
                </w:tc>
                <w:tc>
                  <w:tcPr>
                    <w:tcW w:w="1418" w:type="dxa"/>
                    <w:tcBorders>
                      <w:top w:val="single" w:sz="4" w:space="0" w:color="auto"/>
                      <w:left w:val="single" w:sz="4" w:space="0" w:color="auto"/>
                      <w:bottom w:val="single" w:sz="4" w:space="0" w:color="auto"/>
                      <w:right w:val="single" w:sz="4" w:space="0" w:color="auto"/>
                    </w:tcBorders>
                  </w:tcPr>
                  <w:p w14:paraId="25A23A89" w14:textId="77777777">
                    <w:pPr>
                      <w:tabs>
                        <w:tab w:val="left" w:pos="0"/>
                        <w:tab w:val="left" w:pos="567"/>
                        <w:tab w:val="left" w:pos="851"/>
                      </w:tabs>
                      <w:jc w:val="both"/>
                      <w:rPr>
                        <w:color w:val="000000"/>
                        <w:szCs w:val="24"/>
                        <w:lang w:eastAsia="lt-LT"/>
                      </w:rPr>
                    </w:pPr>
                  </w:p>
                </w:tc>
                <w:tc>
                  <w:tcPr>
                    <w:tcW w:w="1269" w:type="dxa"/>
                    <w:tcBorders>
                      <w:top w:val="single" w:sz="4" w:space="0" w:color="auto"/>
                      <w:left w:val="single" w:sz="4" w:space="0" w:color="auto"/>
                      <w:bottom w:val="single" w:sz="4" w:space="0" w:color="auto"/>
                      <w:right w:val="single" w:sz="4" w:space="0" w:color="auto"/>
                    </w:tcBorders>
                  </w:tcPr>
                  <w:p w14:paraId="5BAC52F0" w14:textId="77777777">
                    <w:pPr>
                      <w:tabs>
                        <w:tab w:val="left" w:pos="0"/>
                        <w:tab w:val="left" w:pos="567"/>
                        <w:tab w:val="left" w:pos="851"/>
                      </w:tabs>
                      <w:jc w:val="both"/>
                      <w:rPr>
                        <w:color w:val="000000"/>
                        <w:szCs w:val="24"/>
                        <w:lang w:eastAsia="lt-LT"/>
                      </w:rPr>
                    </w:pPr>
                  </w:p>
                </w:tc>
              </w:tr>
            </w:tbl>
            <w:p w14:paraId="1F0D2608" w14:textId="77777777">
              <w:pPr>
                <w:tabs>
                  <w:tab w:val="left" w:pos="0"/>
                  <w:tab w:val="left" w:pos="567"/>
                  <w:tab w:val="left" w:pos="851"/>
                </w:tabs>
                <w:jc w:val="right"/>
                <w:rPr>
                  <w:color w:val="000000"/>
                  <w:szCs w:val="24"/>
                  <w:lang w:eastAsia="lt-LT"/>
                </w:rPr>
              </w:pPr>
              <w:r>
                <w:rPr>
                  <w:color w:val="000000"/>
                  <w:szCs w:val="24"/>
                  <w:lang w:eastAsia="lt-LT"/>
                </w:rPr>
                <w:t>“</w:t>
              </w:r>
            </w:p>
          </w:sdtContent>
        </w:sdt>
        <w:sdt>
          <w:sdtPr>
            <w:alias w:val="4 p."/>
            <w:tag w:val="part_c424f047872e40f3bc22e24ea8db9234"/>
            <w:lock w:val="sdtLocked"/>
            <w:richText/>
          </w:sdtPr>
          <w:sdtContent>
            <w:p w14:paraId="5678C551" w14:textId="2AE1165A">
              <w:pPr>
                <w:tabs>
                  <w:tab w:val="left" w:pos="0"/>
                  <w:tab w:val="left" w:pos="567"/>
                  <w:tab w:val="left" w:pos="851"/>
                </w:tabs>
                <w:ind w:left="720" w:firstLine="131"/>
                <w:jc w:val="both"/>
                <w:rPr>
                  <w:color w:val="000000"/>
                  <w:szCs w:val="24"/>
                  <w:lang w:eastAsia="lt-LT"/>
                </w:rPr>
              </w:pPr>
              <w:sdt>
                <w:sdtPr>
                  <w:alias w:val="Numeris"/>
                  <w:tag w:val="nr_c424f047872e40f3bc22e24ea8db9234"/>
                  <w:lock w:val="sdtLocked"/>
                  <w:richText/>
                </w:sdtPr>
                <w:sdtContent>
                  <w:r>
                    <w:rPr>
                      <w:color w:val="000000"/>
                      <w:szCs w:val="24"/>
                      <w:lang w:eastAsia="lt-LT"/>
                    </w:rPr>
                    <w:t>4</w:t>
                  </w:r>
                </w:sdtContent>
              </w:sdt>
              <w:r>
                <w:rPr>
                  <w:color w:val="000000"/>
                  <w:szCs w:val="24"/>
                  <w:lang w:eastAsia="lt-LT"/>
                </w:rPr>
                <w:t>.</w:t>
                <w:tab/>
                <w:t xml:space="preserve">Pakeičiu </w:t>
              </w:r>
              <w:r>
                <w:rPr>
                  <w:szCs w:val="24"/>
                </w:rPr>
                <w:t xml:space="preserve">1 priedo 5.4.3 papunktį </w:t>
              </w:r>
              <w:r>
                <w:rPr>
                  <w:color w:val="000000"/>
                  <w:szCs w:val="24"/>
                  <w:lang w:eastAsia="lt-LT"/>
                </w:rPr>
                <w:t>ir jį išdėstau taip:</w:t>
              </w:r>
            </w:p>
            <w:p w14:paraId="7236880B" w14:textId="7EF50446">
              <w:pPr>
                <w:tabs>
                  <w:tab w:val="left" w:pos="0"/>
                  <w:tab w:val="left" w:pos="567"/>
                  <w:tab w:val="left" w:pos="851"/>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551"/>
                <w:gridCol w:w="1418"/>
                <w:gridCol w:w="1269"/>
              </w:tblGrid>
              <w:tr w14:paraId="2AB4446E" w14:textId="77777777">
                <w:tc>
                  <w:tcPr>
                    <w:tcW w:w="4390" w:type="dxa"/>
                    <w:tcBorders>
                      <w:top w:val="single" w:sz="4" w:space="0" w:color="auto"/>
                      <w:left w:val="single" w:sz="4" w:space="0" w:color="auto"/>
                      <w:bottom w:val="single" w:sz="4" w:space="0" w:color="auto"/>
                      <w:right w:val="single" w:sz="4" w:space="0" w:color="auto"/>
                    </w:tcBorders>
                    <w:hideMark/>
                  </w:tcPr>
                  <w:p w14:paraId="310E031C" w14:textId="3B3E5316">
                    <w:pPr>
                      <w:tabs>
                        <w:tab w:val="left" w:pos="0"/>
                        <w:tab w:val="left" w:pos="567"/>
                        <w:tab w:val="left" w:pos="851"/>
                      </w:tabs>
                      <w:jc w:val="both"/>
                      <w:rPr>
                        <w:color w:val="000000"/>
                        <w:szCs w:val="24"/>
                        <w:lang w:eastAsia="lt-LT"/>
                      </w:rPr>
                    </w:pPr>
                    <w:r>
                      <w:rPr>
                        <w:szCs w:val="24"/>
                      </w:rPr>
                      <w:t xml:space="preserve">„5.4.3. paraiškos vertinimo metu pareiškėjas ir partneris (-iai), kurie yra fiziniai asmenys, arba </w:t>
                    </w:r>
                    <w:r>
                      <w:rPr>
                        <w:color w:val="000000"/>
                        <w:szCs w:val="24"/>
                      </w:rPr>
                      <w:t xml:space="preserve">pareiškėjo ir partnerio (-ių), kurie yra juridiniai asmenys, vadovas, </w:t>
                    </w:r>
                    <w:r>
                      <w:rPr>
                        <w:szCs w:val="24"/>
                        <w:lang w:eastAsia="lt-LT"/>
                      </w:rPr>
                      <w:t>pagrindinis akcininkas (turintis daugiau nei 50 proc. akcijų) ar savininkas,</w:t>
                    </w:r>
                    <w:r>
                      <w:rPr>
                        <w:color w:val="000000"/>
                        <w:szCs w:val="24"/>
                      </w:rPr>
                      <w:t xml:space="preserve"> ūkinės bendrijos tikrasis narys (-iai) ar mažosios bendrijos atstovas (-ai), turintis (-ys) teisę juridinio asmens vardu sudaryti sandorį, ar buhalteris (-iai), ar kitas (kiti) asmuo (asmenys), turintis (-ys) teisę surašyti ir pasirašyti pareiškėjo apskaitos dokumentus, neturi neišnykusio arba nepanaikinto teistumo arba dėl pareiškėjo ir partnerio (-ių) per paskutinius 5 metus nebuvo priimtas ir įsiteisėjęs apkaltinamasis teismo nuosprendis </w:t>
                    </w:r>
                    <w:r>
                      <w:rPr>
                        <w:szCs w:val="24"/>
                      </w:rPr>
                      <w:t>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w:t>
                    </w:r>
                    <w:r>
                      <w:rPr>
                        <w:szCs w:val="24"/>
                        <w:lang w:eastAsia="lt-LT"/>
                      </w:rPr>
                      <w:t xml:space="preserve"> </w:t>
                    </w:r>
                    <w:r>
                      <w:rPr>
                        <w:i/>
                        <w:iCs/>
                        <w:color w:val="000000"/>
                        <w:szCs w:val="24"/>
                      </w:rPr>
                      <w:t>(</w:t>
                    </w:r>
                    <w:r>
                      <w:rPr>
                        <w:i/>
                        <w:szCs w:val="24"/>
                      </w:rPr>
                      <w:t xml:space="preserve">šis apribojimas netaikomas, </w:t>
                    </w:r>
                    <w:r>
                      <w:rPr>
                        <w:i/>
                        <w:iCs/>
                        <w:color w:val="000000"/>
                        <w:szCs w:val="24"/>
                      </w:rPr>
                      <w:t>jei pareiškėjo veikla yra finansuojama iš Lietuvos Respublikos valstybės ir (arba) savivaldybių biudžetų ir (arba) valstybės pinigų fondų,</w:t>
                    </w:r>
                    <w:r>
                      <w:rPr>
                        <w:i/>
                        <w:szCs w:val="24"/>
                        <w:lang w:eastAsia="lt-LT"/>
                      </w:rPr>
                      <w:t xml:space="preserve"> taip pat </w:t>
                    </w:r>
                    <w:r>
                      <w:rPr>
                        <w:i/>
                        <w:szCs w:val="24"/>
                      </w:rPr>
                      <w:t>Europos investicijų fondui ir Europos investicijų)</w:t>
                    </w:r>
                    <w:r>
                      <w:rPr>
                        <w:color w:val="000000"/>
                        <w:szCs w:val="24"/>
                      </w:rPr>
                      <w:t>;</w:t>
                    </w:r>
                  </w:p>
                </w:tc>
                <w:tc>
                  <w:tcPr>
                    <w:tcW w:w="2551" w:type="dxa"/>
                    <w:tcBorders>
                      <w:top w:val="single" w:sz="4" w:space="0" w:color="auto"/>
                      <w:left w:val="single" w:sz="4" w:space="0" w:color="auto"/>
                      <w:bottom w:val="single" w:sz="4" w:space="0" w:color="auto"/>
                      <w:right w:val="single" w:sz="4" w:space="0" w:color="auto"/>
                    </w:tcBorders>
                    <w:hideMark/>
                  </w:tcPr>
                  <w:p w14:paraId="019A1F6B" w14:textId="77777777">
                    <w:pPr>
                      <w:tabs>
                        <w:tab w:val="left" w:pos="0"/>
                        <w:tab w:val="left" w:pos="567"/>
                        <w:tab w:val="left" w:pos="851"/>
                      </w:tabs>
                      <w:jc w:val="both"/>
                      <w:rPr>
                        <w:color w:val="000000"/>
                        <w:szCs w:val="24"/>
                        <w:lang w:eastAsia="lt-LT"/>
                      </w:rPr>
                    </w:pPr>
                    <w:r>
                      <w:rPr>
                        <w:i/>
                        <w:iCs/>
                        <w:szCs w:val="24"/>
                      </w:rPr>
                      <w:t>Informacijos šaltinis: paraiška.“</w:t>
                    </w:r>
                  </w:p>
                </w:tc>
                <w:tc>
                  <w:tcPr>
                    <w:tcW w:w="1418" w:type="dxa"/>
                    <w:tcBorders>
                      <w:top w:val="single" w:sz="4" w:space="0" w:color="auto"/>
                      <w:left w:val="single" w:sz="4" w:space="0" w:color="auto"/>
                      <w:bottom w:val="single" w:sz="4" w:space="0" w:color="auto"/>
                      <w:right w:val="single" w:sz="4" w:space="0" w:color="auto"/>
                    </w:tcBorders>
                  </w:tcPr>
                  <w:p w14:paraId="10B401F9" w14:textId="77777777">
                    <w:pPr>
                      <w:tabs>
                        <w:tab w:val="left" w:pos="0"/>
                        <w:tab w:val="left" w:pos="567"/>
                        <w:tab w:val="left" w:pos="851"/>
                      </w:tabs>
                      <w:jc w:val="both"/>
                      <w:rPr>
                        <w:color w:val="000000"/>
                        <w:szCs w:val="24"/>
                        <w:lang w:eastAsia="lt-LT"/>
                      </w:rPr>
                    </w:pPr>
                  </w:p>
                </w:tc>
                <w:tc>
                  <w:tcPr>
                    <w:tcW w:w="1269" w:type="dxa"/>
                    <w:tcBorders>
                      <w:top w:val="single" w:sz="4" w:space="0" w:color="auto"/>
                      <w:left w:val="single" w:sz="4" w:space="0" w:color="auto"/>
                      <w:bottom w:val="single" w:sz="4" w:space="0" w:color="auto"/>
                      <w:right w:val="single" w:sz="4" w:space="0" w:color="auto"/>
                    </w:tcBorders>
                  </w:tcPr>
                  <w:p w14:paraId="64BC667A" w14:textId="77777777">
                    <w:pPr>
                      <w:tabs>
                        <w:tab w:val="left" w:pos="0"/>
                        <w:tab w:val="left" w:pos="567"/>
                        <w:tab w:val="left" w:pos="851"/>
                      </w:tabs>
                      <w:jc w:val="both"/>
                      <w:rPr>
                        <w:color w:val="000000"/>
                        <w:szCs w:val="24"/>
                        <w:lang w:eastAsia="lt-LT"/>
                      </w:rPr>
                    </w:pPr>
                  </w:p>
                </w:tc>
              </w:tr>
            </w:tbl>
            <w:p w14:paraId="60B1F38B" w14:textId="18B1E353">
              <w:pPr>
                <w:tabs>
                  <w:tab w:val="left" w:pos="0"/>
                  <w:tab w:val="left" w:pos="567"/>
                  <w:tab w:val="left" w:pos="851"/>
                </w:tabs>
                <w:ind w:left="720"/>
                <w:jc w:val="right"/>
                <w:rPr>
                  <w:color w:val="000000"/>
                  <w:szCs w:val="24"/>
                  <w:lang w:eastAsia="lt-LT"/>
                </w:rPr>
              </w:pPr>
            </w:p>
          </w:sdtContent>
        </w:sdt>
        <w:sdt>
          <w:sdtPr>
            <w:alias w:val="5 p."/>
            <w:tag w:val="part_3ca1639cf76a421c90c5611f8e55b31b"/>
            <w:lock w:val="sdtLocked"/>
            <w:richText/>
          </w:sdtPr>
          <w:sdtContent>
            <w:p w14:paraId="25D9158E" w14:textId="409D0B4A">
              <w:pPr>
                <w:tabs>
                  <w:tab w:val="left" w:pos="0"/>
                  <w:tab w:val="left" w:pos="567"/>
                  <w:tab w:val="left" w:pos="851"/>
                </w:tabs>
                <w:ind w:left="720" w:hanging="153"/>
                <w:jc w:val="both"/>
                <w:rPr>
                  <w:color w:val="000000"/>
                  <w:szCs w:val="24"/>
                  <w:lang w:eastAsia="lt-LT"/>
                </w:rPr>
              </w:pPr>
              <w:sdt>
                <w:sdtPr>
                  <w:alias w:val="Numeris"/>
                  <w:tag w:val="nr_3ca1639cf76a421c90c5611f8e55b31b"/>
                  <w:lock w:val="sdtLocked"/>
                  <w:richText/>
                </w:sdtPr>
                <w:sdtContent>
                  <w:r>
                    <w:rPr>
                      <w:color w:val="000000"/>
                      <w:szCs w:val="24"/>
                      <w:lang w:eastAsia="lt-LT"/>
                    </w:rPr>
                    <w:t>5</w:t>
                  </w:r>
                </w:sdtContent>
              </w:sdt>
              <w:r>
                <w:rPr>
                  <w:color w:val="000000"/>
                  <w:szCs w:val="24"/>
                  <w:lang w:eastAsia="lt-LT"/>
                </w:rPr>
                <w:t>.</w:t>
                <w:tab/>
                <w:t xml:space="preserve">Pakeičiu </w:t>
              </w:r>
              <w:r>
                <w:rPr>
                  <w:szCs w:val="24"/>
                </w:rPr>
                <w:t xml:space="preserve">1 priedo 7.1 papunktį </w:t>
              </w:r>
              <w:r>
                <w:rPr>
                  <w:color w:val="000000"/>
                  <w:szCs w:val="24"/>
                  <w:lang w:eastAsia="lt-LT"/>
                </w:rPr>
                <w:t>ir jį išdėstau taip:</w:t>
              </w:r>
            </w:p>
            <w:p w14:paraId="141CBE4F" w14:textId="7B6A9E39">
              <w:pPr>
                <w:tabs>
                  <w:tab w:val="left" w:pos="0"/>
                  <w:tab w:val="left" w:pos="567"/>
                  <w:tab w:val="left" w:pos="851"/>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551"/>
                <w:gridCol w:w="1418"/>
                <w:gridCol w:w="1269"/>
              </w:tblGrid>
              <w:tr w14:paraId="54221DC5" w14:textId="77777777">
                <w:tc>
                  <w:tcPr>
                    <w:tcW w:w="4390" w:type="dxa"/>
                    <w:tcBorders>
                      <w:top w:val="single" w:sz="4" w:space="0" w:color="auto"/>
                      <w:left w:val="single" w:sz="4" w:space="0" w:color="auto"/>
                      <w:bottom w:val="single" w:sz="4" w:space="0" w:color="auto"/>
                      <w:right w:val="single" w:sz="4" w:space="0" w:color="auto"/>
                    </w:tcBorders>
                    <w:shd w:val="clear" w:color="auto" w:fill="auto"/>
                    <w:hideMark/>
                  </w:tcPr>
                  <w:p w14:paraId="2DBD8862" w14:textId="77777777">
                    <w:pPr>
                      <w:rPr>
                        <w:szCs w:val="24"/>
                        <w:lang w:eastAsia="lt-LT"/>
                      </w:rPr>
                    </w:pPr>
                    <w:r>
                      <w:rPr>
                        <w:szCs w:val="24"/>
                        <w:lang w:eastAsia="lt-LT"/>
                      </w:rPr>
                      <w:t xml:space="preserve">„7.1. </w:t>
                    </w:r>
                    <w:r>
                      <w:rPr>
                        <w:color w:val="000000"/>
                        <w:szCs w:val="24"/>
                        <w:lang w:eastAsia="lt-LT"/>
                      </w:rPr>
                      <w:t>Projekto įgyvendinimo alternatyvos pasirinkimas pagrįstas sąnaudų ir naudos analizės rezultatais</w:t>
                    </w:r>
                    <w:r>
                      <w:rPr>
                        <w:szCs w:val="24"/>
                        <w:lang w:eastAsia="lt-LT"/>
                      </w:rPr>
                      <w:t xml:space="preserve">: </w:t>
                    </w:r>
                  </w:p>
                  <w:p w14:paraId="5913F493" w14:textId="5198FAB1">
                    <w:pPr>
                      <w:rPr>
                        <w:i/>
                        <w:szCs w:val="24"/>
                        <w:lang w:eastAsia="lt-LT"/>
                      </w:rPr>
                    </w:pPr>
                    <w:r>
                      <w:rPr>
                        <w:i/>
                        <w:szCs w:val="24"/>
                      </w:rPr>
                      <w:t xml:space="preserve">(Atitiktį šiam vertinimo aspektui vertina ministerija prieš tai, kai projektas įtraukiamas į valstybės projektų sąrašą. </w:t>
                    </w:r>
                    <w:r>
                      <w:rPr>
                        <w:i/>
                        <w:szCs w:val="24"/>
                        <w:lang w:eastAsia="lt-LT"/>
                      </w:rPr>
                      <w:t xml:space="preserve">Visais atvejais vertinama vadovaujantis </w:t>
                    </w:r>
                  </w:p>
                  <w:p w14:paraId="6D9A9F64" w14:textId="5AE38301">
                    <w:pPr>
                      <w:rPr>
                        <w:i/>
                        <w:szCs w:val="24"/>
                      </w:rPr>
                    </w:pPr>
                    <w:r>
                      <w:rPr>
                        <w:i/>
                        <w:szCs w:val="24"/>
                        <w:lang w:eastAsia="lt-LT"/>
                      </w:rPr>
                      <w:t>Investicijų projektų, kuriems siekiama gauti finansavimą iš Europos Sąjungos struktūrinės paramos ir /ar valstybės biudžeto lėšų, rengimo metodika ir</w:t>
                    </w:r>
                    <w:r>
                      <w:rPr>
                        <w:i/>
                        <w:szCs w:val="24"/>
                      </w:rPr>
                      <w:t xml:space="preserve"> Optimalios projekto įgyvendinimo alternatyvos pasirinkimo kokybės vertinimo metodika, </w:t>
                    </w:r>
                    <w:r>
                      <w:rPr>
                        <w:i/>
                        <w:szCs w:val="24"/>
                        <w:lang w:eastAsia="lt-LT"/>
                      </w:rPr>
                      <w:t>kurios skelbiamos</w:t>
                    </w:r>
                    <w:r>
                      <w:rPr>
                        <w:i/>
                        <w:szCs w:val="24"/>
                      </w:rPr>
                      <w:t xml:space="preserve"> svetainėje </w:t>
                    </w:r>
                    <w:r>
                      <w:rPr>
                        <w:color w:val="0000FF"/>
                        <w:szCs w:val="24"/>
                        <w:u w:val="single"/>
                      </w:rPr>
                      <w:t>www.esinvesticijos.lt</w:t>
                    </w:r>
                    <w:r>
                      <w:rPr>
                        <w:i/>
                        <w:szCs w:val="24"/>
                      </w:rPr>
                      <w:t xml:space="preserve">. </w:t>
                    </w:r>
                  </w:p>
                  <w:p w14:paraId="5FE1A00F" w14:textId="77777777">
                    <w:pPr>
                      <w:tabs>
                        <w:tab w:val="left" w:pos="0"/>
                        <w:tab w:val="left" w:pos="567"/>
                        <w:tab w:val="left" w:pos="851"/>
                      </w:tabs>
                      <w:jc w:val="both"/>
                      <w:rPr>
                        <w:color w:val="000000"/>
                        <w:szCs w:val="24"/>
                        <w:lang w:eastAsia="lt-LT"/>
                      </w:rPr>
                    </w:pPr>
                    <w:r>
                      <w:rPr>
                        <w:i/>
                        <w:szCs w:val="24"/>
                        <w:lang w:eastAsia="lt-LT"/>
                      </w:rPr>
                      <w:t>Šis vertinimo aspektas netaikomas projekto įgyvendinimo metu.)“</w:t>
                    </w:r>
                  </w:p>
                </w:tc>
                <w:tc>
                  <w:tcPr>
                    <w:tcW w:w="2551" w:type="dxa"/>
                    <w:tcBorders>
                      <w:top w:val="single" w:sz="4" w:space="0" w:color="auto"/>
                      <w:left w:val="single" w:sz="4" w:space="0" w:color="auto"/>
                      <w:bottom w:val="single" w:sz="4" w:space="0" w:color="auto"/>
                      <w:right w:val="single" w:sz="4" w:space="0" w:color="auto"/>
                    </w:tcBorders>
                    <w:hideMark/>
                  </w:tcPr>
                  <w:p w14:paraId="6DC64C78" w14:textId="77777777">
                    <w:pPr>
                      <w:tabs>
                        <w:tab w:val="left" w:pos="0"/>
                        <w:tab w:val="left" w:pos="567"/>
                        <w:tab w:val="left" w:pos="851"/>
                      </w:tabs>
                      <w:jc w:val="both"/>
                      <w:rPr>
                        <w:color w:val="000000"/>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B707C72" w14:textId="77777777">
                    <w:pPr>
                      <w:tabs>
                        <w:tab w:val="left" w:pos="0"/>
                        <w:tab w:val="left" w:pos="567"/>
                        <w:tab w:val="left" w:pos="851"/>
                      </w:tabs>
                      <w:jc w:val="both"/>
                      <w:rPr>
                        <w:color w:val="000000"/>
                        <w:szCs w:val="24"/>
                        <w:lang w:eastAsia="lt-LT"/>
                      </w:rPr>
                    </w:pPr>
                  </w:p>
                </w:tc>
                <w:tc>
                  <w:tcPr>
                    <w:tcW w:w="1269" w:type="dxa"/>
                    <w:tcBorders>
                      <w:top w:val="single" w:sz="4" w:space="0" w:color="auto"/>
                      <w:left w:val="single" w:sz="4" w:space="0" w:color="auto"/>
                      <w:bottom w:val="single" w:sz="4" w:space="0" w:color="auto"/>
                      <w:right w:val="single" w:sz="4" w:space="0" w:color="auto"/>
                    </w:tcBorders>
                  </w:tcPr>
                  <w:p w14:paraId="55630E22" w14:textId="77777777">
                    <w:pPr>
                      <w:tabs>
                        <w:tab w:val="left" w:pos="0"/>
                        <w:tab w:val="left" w:pos="567"/>
                        <w:tab w:val="left" w:pos="851"/>
                      </w:tabs>
                      <w:jc w:val="both"/>
                      <w:rPr>
                        <w:color w:val="000000"/>
                        <w:szCs w:val="24"/>
                        <w:lang w:eastAsia="lt-LT"/>
                      </w:rPr>
                    </w:pPr>
                  </w:p>
                </w:tc>
              </w:tr>
            </w:tbl>
            <w:p w14:paraId="3BDCEC3A" w14:textId="5C6138F5">
              <w:pPr>
                <w:tabs>
                  <w:tab w:val="left" w:pos="0"/>
                  <w:tab w:val="left" w:pos="567"/>
                  <w:tab w:val="left" w:pos="851"/>
                </w:tabs>
                <w:ind w:left="720"/>
                <w:jc w:val="right"/>
                <w:rPr>
                  <w:color w:val="000000"/>
                  <w:szCs w:val="24"/>
                  <w:lang w:eastAsia="lt-LT"/>
                </w:rPr>
              </w:pPr>
            </w:p>
            <w:p w14:paraId="18D2ECE4" w14:textId="545572D8">
              <w:pPr>
                <w:tabs>
                  <w:tab w:val="left" w:pos="0"/>
                  <w:tab w:val="left" w:pos="567"/>
                  <w:tab w:val="left" w:pos="851"/>
                </w:tabs>
                <w:ind w:left="720"/>
                <w:jc w:val="right"/>
                <w:rPr>
                  <w:color w:val="000000"/>
                  <w:szCs w:val="24"/>
                  <w:lang w:eastAsia="lt-LT"/>
                </w:rPr>
              </w:pPr>
            </w:p>
            <w:p w14:paraId="6D239CD6" w14:textId="590A2036">
              <w:pPr>
                <w:tabs>
                  <w:tab w:val="left" w:pos="0"/>
                  <w:tab w:val="left" w:pos="567"/>
                  <w:tab w:val="left" w:pos="851"/>
                </w:tabs>
                <w:ind w:left="720"/>
                <w:jc w:val="right"/>
                <w:rPr>
                  <w:color w:val="000000"/>
                  <w:szCs w:val="24"/>
                  <w:lang w:eastAsia="lt-LT"/>
                </w:rPr>
              </w:pPr>
            </w:p>
            <w:p w14:paraId="74829A25" w14:textId="77777777">
              <w:pPr>
                <w:tabs>
                  <w:tab w:val="left" w:pos="0"/>
                  <w:tab w:val="left" w:pos="567"/>
                  <w:tab w:val="left" w:pos="851"/>
                </w:tabs>
                <w:ind w:left="720"/>
                <w:jc w:val="right"/>
                <w:rPr>
                  <w:color w:val="000000"/>
                  <w:szCs w:val="24"/>
                  <w:lang w:eastAsia="lt-LT"/>
                </w:rPr>
              </w:pPr>
            </w:p>
            <w:tbl>
              <w:tblPr>
                <w:tblW w:w="0" w:type="auto"/>
                <w:tblInd w:w="-147" w:type="dxa"/>
                <w:tblLook w:val="04A0" w:firstRow="1" w:lastRow="0" w:firstColumn="1" w:lastColumn="0" w:noHBand="0" w:noVBand="1"/>
              </w:tblPr>
              <w:tblGrid>
                <w:gridCol w:w="4976"/>
                <w:gridCol w:w="4799"/>
              </w:tblGrid>
              <w:tr w14:paraId="2CFAFFF9" w14:textId="77777777">
                <w:tc>
                  <w:tcPr>
                    <w:tcW w:w="4976" w:type="dxa"/>
                  </w:tcPr>
                  <w:p w14:paraId="255F48DC" w14:textId="77777777">
                    <w:pPr>
                      <w:overflowPunct w:val="0"/>
                      <w:spacing w:line="276" w:lineRule="auto"/>
                      <w:textAlignment w:val="baseline"/>
                      <w:rPr>
                        <w:color w:val="000000"/>
                        <w:szCs w:val="24"/>
                        <w:lang w:eastAsia="lt-LT"/>
                      </w:rPr>
                    </w:pPr>
                    <w:r>
                      <w:rPr>
                        <w:color w:val="000000"/>
                        <w:szCs w:val="24"/>
                        <w:lang w:eastAsia="lt-LT"/>
                      </w:rPr>
                      <w:t>Energetikos ministras</w:t>
                      <w:tab/>
                      <w:tab/>
                    </w:r>
                  </w:p>
                </w:tc>
                <w:tc>
                  <w:tcPr>
                    <w:tcW w:w="4799" w:type="dxa"/>
                  </w:tcPr>
                  <w:p w14:paraId="537AE6F4" w14:textId="77777777">
                    <w:pPr>
                      <w:overflowPunct w:val="0"/>
                      <w:spacing w:line="276" w:lineRule="auto"/>
                      <w:jc w:val="right"/>
                      <w:textAlignment w:val="baseline"/>
                      <w:rPr>
                        <w:color w:val="000000"/>
                        <w:szCs w:val="24"/>
                        <w:lang w:eastAsia="lt-LT"/>
                      </w:rPr>
                    </w:pPr>
                  </w:p>
                </w:tc>
              </w:tr>
            </w:tbl>
            <w:p w14:paraId="6FC464F0" w14:textId="77777777">
              <w:pPr>
                <w:overflowPunct w:val="0"/>
                <w:spacing w:line="276" w:lineRule="auto"/>
                <w:jc w:val="both"/>
                <w:textAlignment w:val="baseline"/>
                <w:rPr>
                  <w:szCs w:val="24"/>
                  <w:lang w:eastAsia="lt-LT"/>
                </w:rPr>
              </w:pPr>
            </w:p>
            <w:p w14:paraId="06018CF5" w14:textId="77777777">
              <w:pPr>
                <w:overflowPunct w:val="0"/>
                <w:spacing w:line="276" w:lineRule="auto"/>
                <w:jc w:val="both"/>
                <w:textAlignment w:val="baseline"/>
                <w:rPr>
                  <w:szCs w:val="24"/>
                  <w:lang w:eastAsia="lt-LT"/>
                </w:rPr>
              </w:pPr>
            </w:p>
            <w:p w14:paraId="1FC3C0FB" w14:textId="77777777">
              <w:pPr>
                <w:overflowPunct w:val="0"/>
                <w:spacing w:line="276" w:lineRule="auto"/>
                <w:jc w:val="both"/>
                <w:textAlignment w:val="baseline"/>
                <w:rPr>
                  <w:szCs w:val="24"/>
                  <w:lang w:eastAsia="lt-LT"/>
                </w:rPr>
              </w:pPr>
            </w:p>
            <w:p w14:paraId="2C5F96CE" w14:textId="77777777">
              <w:pPr>
                <w:overflowPunct w:val="0"/>
                <w:spacing w:line="276" w:lineRule="auto"/>
                <w:jc w:val="both"/>
                <w:textAlignment w:val="baseline"/>
                <w:rPr>
                  <w:szCs w:val="24"/>
                  <w:lang w:eastAsia="lt-LT"/>
                </w:rPr>
              </w:pPr>
            </w:p>
          </w:sdtContent>
        </w:sdt>
        <w:sdt>
          <w:sdtPr>
            <w:alias w:val="signatura"/>
            <w:tag w:val="part_ab34ae006cb1402fb555423eb01290d8"/>
            <w:lock w:val="sdtLocked"/>
            <w:richText/>
          </w:sdtPr>
          <w:sdtContent>
            <w:p w14:paraId="4E9AD184" w14:textId="33CF2232">
              <w:pPr>
                <w:overflowPunct w:val="0"/>
                <w:spacing w:line="276" w:lineRule="auto"/>
                <w:jc w:val="both"/>
                <w:textAlignment w:val="baseline"/>
                <w:rPr>
                  <w:szCs w:val="24"/>
                  <w:lang w:eastAsia="lt-LT"/>
                </w:rPr>
              </w:pPr>
              <w:r>
                <w:rPr>
                  <w:szCs w:val="24"/>
                  <w:lang w:eastAsia="lt-LT"/>
                </w:rPr>
                <w:t>SUDERINTA</w:t>
              </w:r>
            </w:p>
            <w:p w14:paraId="24648248" w14:textId="77777777">
              <w:pPr>
                <w:overflowPunct w:val="0"/>
                <w:spacing w:line="276" w:lineRule="auto"/>
                <w:jc w:val="both"/>
                <w:textAlignment w:val="baseline"/>
                <w:rPr>
                  <w:szCs w:val="24"/>
                  <w:lang w:eastAsia="lt-LT"/>
                </w:rPr>
              </w:pPr>
              <w:r>
                <w:rPr>
                  <w:szCs w:val="24"/>
                  <w:lang w:eastAsia="lt-LT"/>
                </w:rPr>
                <w:t>Viešosios įstaigos Lietuvos verslo paramos agentūros</w:t>
              </w:r>
            </w:p>
            <w:p w14:paraId="3EE6C904" w14:textId="77777777">
              <w:pPr>
                <w:overflowPunct w:val="0"/>
                <w:spacing w:line="276" w:lineRule="auto"/>
                <w:jc w:val="both"/>
                <w:textAlignment w:val="baseline"/>
                <w:rPr>
                  <w:szCs w:val="24"/>
                  <w:lang w:eastAsia="lt-LT"/>
                </w:rPr>
              </w:pPr>
              <w:r>
                <w:rPr>
                  <w:szCs w:val="24"/>
                  <w:lang w:eastAsia="lt-LT"/>
                </w:rPr>
                <w:t xml:space="preserve">2018 m.                                       raštu Nr. </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FD73A5" w14:textId="77777777">
      <w:pPr>
        <w:rPr>
          <w:rFonts w:ascii="Calibri" w:hAnsi="Calibri" w:cs="Calibri"/>
          <w:sz w:val="22"/>
          <w:szCs w:val="22"/>
        </w:rPr>
      </w:pPr>
      <w:r>
        <w:rPr>
          <w:rFonts w:ascii="Calibri" w:hAnsi="Calibri" w:cs="Calibri"/>
          <w:sz w:val="22"/>
          <w:szCs w:val="22"/>
        </w:rPr>
        <w:separator/>
      </w:r>
    </w:p>
  </w:endnote>
  <w:endnote w:type="continuationSeparator" w:id="0">
    <w:p w14:paraId="12EE4351" w14:textId="77777777">
      <w:pPr>
        <w:rPr>
          <w:rFonts w:ascii="Calibri" w:hAnsi="Calibri" w:cs="Calibri"/>
          <w:sz w:val="22"/>
          <w:szCs w:val="22"/>
        </w:rPr>
      </w:pPr>
      <w:r>
        <w:rPr>
          <w:rFonts w:ascii="Calibri" w:hAnsi="Calibri" w:cs="Calibri"/>
          <w:sz w:val="22"/>
          <w:szCs w:val="22"/>
        </w:rPr>
        <w:continuationSeparator/>
      </w:r>
    </w:p>
  </w:endnote>
  <w:endnote w:type="continuationNotice" w:id="1">
    <w:p w14:paraId="634C568E" w14:textId="77777777">
      <w:pPr>
        <w:rPr>
          <w:rFonts w:ascii="Calibri" w:hAnsi="Calibri" w:cs="Calibri"/>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55EE6C" w14:textId="77777777">
    <w:pPr>
      <w:tabs>
        <w:tab w:val="center" w:pos="4819"/>
        <w:tab w:val="right" w:pos="9638"/>
      </w:tabs>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CBC0B" w14:textId="77777777">
    <w:pPr>
      <w:tabs>
        <w:tab w:val="center" w:pos="4819"/>
        <w:tab w:val="right" w:pos="9638"/>
      </w:tabs>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938CA2" w14:textId="77777777">
    <w:pPr>
      <w:tabs>
        <w:tab w:val="center" w:pos="4819"/>
        <w:tab w:val="right" w:pos="9638"/>
      </w:tabs>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FDE367" w14:textId="77777777">
      <w:pPr>
        <w:rPr>
          <w:rFonts w:ascii="Calibri" w:hAnsi="Calibri" w:cs="Calibri"/>
          <w:sz w:val="22"/>
          <w:szCs w:val="22"/>
        </w:rPr>
      </w:pPr>
      <w:r>
        <w:rPr>
          <w:rFonts w:ascii="Calibri" w:hAnsi="Calibri" w:cs="Calibri"/>
          <w:sz w:val="22"/>
          <w:szCs w:val="22"/>
        </w:rPr>
        <w:separator/>
      </w:r>
    </w:p>
  </w:footnote>
  <w:footnote w:type="continuationSeparator" w:id="0">
    <w:p w14:paraId="31A8FD98" w14:textId="77777777">
      <w:pPr>
        <w:rPr>
          <w:rFonts w:ascii="Calibri" w:hAnsi="Calibri" w:cs="Calibri"/>
          <w:sz w:val="22"/>
          <w:szCs w:val="22"/>
        </w:rPr>
      </w:pPr>
      <w:r>
        <w:rPr>
          <w:rFonts w:ascii="Calibri" w:hAnsi="Calibri" w:cs="Calibri"/>
          <w:sz w:val="22"/>
          <w:szCs w:val="22"/>
        </w:rPr>
        <w:continuationSeparator/>
      </w:r>
    </w:p>
  </w:footnote>
  <w:footnote w:type="continuationNotice" w:id="1">
    <w:p w14:paraId="435B7EC3" w14:textId="77777777">
      <w:pPr>
        <w:rPr>
          <w:rFonts w:ascii="Calibri" w:hAnsi="Calibri" w:cs="Calibri"/>
          <w:sz w:val="22"/>
          <w:szCs w:val="22"/>
        </w:rPr>
      </w:pP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8375A8" w14:textId="77777777">
    <w:pPr>
      <w:tabs>
        <w:tab w:val="center" w:pos="4819"/>
        <w:tab w:val="right" w:pos="9638"/>
      </w:tabs>
      <w:rPr>
        <w:rFonts w:ascii="Calibri" w:hAnsi="Calibri" w:cs="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6F13F"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14:paraId="11A1ED29" w14:textId="77777777">
    <w:pPr>
      <w:tabs>
        <w:tab w:val="center" w:pos="4819"/>
        <w:tab w:val="right" w:pos="9638"/>
      </w:tabs>
      <w:rPr>
        <w:rFonts w:ascii="Calibri" w:hAnsi="Calibri" w:cs="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9B8CA4" w14:textId="77777777">
    <w:pPr>
      <w:tabs>
        <w:tab w:val="center" w:pos="4819"/>
        <w:tab w:val="right" w:pos="9638"/>
      </w:tabs>
      <w:rPr>
        <w:rFonts w:ascii="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396"/>
  <w:doNotHyphenateCaps/>
  <w:characterSpacingControl w:val="doNotCompress"/>
  <w:doNotValidateAgainstSchema/>
  <w:doNotDemarcateInvalidXml/>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oNotEmbedSmartTags/>
  <w:decimalSymbol w:val="."/>
  <w:listSeparator w:val=","/>
  <w14:docId w14:val="0D45B9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sChild>
            <w:div w:id="111">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116">
                      <w:marLeft w:val="0"/>
                      <w:marRight w:val="0"/>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0"/>
          <w:marBottom w:val="0"/>
          <w:divBdr>
            <w:top w:val="none" w:sz="0" w:space="0" w:color="auto"/>
            <w:left w:val="none" w:sz="0" w:space="0" w:color="auto"/>
            <w:bottom w:val="none" w:sz="0" w:space="0" w:color="auto"/>
            <w:right w:val="none" w:sz="0" w:space="0" w:color="auto"/>
          </w:divBdr>
          <w:divsChild>
            <w:div w:id="113">
              <w:marLeft w:val="0"/>
              <w:marRight w:val="0"/>
              <w:marTop w:val="0"/>
              <w:marBottom w:val="0"/>
              <w:divBdr>
                <w:top w:val="none" w:sz="0" w:space="0" w:color="auto"/>
                <w:left w:val="none" w:sz="0" w:space="0" w:color="auto"/>
                <w:bottom w:val="none" w:sz="0" w:space="0" w:color="auto"/>
                <w:right w:val="none" w:sz="0" w:space="0" w:color="auto"/>
              </w:divBdr>
              <w:divsChild>
                <w:div w:id="67">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
      <w:marLeft w:val="225"/>
      <w:marRight w:val="225"/>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114">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sChild>
                </w:div>
                <w:div w:id="92">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110">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
      <w:marLeft w:val="390"/>
      <w:marRight w:val="39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sChild>
                </w:div>
                <w:div w:id="101">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 w:id="115">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38">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sChild>
                        </w:div>
                        <w:div w:id="100">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
      <w:marLeft w:val="0"/>
      <w:marRight w:val="0"/>
      <w:marTop w:val="0"/>
      <w:marBottom w:val="0"/>
      <w:divBdr>
        <w:top w:val="none" w:sz="0" w:space="0" w:color="auto"/>
        <w:left w:val="none" w:sz="0" w:space="0" w:color="auto"/>
        <w:bottom w:val="none" w:sz="0" w:space="0" w:color="auto"/>
        <w:right w:val="none" w:sz="0" w:space="0" w:color="auto"/>
      </w:divBdr>
      <w:divsChild>
        <w:div w:id="104">
          <w:marLeft w:val="0"/>
          <w:marRight w:val="0"/>
          <w:marTop w:val="0"/>
          <w:marBottom w:val="0"/>
          <w:divBdr>
            <w:top w:val="none" w:sz="0" w:space="0" w:color="auto"/>
            <w:left w:val="none" w:sz="0" w:space="0" w:color="auto"/>
            <w:bottom w:val="none" w:sz="0" w:space="0" w:color="auto"/>
            <w:right w:val="none" w:sz="0" w:space="0" w:color="auto"/>
          </w:divBdr>
          <w:divsChild>
            <w:div w:id="5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sChild>
    </w:div>
    <w:div w:id="86">
      <w:marLeft w:val="0"/>
      <w:marRight w:val="0"/>
      <w:marTop w:val="0"/>
      <w:marBottom w:val="0"/>
      <w:divBdr>
        <w:top w:val="none" w:sz="0" w:space="0" w:color="auto"/>
        <w:left w:val="none" w:sz="0" w:space="0" w:color="auto"/>
        <w:bottom w:val="none" w:sz="0" w:space="0" w:color="auto"/>
        <w:right w:val="none" w:sz="0" w:space="0" w:color="auto"/>
      </w:divBdr>
      <w:divsChild>
        <w:div w:id="89">
          <w:marLeft w:val="0"/>
          <w:marRight w:val="0"/>
          <w:marTop w:val="0"/>
          <w:marBottom w:val="0"/>
          <w:divBdr>
            <w:top w:val="none" w:sz="0" w:space="0" w:color="auto"/>
            <w:left w:val="none" w:sz="0" w:space="0" w:color="auto"/>
            <w:bottom w:val="none" w:sz="0" w:space="0" w:color="auto"/>
            <w:right w:val="none" w:sz="0" w:space="0" w:color="auto"/>
          </w:divBdr>
        </w:div>
      </w:divsChild>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7">
              <w:marLeft w:val="2970"/>
              <w:marRight w:val="0"/>
              <w:marTop w:val="0"/>
              <w:marBottom w:val="0"/>
              <w:divBdr>
                <w:top w:val="none" w:sz="0" w:space="0" w:color="auto"/>
                <w:left w:val="none" w:sz="0" w:space="0" w:color="auto"/>
                <w:bottom w:val="none" w:sz="0" w:space="0" w:color="auto"/>
                <w:right w:val="none" w:sz="0" w:space="0" w:color="auto"/>
              </w:divBdr>
              <w:divsChild>
                <w:div w:id="12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124">
      <w:marLeft w:val="0"/>
      <w:marRight w:val="0"/>
      <w:marTop w:val="0"/>
      <w:marBottom w:val="0"/>
      <w:divBdr>
        <w:top w:val="none" w:sz="0" w:space="0" w:color="auto"/>
        <w:left w:val="none" w:sz="0" w:space="0" w:color="auto"/>
        <w:bottom w:val="none" w:sz="0" w:space="0" w:color="auto"/>
        <w:right w:val="none" w:sz="0" w:space="0" w:color="auto"/>
      </w:divBdr>
    </w:div>
    <w:div w:id="206453084">
      <w:bodyDiv w:val="1"/>
      <w:marLeft w:val="0"/>
      <w:marRight w:val="0"/>
      <w:marTop w:val="0"/>
      <w:marBottom w:val="0"/>
      <w:divBdr>
        <w:top w:val="none" w:sz="0" w:space="0" w:color="auto"/>
        <w:left w:val="none" w:sz="0" w:space="0" w:color="auto"/>
        <w:bottom w:val="none" w:sz="0" w:space="0" w:color="auto"/>
        <w:right w:val="none" w:sz="0" w:space="0" w:color="auto"/>
      </w:divBdr>
      <w:divsChild>
        <w:div w:id="2025092395">
          <w:marLeft w:val="0"/>
          <w:marRight w:val="0"/>
          <w:marTop w:val="0"/>
          <w:marBottom w:val="0"/>
          <w:divBdr>
            <w:top w:val="none" w:sz="0" w:space="0" w:color="auto"/>
            <w:left w:val="none" w:sz="0" w:space="0" w:color="auto"/>
            <w:bottom w:val="none" w:sz="0" w:space="0" w:color="auto"/>
            <w:right w:val="none" w:sz="0" w:space="0" w:color="auto"/>
          </w:divBdr>
          <w:divsChild>
            <w:div w:id="1768500404">
              <w:marLeft w:val="0"/>
              <w:marRight w:val="0"/>
              <w:marTop w:val="0"/>
              <w:marBottom w:val="0"/>
              <w:divBdr>
                <w:top w:val="none" w:sz="0" w:space="0" w:color="auto"/>
                <w:left w:val="none" w:sz="0" w:space="0" w:color="auto"/>
                <w:bottom w:val="none" w:sz="0" w:space="0" w:color="auto"/>
                <w:right w:val="none" w:sz="0" w:space="0" w:color="auto"/>
              </w:divBdr>
              <w:divsChild>
                <w:div w:id="1595283791">
                  <w:marLeft w:val="0"/>
                  <w:marRight w:val="0"/>
                  <w:marTop w:val="0"/>
                  <w:marBottom w:val="0"/>
                  <w:divBdr>
                    <w:top w:val="none" w:sz="0" w:space="0" w:color="auto"/>
                    <w:left w:val="none" w:sz="0" w:space="0" w:color="auto"/>
                    <w:bottom w:val="none" w:sz="0" w:space="0" w:color="auto"/>
                    <w:right w:val="none" w:sz="0" w:space="0" w:color="auto"/>
                  </w:divBdr>
                  <w:divsChild>
                    <w:div w:id="578367054">
                      <w:marLeft w:val="0"/>
                      <w:marRight w:val="0"/>
                      <w:marTop w:val="0"/>
                      <w:marBottom w:val="0"/>
                      <w:divBdr>
                        <w:top w:val="none" w:sz="0" w:space="0" w:color="auto"/>
                        <w:left w:val="none" w:sz="0" w:space="0" w:color="auto"/>
                        <w:bottom w:val="none" w:sz="0" w:space="0" w:color="auto"/>
                        <w:right w:val="none" w:sz="0" w:space="0" w:color="auto"/>
                      </w:divBdr>
                    </w:div>
                    <w:div w:id="204073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626968">
      <w:bodyDiv w:val="1"/>
      <w:marLeft w:val="0"/>
      <w:marRight w:val="0"/>
      <w:marTop w:val="0"/>
      <w:marBottom w:val="0"/>
      <w:divBdr>
        <w:top w:val="none" w:sz="0" w:space="0" w:color="auto"/>
        <w:left w:val="none" w:sz="0" w:space="0" w:color="auto"/>
        <w:bottom w:val="none" w:sz="0" w:space="0" w:color="auto"/>
        <w:right w:val="none" w:sz="0" w:space="0" w:color="auto"/>
      </w:divBdr>
      <w:divsChild>
        <w:div w:id="240916759">
          <w:marLeft w:val="0"/>
          <w:marRight w:val="0"/>
          <w:marTop w:val="0"/>
          <w:marBottom w:val="0"/>
          <w:divBdr>
            <w:top w:val="none" w:sz="0" w:space="0" w:color="auto"/>
            <w:left w:val="none" w:sz="0" w:space="0" w:color="auto"/>
            <w:bottom w:val="none" w:sz="0" w:space="0" w:color="auto"/>
            <w:right w:val="none" w:sz="0" w:space="0" w:color="auto"/>
          </w:divBdr>
          <w:divsChild>
            <w:div w:id="408116174">
              <w:marLeft w:val="0"/>
              <w:marRight w:val="0"/>
              <w:marTop w:val="0"/>
              <w:marBottom w:val="0"/>
              <w:divBdr>
                <w:top w:val="none" w:sz="0" w:space="0" w:color="auto"/>
                <w:left w:val="none" w:sz="0" w:space="0" w:color="auto"/>
                <w:bottom w:val="none" w:sz="0" w:space="0" w:color="auto"/>
                <w:right w:val="none" w:sz="0" w:space="0" w:color="auto"/>
              </w:divBdr>
              <w:divsChild>
                <w:div w:id="1559899944">
                  <w:marLeft w:val="0"/>
                  <w:marRight w:val="0"/>
                  <w:marTop w:val="0"/>
                  <w:marBottom w:val="0"/>
                  <w:divBdr>
                    <w:top w:val="none" w:sz="0" w:space="0" w:color="auto"/>
                    <w:left w:val="none" w:sz="0" w:space="0" w:color="auto"/>
                    <w:bottom w:val="none" w:sz="0" w:space="0" w:color="auto"/>
                    <w:right w:val="none" w:sz="0" w:space="0" w:color="auto"/>
                  </w:divBdr>
                </w:div>
              </w:divsChild>
            </w:div>
            <w:div w:id="1369337082">
              <w:marLeft w:val="0"/>
              <w:marRight w:val="0"/>
              <w:marTop w:val="0"/>
              <w:marBottom w:val="0"/>
              <w:divBdr>
                <w:top w:val="none" w:sz="0" w:space="0" w:color="auto"/>
                <w:left w:val="none" w:sz="0" w:space="0" w:color="auto"/>
                <w:bottom w:val="none" w:sz="0" w:space="0" w:color="auto"/>
                <w:right w:val="none" w:sz="0" w:space="0" w:color="auto"/>
              </w:divBdr>
            </w:div>
            <w:div w:id="148157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924566">
      <w:bodyDiv w:val="1"/>
      <w:marLeft w:val="0"/>
      <w:marRight w:val="0"/>
      <w:marTop w:val="0"/>
      <w:marBottom w:val="0"/>
      <w:divBdr>
        <w:top w:val="none" w:sz="0" w:space="0" w:color="auto"/>
        <w:left w:val="none" w:sz="0" w:space="0" w:color="auto"/>
        <w:bottom w:val="none" w:sz="0" w:space="0" w:color="auto"/>
        <w:right w:val="none" w:sz="0" w:space="0" w:color="auto"/>
      </w:divBdr>
    </w:div>
    <w:div w:id="477766459">
      <w:bodyDiv w:val="1"/>
      <w:marLeft w:val="0"/>
      <w:marRight w:val="0"/>
      <w:marTop w:val="0"/>
      <w:marBottom w:val="0"/>
      <w:divBdr>
        <w:top w:val="none" w:sz="0" w:space="0" w:color="auto"/>
        <w:left w:val="none" w:sz="0" w:space="0" w:color="auto"/>
        <w:bottom w:val="none" w:sz="0" w:space="0" w:color="auto"/>
        <w:right w:val="none" w:sz="0" w:space="0" w:color="auto"/>
      </w:divBdr>
    </w:div>
    <w:div w:id="632908684">
      <w:bodyDiv w:val="1"/>
      <w:marLeft w:val="0"/>
      <w:marRight w:val="0"/>
      <w:marTop w:val="0"/>
      <w:marBottom w:val="0"/>
      <w:divBdr>
        <w:top w:val="none" w:sz="0" w:space="0" w:color="auto"/>
        <w:left w:val="none" w:sz="0" w:space="0" w:color="auto"/>
        <w:bottom w:val="none" w:sz="0" w:space="0" w:color="auto"/>
        <w:right w:val="none" w:sz="0" w:space="0" w:color="auto"/>
      </w:divBdr>
    </w:div>
    <w:div w:id="696470769">
      <w:bodyDiv w:val="1"/>
      <w:marLeft w:val="0"/>
      <w:marRight w:val="0"/>
      <w:marTop w:val="0"/>
      <w:marBottom w:val="0"/>
      <w:divBdr>
        <w:top w:val="none" w:sz="0" w:space="0" w:color="auto"/>
        <w:left w:val="none" w:sz="0" w:space="0" w:color="auto"/>
        <w:bottom w:val="none" w:sz="0" w:space="0" w:color="auto"/>
        <w:right w:val="none" w:sz="0" w:space="0" w:color="auto"/>
      </w:divBdr>
    </w:div>
    <w:div w:id="802969397">
      <w:bodyDiv w:val="1"/>
      <w:marLeft w:val="0"/>
      <w:marRight w:val="0"/>
      <w:marTop w:val="0"/>
      <w:marBottom w:val="0"/>
      <w:divBdr>
        <w:top w:val="none" w:sz="0" w:space="0" w:color="auto"/>
        <w:left w:val="none" w:sz="0" w:space="0" w:color="auto"/>
        <w:bottom w:val="none" w:sz="0" w:space="0" w:color="auto"/>
        <w:right w:val="none" w:sz="0" w:space="0" w:color="auto"/>
      </w:divBdr>
    </w:div>
    <w:div w:id="833496709">
      <w:bodyDiv w:val="1"/>
      <w:marLeft w:val="0"/>
      <w:marRight w:val="0"/>
      <w:marTop w:val="0"/>
      <w:marBottom w:val="0"/>
      <w:divBdr>
        <w:top w:val="none" w:sz="0" w:space="0" w:color="auto"/>
        <w:left w:val="none" w:sz="0" w:space="0" w:color="auto"/>
        <w:bottom w:val="none" w:sz="0" w:space="0" w:color="auto"/>
        <w:right w:val="none" w:sz="0" w:space="0" w:color="auto"/>
      </w:divBdr>
      <w:divsChild>
        <w:div w:id="735861084">
          <w:marLeft w:val="0"/>
          <w:marRight w:val="0"/>
          <w:marTop w:val="0"/>
          <w:marBottom w:val="0"/>
          <w:divBdr>
            <w:top w:val="none" w:sz="0" w:space="0" w:color="auto"/>
            <w:left w:val="none" w:sz="0" w:space="0" w:color="auto"/>
            <w:bottom w:val="none" w:sz="0" w:space="0" w:color="auto"/>
            <w:right w:val="none" w:sz="0" w:space="0" w:color="auto"/>
          </w:divBdr>
          <w:divsChild>
            <w:div w:id="30616113">
              <w:marLeft w:val="0"/>
              <w:marRight w:val="0"/>
              <w:marTop w:val="0"/>
              <w:marBottom w:val="0"/>
              <w:divBdr>
                <w:top w:val="none" w:sz="0" w:space="0" w:color="auto"/>
                <w:left w:val="none" w:sz="0" w:space="0" w:color="auto"/>
                <w:bottom w:val="none" w:sz="0" w:space="0" w:color="auto"/>
                <w:right w:val="none" w:sz="0" w:space="0" w:color="auto"/>
              </w:divBdr>
              <w:divsChild>
                <w:div w:id="826633687">
                  <w:marLeft w:val="0"/>
                  <w:marRight w:val="0"/>
                  <w:marTop w:val="0"/>
                  <w:marBottom w:val="0"/>
                  <w:divBdr>
                    <w:top w:val="none" w:sz="0" w:space="0" w:color="auto"/>
                    <w:left w:val="none" w:sz="0" w:space="0" w:color="auto"/>
                    <w:bottom w:val="none" w:sz="0" w:space="0" w:color="auto"/>
                    <w:right w:val="none" w:sz="0" w:space="0" w:color="auto"/>
                  </w:divBdr>
                  <w:divsChild>
                    <w:div w:id="2013021826">
                      <w:marLeft w:val="0"/>
                      <w:marRight w:val="0"/>
                      <w:marTop w:val="0"/>
                      <w:marBottom w:val="0"/>
                      <w:divBdr>
                        <w:top w:val="none" w:sz="0" w:space="0" w:color="auto"/>
                        <w:left w:val="none" w:sz="0" w:space="0" w:color="auto"/>
                        <w:bottom w:val="none" w:sz="0" w:space="0" w:color="auto"/>
                        <w:right w:val="none" w:sz="0" w:space="0" w:color="auto"/>
                      </w:divBdr>
                    </w:div>
                    <w:div w:id="2126734687">
                      <w:marLeft w:val="0"/>
                      <w:marRight w:val="0"/>
                      <w:marTop w:val="0"/>
                      <w:marBottom w:val="0"/>
                      <w:divBdr>
                        <w:top w:val="none" w:sz="0" w:space="0" w:color="auto"/>
                        <w:left w:val="none" w:sz="0" w:space="0" w:color="auto"/>
                        <w:bottom w:val="none" w:sz="0" w:space="0" w:color="auto"/>
                        <w:right w:val="none" w:sz="0" w:space="0" w:color="auto"/>
                      </w:divBdr>
                    </w:div>
                    <w:div w:id="351104432">
                      <w:marLeft w:val="0"/>
                      <w:marRight w:val="0"/>
                      <w:marTop w:val="0"/>
                      <w:marBottom w:val="0"/>
                      <w:divBdr>
                        <w:top w:val="none" w:sz="0" w:space="0" w:color="auto"/>
                        <w:left w:val="none" w:sz="0" w:space="0" w:color="auto"/>
                        <w:bottom w:val="none" w:sz="0" w:space="0" w:color="auto"/>
                        <w:right w:val="none" w:sz="0" w:space="0" w:color="auto"/>
                      </w:divBdr>
                    </w:div>
                    <w:div w:id="24753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157433">
      <w:bodyDiv w:val="1"/>
      <w:marLeft w:val="0"/>
      <w:marRight w:val="0"/>
      <w:marTop w:val="0"/>
      <w:marBottom w:val="0"/>
      <w:divBdr>
        <w:top w:val="none" w:sz="0" w:space="0" w:color="auto"/>
        <w:left w:val="none" w:sz="0" w:space="0" w:color="auto"/>
        <w:bottom w:val="none" w:sz="0" w:space="0" w:color="auto"/>
        <w:right w:val="none" w:sz="0" w:space="0" w:color="auto"/>
      </w:divBdr>
    </w:div>
    <w:div w:id="912398624">
      <w:bodyDiv w:val="1"/>
      <w:marLeft w:val="0"/>
      <w:marRight w:val="0"/>
      <w:marTop w:val="0"/>
      <w:marBottom w:val="0"/>
      <w:divBdr>
        <w:top w:val="none" w:sz="0" w:space="0" w:color="auto"/>
        <w:left w:val="none" w:sz="0" w:space="0" w:color="auto"/>
        <w:bottom w:val="none" w:sz="0" w:space="0" w:color="auto"/>
        <w:right w:val="none" w:sz="0" w:space="0" w:color="auto"/>
      </w:divBdr>
    </w:div>
    <w:div w:id="1006592655">
      <w:bodyDiv w:val="1"/>
      <w:marLeft w:val="0"/>
      <w:marRight w:val="0"/>
      <w:marTop w:val="0"/>
      <w:marBottom w:val="0"/>
      <w:divBdr>
        <w:top w:val="none" w:sz="0" w:space="0" w:color="auto"/>
        <w:left w:val="none" w:sz="0" w:space="0" w:color="auto"/>
        <w:bottom w:val="none" w:sz="0" w:space="0" w:color="auto"/>
        <w:right w:val="none" w:sz="0" w:space="0" w:color="auto"/>
      </w:divBdr>
    </w:div>
    <w:div w:id="1123959757">
      <w:bodyDiv w:val="1"/>
      <w:marLeft w:val="0"/>
      <w:marRight w:val="0"/>
      <w:marTop w:val="0"/>
      <w:marBottom w:val="0"/>
      <w:divBdr>
        <w:top w:val="none" w:sz="0" w:space="0" w:color="auto"/>
        <w:left w:val="none" w:sz="0" w:space="0" w:color="auto"/>
        <w:bottom w:val="none" w:sz="0" w:space="0" w:color="auto"/>
        <w:right w:val="none" w:sz="0" w:space="0" w:color="auto"/>
      </w:divBdr>
    </w:div>
    <w:div w:id="1125394715">
      <w:bodyDiv w:val="1"/>
      <w:marLeft w:val="0"/>
      <w:marRight w:val="0"/>
      <w:marTop w:val="0"/>
      <w:marBottom w:val="0"/>
      <w:divBdr>
        <w:top w:val="none" w:sz="0" w:space="0" w:color="auto"/>
        <w:left w:val="none" w:sz="0" w:space="0" w:color="auto"/>
        <w:bottom w:val="none" w:sz="0" w:space="0" w:color="auto"/>
        <w:right w:val="none" w:sz="0" w:space="0" w:color="auto"/>
      </w:divBdr>
    </w:div>
    <w:div w:id="1133061545">
      <w:bodyDiv w:val="1"/>
      <w:marLeft w:val="0"/>
      <w:marRight w:val="0"/>
      <w:marTop w:val="0"/>
      <w:marBottom w:val="0"/>
      <w:divBdr>
        <w:top w:val="none" w:sz="0" w:space="0" w:color="auto"/>
        <w:left w:val="none" w:sz="0" w:space="0" w:color="auto"/>
        <w:bottom w:val="none" w:sz="0" w:space="0" w:color="auto"/>
        <w:right w:val="none" w:sz="0" w:space="0" w:color="auto"/>
      </w:divBdr>
    </w:div>
    <w:div w:id="1198197624">
      <w:bodyDiv w:val="1"/>
      <w:marLeft w:val="0"/>
      <w:marRight w:val="0"/>
      <w:marTop w:val="0"/>
      <w:marBottom w:val="0"/>
      <w:divBdr>
        <w:top w:val="none" w:sz="0" w:space="0" w:color="auto"/>
        <w:left w:val="none" w:sz="0" w:space="0" w:color="auto"/>
        <w:bottom w:val="none" w:sz="0" w:space="0" w:color="auto"/>
        <w:right w:val="none" w:sz="0" w:space="0" w:color="auto"/>
      </w:divBdr>
    </w:div>
    <w:div w:id="1258833710">
      <w:bodyDiv w:val="1"/>
      <w:marLeft w:val="0"/>
      <w:marRight w:val="0"/>
      <w:marTop w:val="0"/>
      <w:marBottom w:val="0"/>
      <w:divBdr>
        <w:top w:val="none" w:sz="0" w:space="0" w:color="auto"/>
        <w:left w:val="none" w:sz="0" w:space="0" w:color="auto"/>
        <w:bottom w:val="none" w:sz="0" w:space="0" w:color="auto"/>
        <w:right w:val="none" w:sz="0" w:space="0" w:color="auto"/>
      </w:divBdr>
    </w:div>
    <w:div w:id="1307470335">
      <w:bodyDiv w:val="1"/>
      <w:marLeft w:val="0"/>
      <w:marRight w:val="0"/>
      <w:marTop w:val="0"/>
      <w:marBottom w:val="0"/>
      <w:divBdr>
        <w:top w:val="none" w:sz="0" w:space="0" w:color="auto"/>
        <w:left w:val="none" w:sz="0" w:space="0" w:color="auto"/>
        <w:bottom w:val="none" w:sz="0" w:space="0" w:color="auto"/>
        <w:right w:val="none" w:sz="0" w:space="0" w:color="auto"/>
      </w:divBdr>
    </w:div>
    <w:div w:id="1390685454">
      <w:bodyDiv w:val="1"/>
      <w:marLeft w:val="0"/>
      <w:marRight w:val="0"/>
      <w:marTop w:val="0"/>
      <w:marBottom w:val="0"/>
      <w:divBdr>
        <w:top w:val="none" w:sz="0" w:space="0" w:color="auto"/>
        <w:left w:val="none" w:sz="0" w:space="0" w:color="auto"/>
        <w:bottom w:val="none" w:sz="0" w:space="0" w:color="auto"/>
        <w:right w:val="none" w:sz="0" w:space="0" w:color="auto"/>
      </w:divBdr>
    </w:div>
    <w:div w:id="1548491369">
      <w:bodyDiv w:val="1"/>
      <w:marLeft w:val="0"/>
      <w:marRight w:val="0"/>
      <w:marTop w:val="0"/>
      <w:marBottom w:val="0"/>
      <w:divBdr>
        <w:top w:val="none" w:sz="0" w:space="0" w:color="auto"/>
        <w:left w:val="none" w:sz="0" w:space="0" w:color="auto"/>
        <w:bottom w:val="none" w:sz="0" w:space="0" w:color="auto"/>
        <w:right w:val="none" w:sz="0" w:space="0" w:color="auto"/>
      </w:divBdr>
    </w:div>
    <w:div w:id="1608267442">
      <w:bodyDiv w:val="1"/>
      <w:marLeft w:val="0"/>
      <w:marRight w:val="0"/>
      <w:marTop w:val="0"/>
      <w:marBottom w:val="0"/>
      <w:divBdr>
        <w:top w:val="none" w:sz="0" w:space="0" w:color="auto"/>
        <w:left w:val="none" w:sz="0" w:space="0" w:color="auto"/>
        <w:bottom w:val="none" w:sz="0" w:space="0" w:color="auto"/>
        <w:right w:val="none" w:sz="0" w:space="0" w:color="auto"/>
      </w:divBdr>
    </w:div>
    <w:div w:id="1760323523">
      <w:bodyDiv w:val="1"/>
      <w:marLeft w:val="0"/>
      <w:marRight w:val="0"/>
      <w:marTop w:val="0"/>
      <w:marBottom w:val="0"/>
      <w:divBdr>
        <w:top w:val="none" w:sz="0" w:space="0" w:color="auto"/>
        <w:left w:val="none" w:sz="0" w:space="0" w:color="auto"/>
        <w:bottom w:val="none" w:sz="0" w:space="0" w:color="auto"/>
        <w:right w:val="none" w:sz="0" w:space="0" w:color="auto"/>
      </w:divBdr>
    </w:div>
    <w:div w:id="1854997369">
      <w:bodyDiv w:val="1"/>
      <w:marLeft w:val="0"/>
      <w:marRight w:val="0"/>
      <w:marTop w:val="0"/>
      <w:marBottom w:val="0"/>
      <w:divBdr>
        <w:top w:val="none" w:sz="0" w:space="0" w:color="auto"/>
        <w:left w:val="none" w:sz="0" w:space="0" w:color="auto"/>
        <w:bottom w:val="none" w:sz="0" w:space="0" w:color="auto"/>
        <w:right w:val="none" w:sz="0" w:space="0" w:color="auto"/>
      </w:divBdr>
    </w:div>
    <w:div w:id="2024937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19C3C73E1BB8B46AC96171FE6EF6BC4" ma:contentTypeVersion="4" ma:contentTypeDescription="Kurkite naują dokumentą." ma:contentTypeScope="" ma:versionID="85c823a094f3a9f31c5276abca599c35">
  <xsd:schema xmlns:xsd="http://www.w3.org/2001/XMLSchema" xmlns:xs="http://www.w3.org/2001/XMLSchema" xmlns:p="http://schemas.microsoft.com/office/2006/metadata/properties" xmlns:ns2="43d43418-aab9-4ca3-bfd5-0091ec32d794" targetNamespace="http://schemas.microsoft.com/office/2006/metadata/properties" ma:root="true" ma:fieldsID="3d401bf59b0299c6c2ea99f3db23587f" ns2:_="">
    <xsd:import namespace="43d43418-aab9-4ca3-bfd5-0091ec32d794"/>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43418-aab9-4ca3-bfd5-0091ec32d794"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description=""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8e6d2fe5923411ab49eb764b9c9352a" PartId="bdb722883f3e41d8bb597e587e935589">
    <Part Type="preambule" DocPartId="a08dd1bd496c4351919894e2e2b629d1" PartId="9a8436d2d1f443278134be96d663cc22"/>
    <Part Type="punktas" Nr="1" Abbr="1 p." DocPartId="530e019078bf4ae4bd8a3cf6f8e536b5" PartId="91bac08cf07f4ba8b5dde97cb5fcc2ea">
      <Part Type="citata" DocPartId="f12505125c724a0b8691eeabab874ccc" PartId="aba5a76954c4486e923ca11311ac05d5">
        <Part Type="punktas" Nr="53" Abbr="53 p." DocPartId="2ac47204cd5149dcac06f322944546b8" PartId="5dee5aff282b4b3d9a0b504017286a59">
          <Part Type="papunktis" Nr="53.1" Abbr="53.1 pp." DocPartId="be2487f4c94145c4ae63eca9121927f1" PartId="7e9ab1cd267740cf83d0fe56dab39f96"/>
          <Part Type="papunktis" Nr="53.2" Abbr="53.2 pp." DocPartId="250aa43988ad4d77970272b84f143a69" PartId="566993ee3be2480796aa7f6ed22ecfbe"/>
        </Part>
      </Part>
    </Part>
    <Part Type="punktas" Nr="2" Abbr="2 p." DocPartId="30d02fbcdc1f4671922e713dd1ebf424" PartId="d40b08ded4b141c5a8fe520e58e6a656">
      <Part Type="citata" DocPartId="8544d9bd52e54f4db56deb9cd5c0c854" PartId="53197411fa064ffb8cf04a4bdf44c1a4">
        <Part Type="punktas" Nr="53-1" Abbr="53-1 p." DocPartId="c21276b1abc94203af6100415c270694" PartId="1592b67d57d54c9eaf024acf5ac835e0">
          <Part Type="papunktis" Nr="53-1.1" Abbr="53-1.1 pp." DocPartId="4f81f85c9cf046fb9120b89d084646a1" PartId="6aaa35f77dc8417db6ab04cb6cda284f"/>
          <Part Type="papunktis" Nr="53-1.2" Abbr="53-1.2 pp." DocPartId="b5dafdfc479f46fbb0a0dc6f5a69b41d" PartId="e7821e99e232411bb3106b6303864c7b"/>
          <Part Type="papunktis" Nr="53-1.3" Abbr="53-1.3 pp." DocPartId="7d40a1c28f38463ebd2ff6af399f4fdf" PartId="08113001172948da94e12782e60d5b75"/>
        </Part>
      </Part>
    </Part>
    <Part Type="punktas" Nr="3" Abbr="3 p." DocPartId="6e9bae15144c491a8419050224d2d3e6" PartId="2249b75d24294043a1aaad89f75391b2"/>
    <Part Type="punktas" Nr="4" Abbr="4 p." DocPartId="9c243d56ed8a48149b719ffe1928f18c" PartId="c424f047872e40f3bc22e24ea8db9234"/>
    <Part Type="punktas" Nr="5" Abbr="5 p." DocPartId="dc5fc77cfafc4b139fcd7df5023f154e" PartId="3ca1639cf76a421c90c5611f8e55b31b"/>
    <Part Type="signatura" DocPartId="57f7afdd4fa548f4b212c7ba50dcc2af" PartId="ab34ae006cb1402fb555423eb01290d8"/>
  </Part>
</Parts>
</file>

<file path=customXml/itemProps1.xml><?xml version="1.0" encoding="utf-8"?>
<ds:datastoreItem xmlns:ds="http://schemas.openxmlformats.org/officeDocument/2006/customXml" ds:itemID="{73208153-6218-4F59-BE38-2E5F2D3BC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43418-aab9-4ca3-bfd5-0091ec32d7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487EF9-2C6A-4E62-905D-86CC9DA6343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7C568E5-4267-4D3C-AA91-EA8B2BF7C44C}">
  <ds:schemaRefs>
    <ds:schemaRef ds:uri="http://schemas.microsoft.com/sharepoint/v3/contenttype/forms"/>
  </ds:schemaRefs>
</ds:datastoreItem>
</file>

<file path=customXml/itemProps4.xml><?xml version="1.0" encoding="utf-8"?>
<ds:datastoreItem xmlns:ds="http://schemas.openxmlformats.org/officeDocument/2006/customXml" ds:itemID="{C4380D60-B5A0-4956-9717-FF9F2825362E}">
  <ds:schemaRefs>
    <ds:schemaRef ds:uri="http://schemas.openxmlformats.org/officeDocument/2006/bibliography"/>
  </ds:schemaRefs>
</ds:datastoreItem>
</file>

<file path=customXml/itemProps5.xml><?xml version="1.0" encoding="utf-8"?>
<ds:datastoreItem xmlns:ds="http://schemas.openxmlformats.org/officeDocument/2006/customXml" ds:itemID="{67CB8BC2-4491-4FF9-9E7B-6BA2B450AA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957</Words>
  <Characters>6895</Characters>
  <Application>Microsoft Office Word</Application>
  <DocSecurity>4</DocSecurity>
  <Lines>202</Lines>
  <Paragraphs>37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7815</CharactersWithSpaces>
  <SharedDoc>false</SharedDoc>
  <HyperlinkBase/>
  <HLinks>
    <vt:vector size="54" baseType="variant">
      <vt:variant>
        <vt:i4>1507402</vt:i4>
      </vt:variant>
      <vt:variant>
        <vt:i4>21</vt:i4>
      </vt:variant>
      <vt:variant>
        <vt:i4>0</vt:i4>
      </vt:variant>
      <vt:variant>
        <vt:i4>5</vt:i4>
      </vt:variant>
      <vt:variant>
        <vt:lpwstr>http://www.esinvesticijos.lt/</vt:lpwstr>
      </vt:variant>
      <vt:variant>
        <vt:lpwstr/>
      </vt:variant>
      <vt:variant>
        <vt:i4>1507402</vt:i4>
      </vt:variant>
      <vt:variant>
        <vt:i4>18</vt:i4>
      </vt:variant>
      <vt:variant>
        <vt:i4>0</vt:i4>
      </vt:variant>
      <vt:variant>
        <vt:i4>5</vt:i4>
      </vt:variant>
      <vt:variant>
        <vt:lpwstr>http://www.esinvesticijos.lt/</vt:lpwstr>
      </vt:variant>
      <vt:variant>
        <vt:lpwstr/>
      </vt:variant>
      <vt:variant>
        <vt:i4>1507402</vt:i4>
      </vt:variant>
      <vt:variant>
        <vt:i4>15</vt:i4>
      </vt:variant>
      <vt:variant>
        <vt:i4>0</vt:i4>
      </vt:variant>
      <vt:variant>
        <vt:i4>5</vt:i4>
      </vt:variant>
      <vt:variant>
        <vt:lpwstr>http://www.esinvesticijos.lt/</vt:lpwstr>
      </vt:variant>
      <vt:variant>
        <vt:lpwstr/>
      </vt:variant>
      <vt:variant>
        <vt:i4>1507402</vt:i4>
      </vt:variant>
      <vt:variant>
        <vt:i4>12</vt:i4>
      </vt:variant>
      <vt:variant>
        <vt:i4>0</vt:i4>
      </vt:variant>
      <vt:variant>
        <vt:i4>5</vt:i4>
      </vt:variant>
      <vt:variant>
        <vt:lpwstr>http://www.esinvesticijos.lt/</vt:lpwstr>
      </vt:variant>
      <vt:variant>
        <vt:lpwstr/>
      </vt:variant>
      <vt:variant>
        <vt:i4>1507402</vt:i4>
      </vt:variant>
      <vt:variant>
        <vt:i4>9</vt:i4>
      </vt:variant>
      <vt:variant>
        <vt:i4>0</vt:i4>
      </vt:variant>
      <vt:variant>
        <vt:i4>5</vt:i4>
      </vt:variant>
      <vt:variant>
        <vt:lpwstr>http://www.esinvesticijos.lt/</vt:lpwstr>
      </vt:variant>
      <vt:variant>
        <vt:lpwstr/>
      </vt:variant>
      <vt:variant>
        <vt:i4>1704017</vt:i4>
      </vt:variant>
      <vt:variant>
        <vt:i4>6</vt:i4>
      </vt:variant>
      <vt:variant>
        <vt:i4>0</vt:i4>
      </vt:variant>
      <vt:variant>
        <vt:i4>5</vt:i4>
      </vt:variant>
      <vt:variant>
        <vt:lpwstr>http://www.ppplietuva.lt/</vt:lpwstr>
      </vt:variant>
      <vt:variant>
        <vt:lpwstr/>
      </vt:variant>
      <vt:variant>
        <vt:i4>1507402</vt:i4>
      </vt:variant>
      <vt:variant>
        <vt:i4>3</vt:i4>
      </vt:variant>
      <vt:variant>
        <vt:i4>0</vt:i4>
      </vt:variant>
      <vt:variant>
        <vt:i4>5</vt:i4>
      </vt:variant>
      <vt:variant>
        <vt:lpwstr>http://www.esinvesticijos.lt/</vt:lpwstr>
      </vt:variant>
      <vt:variant>
        <vt:lpwstr/>
      </vt:variant>
      <vt:variant>
        <vt:i4>1507402</vt:i4>
      </vt:variant>
      <vt:variant>
        <vt:i4>0</vt:i4>
      </vt:variant>
      <vt:variant>
        <vt:i4>0</vt:i4>
      </vt:variant>
      <vt:variant>
        <vt:i4>5</vt:i4>
      </vt:variant>
      <vt:variant>
        <vt:lpwstr>http://www.esinvesticijos.lt/</vt:lpwstr>
      </vt:variant>
      <vt:variant>
        <vt:lpwstr/>
      </vt:variant>
      <vt:variant>
        <vt:i4>1900565</vt:i4>
      </vt:variant>
      <vt:variant>
        <vt:i4>0</vt:i4>
      </vt:variant>
      <vt:variant>
        <vt:i4>0</vt:i4>
      </vt:variant>
      <vt:variant>
        <vt:i4>5</vt:i4>
      </vt:variant>
      <vt:variant>
        <vt:lpwstr>http://eur-lex.europa.eu/legal-content/LT/AUTO/?uri=OJ:L:2012:315:TOC</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2018-04-12T14:12:00Z</dcterms:created>
  <dc:creator>Laura Pusinskaite</dc:creator>
  <lastModifiedBy>adlibuser</lastModifiedBy>
  <lastPrinted>2017-11-17T12:44:00Z</lastPrinted>
  <dcterms:modified xsi:type="dcterms:W3CDTF">2018-04-12T14:12:00Z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0x010100219C3C73E1BB8B46AC96171FE6EF6BC4</vt:lpwstr>
  </property>
</Properties>
</file>