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e270b48e8941d3854d0d15bfd3c4be"/>
        <w:lock w:val="sdtLocked"/>
        <w:richText/>
      </w:sdtPr>
      <w:sdtContent>
        <w:p>
          <w:pPr>
            <w:keepNext/>
            <w:ind w:left="7776"/>
            <w:outlineLvl w:val="1"/>
            <w:rPr>
              <w:b/>
            </w:rPr>
          </w:pPr>
          <w:r>
            <w:rPr>
              <w:b/>
            </w:rPr>
            <w:t>Projektas</w:t>
          </w:r>
        </w:p>
        <w:p>
          <w:pPr>
            <w:ind w:left="6480" w:firstLine="1296"/>
            <w:rPr>
              <w:szCs w:val="24"/>
            </w:rPr>
          </w:pPr>
          <w:r>
            <w:rPr>
              <w:szCs w:val="24"/>
            </w:rPr>
            <w:t>Nr. TSP-</w:t>
          </w:r>
        </w:p>
        <w:p>
          <w:pPr>
            <w:rPr>
              <w:szCs w:val="24"/>
            </w:rPr>
          </w:pPr>
        </w:p>
        <w:p>
          <w:pPr>
            <w:keepNext/>
            <w:jc w:val="center"/>
            <w:outlineLvl w:val="1"/>
            <w:rPr>
              <w:b/>
            </w:rPr>
          </w:pPr>
          <w:r>
            <w:rPr>
              <w:b/>
            </w:rPr>
            <w:t>RADVILIŠKIO RAJONO SAVIVALDYBĖS TARYBA</w:t>
          </w:r>
        </w:p>
        <w:p>
          <w:pPr>
            <w:ind w:firstLine="62"/>
            <w:rPr>
              <w:szCs w:val="24"/>
            </w:rPr>
          </w:pPr>
        </w:p>
        <w:p>
          <w:pPr>
            <w:keepNext/>
            <w:jc w:val="center"/>
            <w:outlineLvl w:val="1"/>
            <w:rPr>
              <w:b/>
            </w:rPr>
          </w:pPr>
          <w:r>
            <w:rPr>
              <w:b/>
            </w:rPr>
            <w:t>SPRENDIMAS</w:t>
          </w:r>
        </w:p>
        <w:p>
          <w:pPr>
            <w:jc w:val="center"/>
            <w:rPr>
              <w:b/>
              <w:bCs/>
              <w:caps/>
              <w:color w:val="FF0000"/>
              <w:szCs w:val="24"/>
            </w:rPr>
          </w:pPr>
          <w:r>
            <w:rPr>
              <w:b/>
              <w:bCs/>
              <w:caps/>
              <w:szCs w:val="24"/>
            </w:rPr>
            <w:t xml:space="preserve">DĖL RADVILIŠKIO RAJONO SAVIVALDYBĖS TARYBOS 2024 M. vasario 1 D. SPRENDIMO NR. T-264 „DĖL RADVILIŠKIO RAJONO SAVIVALDYBĖS 2024 METŲ MELIORACIJOS IR HIDROTECHNIKOS STATINIŲ EKSPLOATAVIMO, REMONTO, PRIEŽIŪROS DARBŲ IR IŠLAIDŲ SĄRAŠO PATVIRTINIMO“ </w:t>
          </w:r>
          <w:r>
            <w:rPr>
              <w:b/>
              <w:bCs/>
              <w:caps/>
              <w:color w:val="000000"/>
              <w:szCs w:val="24"/>
            </w:rPr>
            <w:t>PAkeitimo</w:t>
          </w:r>
        </w:p>
        <w:p>
          <w:pPr>
            <w:jc w:val="center"/>
            <w:rPr>
              <w:szCs w:val="24"/>
            </w:rPr>
          </w:pPr>
        </w:p>
        <w:p>
          <w:pPr>
            <w:jc w:val="center"/>
            <w:rPr>
              <w:szCs w:val="24"/>
            </w:rPr>
          </w:pPr>
          <w:r>
            <w:rPr>
              <w:color w:val="000000"/>
              <w:szCs w:val="24"/>
            </w:rPr>
            <w:t xml:space="preserve">2024 m.                      </w:t>
          </w:r>
          <w:r>
            <w:rPr>
              <w:szCs w:val="24"/>
            </w:rPr>
            <w:t xml:space="preserve">   d. Nr. T-</w:t>
          </w:r>
        </w:p>
        <w:p>
          <w:pPr>
            <w:jc w:val="center"/>
            <w:rPr>
              <w:szCs w:val="24"/>
            </w:rPr>
          </w:pPr>
          <w:r>
            <w:rPr>
              <w:szCs w:val="24"/>
            </w:rPr>
            <w:t>Radviliškis</w:t>
          </w:r>
        </w:p>
        <w:p>
          <w:pPr>
            <w:ind w:firstLine="720"/>
            <w:jc w:val="both"/>
            <w:rPr>
              <w:szCs w:val="24"/>
            </w:rPr>
          </w:pPr>
        </w:p>
        <w:sdt>
          <w:sdtPr>
            <w:alias w:val="preambule"/>
            <w:tag w:val="part_e312e4ad426b494e833c1dee8e6d6130"/>
            <w:lock w:val="sdtLocked"/>
            <w:richText/>
          </w:sdtPr>
          <w:sdtContent>
            <w:p>
              <w:pPr>
                <w:ind w:firstLine="720"/>
                <w:jc w:val="both"/>
                <w:rPr>
                  <w:spacing w:val="50"/>
                  <w:szCs w:val="24"/>
                </w:rPr>
              </w:pPr>
              <w:r>
                <w:rPr>
                  <w:szCs w:val="24"/>
                </w:rPr>
                <w:t xml:space="preserve">Vadovaudamasi Lietuvos Respublikos vietos savivaldos įstatymo 16 straipsnio 1 dalimi,  Radviliškio rajono savivaldybės  taryba </w:t>
              </w:r>
              <w:r>
                <w:rPr>
                  <w:spacing w:val="50"/>
                  <w:szCs w:val="24"/>
                </w:rPr>
                <w:t>nusprendžia:</w:t>
              </w:r>
            </w:p>
          </w:sdtContent>
        </w:sdt>
        <w:sdt>
          <w:sdtPr>
            <w:alias w:val="1 p."/>
            <w:tag w:val="part_225a67feff0d445d9fc2f362ac9a49ef"/>
            <w:lock w:val="sdtLocked"/>
            <w:richText/>
          </w:sdtPr>
          <w:sdtContent>
            <w:p>
              <w:pPr>
                <w:tabs>
                  <w:tab w:val="left" w:pos="993"/>
                </w:tabs>
                <w:ind w:firstLine="782"/>
                <w:jc w:val="both"/>
                <w:rPr>
                  <w:szCs w:val="24"/>
                </w:rPr>
              </w:pPr>
              <w:sdt>
                <w:sdtPr>
                  <w:alias w:val="Numeris"/>
                  <w:tag w:val="nr_225a67feff0d445d9fc2f362ac9a49ef"/>
                  <w:lock w:val="sdtLocked"/>
                  <w:richText/>
                </w:sdtPr>
                <w:sdtContent>
                  <w:r>
                    <w:rPr>
                      <w:szCs w:val="24"/>
                    </w:rPr>
                    <w:t>1</w:t>
                  </w:r>
                </w:sdtContent>
              </w:sdt>
              <w:r>
                <w:rPr>
                  <w:szCs w:val="24"/>
                </w:rPr>
                <w:t>.</w:t>
                <w:tab/>
                <w:t xml:space="preserve"> Pakeisti Radviliškio rajono savivaldybės 2024 m. melioracijos ir hidrotechnikos statinių eksploatavimo, remonto, priežiūros darbų ir išlaidų sąrašą, patvirtintą Radviliškio rajono savivaldybės tarybos 2024 m. vasario 1 d. sprendimo Nr. T-264  „Dėl Radviliškio rajono savivaldybės 2024 metų melioracijos ir hidrotechnikos statinių eksploatavimo, remonto, priežiūros darbų ir išlaidų sąrašo patvirtinimo“ 1 punktu</w:t>
              </w:r>
              <w:r>
                <w:rPr>
                  <w:color w:val="000000"/>
                  <w:szCs w:val="24"/>
                </w:rPr>
                <w:t xml:space="preserve"> ir išdėstyti jį nauja redakcija </w:t>
              </w:r>
              <w:r>
                <w:rPr>
                  <w:szCs w:val="24"/>
                </w:rPr>
                <w:t>(pridedama).</w:t>
              </w:r>
            </w:p>
          </w:sdtContent>
        </w:sdt>
        <w:sdt>
          <w:sdtPr>
            <w:alias w:val="2 p."/>
            <w:tag w:val="part_b0366583f48e42cda8ec1b6e9055a9b6"/>
            <w:lock w:val="sdtLocked"/>
            <w:richText/>
          </w:sdtPr>
          <w:sdtContent>
            <w:p>
              <w:pPr>
                <w:tabs>
                  <w:tab w:val="left" w:pos="993"/>
                </w:tabs>
                <w:ind w:firstLine="720"/>
                <w:jc w:val="both"/>
                <w:rPr>
                  <w:szCs w:val="24"/>
                </w:rPr>
              </w:pPr>
              <w:sdt>
                <w:sdtPr>
                  <w:alias w:val="Numeris"/>
                  <w:tag w:val="nr_b0366583f48e42cda8ec1b6e9055a9b6"/>
                  <w:lock w:val="sdtLocked"/>
                  <w:richText/>
                </w:sdtPr>
                <w:sdtContent>
                  <w:r>
                    <w:rPr>
                      <w:szCs w:val="24"/>
                    </w:rPr>
                    <w:t>2</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apygardos administraciniam teismui bet kuriuose šio teismo rūmuose.</w:t>
              </w:r>
            </w:p>
            <w:p>
              <w:pPr>
                <w:jc w:val="both"/>
                <w:rPr>
                  <w:szCs w:val="24"/>
                </w:rPr>
              </w:pPr>
            </w:p>
            <w:p>
              <w:pPr>
                <w:jc w:val="both"/>
                <w:rPr>
                  <w:szCs w:val="24"/>
                </w:rPr>
              </w:pPr>
            </w:p>
            <w:p>
              <w:pPr>
                <w:jc w:val="both"/>
                <w:rPr>
                  <w:szCs w:val="24"/>
                </w:rPr>
              </w:pPr>
            </w:p>
          </w:sdtContent>
        </w:sdt>
        <w:sdt>
          <w:sdtPr>
            <w:alias w:val="signatura"/>
            <w:tag w:val="part_bfe3047313f249a7a62abc313b54c3fc"/>
            <w:lock w:val="sdtLocked"/>
            <w:richText/>
          </w:sdtPr>
          <w:sdtContent>
            <w:p>
              <w:pPr>
                <w:jc w:val="both"/>
                <w:rPr>
                  <w:szCs w:val="24"/>
                </w:rPr>
              </w:pPr>
              <w:r>
                <w:rPr>
                  <w:szCs w:val="24"/>
                </w:rPr>
                <w:t xml:space="preserve">Savivaldybės meras </w:t>
                <w:tab/>
                <w:tab/>
                <w:tab/>
                <w:tab/>
              </w: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tabs>
                  <w:tab w:val="left" w:pos="7655"/>
                </w:tabs>
                <w:rPr>
                  <w:sz w:val="22"/>
                </w:rPr>
              </w:pPr>
            </w:p>
            <w:p>
              <w:pPr>
                <w:rPr>
                  <w:szCs w:val="24"/>
                </w:rPr>
                <w:sectPr>
                  <w:pgSz w:w="11906" w:h="16838" w:code="9"/>
                  <w:pgMar w:top="1134" w:right="567" w:bottom="899" w:left="1701" w:header="567" w:footer="567" w:gutter="0"/>
                  <w:cols w:space="1296"/>
                  <w:docGrid w:linePitch="360"/>
                </w:sectPr>
              </w:pPr>
            </w:p>
          </w:sdtContent>
        </w:sdt>
      </w:sdtContent>
    </w:sdt>
    <w:sdt>
      <w:sdtPr>
        <w:alias w:val="patvirtinta"/>
        <w:tag w:val="part_dafdb74d255f4f22a87f01a1017fc782"/>
        <w:lock w:val="sdtLocked"/>
        <w:richText/>
      </w:sdtPr>
      <w:sdtContent>
        <w:p>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8"/>
              <w:szCs w:val="28"/>
            </w:rPr>
            <w:tab/>
            <w:tab/>
            <w:tab/>
            <w:tab/>
          </w:r>
          <w:r>
            <w:rPr>
              <w:szCs w:val="24"/>
            </w:rPr>
            <w:t xml:space="preserve">PATVIRTINTA </w:t>
          </w:r>
        </w:p>
        <w:p>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2"/>
              <w:szCs w:val="22"/>
            </w:rPr>
            <w:tab/>
            <w:tab/>
            <w:tab/>
            <w:tab/>
          </w:r>
          <w:r>
            <w:rPr>
              <w:szCs w:val="24"/>
            </w:rPr>
            <w:t xml:space="preserve">Radviliškio rajono savivaldybės tarybos </w:t>
          </w:r>
        </w:p>
        <w:p>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Cs w:val="24"/>
            </w:rPr>
            <w:tab/>
            <w:tab/>
            <w:tab/>
            <w:tab/>
          </w:r>
          <w:r>
            <w:rPr>
              <w:color w:val="000000"/>
              <w:szCs w:val="24"/>
            </w:rPr>
            <w:t xml:space="preserve">2024 m. vasario 1 d. </w:t>
          </w:r>
          <w:r>
            <w:rPr>
              <w:szCs w:val="24"/>
            </w:rPr>
            <w:t>sprendimu Nr. T-264</w:t>
          </w:r>
        </w:p>
        <w:p>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left="10368"/>
            <w:rPr>
              <w:szCs w:val="24"/>
            </w:rPr>
          </w:pPr>
          <w:r>
            <w:rPr>
              <w:szCs w:val="24"/>
            </w:rPr>
            <w:t>(2024 m. gruodžio 19 d. sprendimo redakcija)</w:t>
          </w:r>
        </w:p>
        <w:p>
          <w:pPr>
            <w:rPr>
              <w:b/>
              <w:sz w:val="22"/>
              <w:szCs w:val="22"/>
            </w:rPr>
          </w:pPr>
        </w:p>
        <w:p>
          <w:pPr>
            <w:jc w:val="center"/>
            <w:rPr>
              <w:b/>
              <w:sz w:val="22"/>
              <w:szCs w:val="22"/>
            </w:rPr>
          </w:pPr>
        </w:p>
        <w:p>
          <w:pPr>
            <w:jc w:val="center"/>
            <w:rPr>
              <w:b/>
              <w:szCs w:val="24"/>
            </w:rPr>
          </w:pPr>
          <w:sdt>
            <w:sdtPr>
              <w:alias w:val="Pavadinimas"/>
              <w:tag w:val="title_dafdb74d255f4f22a87f01a1017fc782"/>
              <w:lock w:val="sdtLocked"/>
              <w:richText/>
            </w:sdtPr>
            <w:sdtContent>
              <w:r>
                <w:rPr>
                  <w:b/>
                  <w:szCs w:val="24"/>
                </w:rPr>
                <w:t xml:space="preserve">RADVILIŠKIO RAJONO SAVIVALDYBĖS 2024 METŲ VALSTYBĖS LĖŠOMIS FINANSUOJAMŲ MELIORACIJOS IR HIDROTECHNIKOS STATINIŲ EKSPLOATAVIMO, PRIEŽIŪROS, REMONTO DARBŲ IR IŠLAIDŲ SĄRAŠAS </w:t>
              </w:r>
            </w:sdtContent>
          </w:sdt>
        </w:p>
        <w:p>
          <w:pPr>
            <w:rPr>
              <w:szCs w:val="24"/>
            </w:rPr>
          </w:pPr>
        </w:p>
        <w:p>
          <w:pPr>
            <w:ind w:firstLine="342"/>
            <w:rPr>
              <w:sz w:val="22"/>
              <w:szCs w:val="22"/>
            </w:rPr>
          </w:pPr>
        </w:p>
        <w:tbl>
          <w:tblPr>
            <w:tblW w:w="14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4420"/>
            <w:gridCol w:w="2040"/>
            <w:gridCol w:w="6720"/>
          </w:tblGrid>
          <w:tr>
            <w:trPr>
              <w:trHeight w:val="300"/>
            </w:trPr>
            <w:tc>
              <w:tcPr>
                <w:tcW w:w="960" w:type="dxa"/>
                <w:vMerge w:val="restart"/>
                <w:shd w:val="clear" w:color="auto" w:fill="auto"/>
                <w:vAlign w:val="center"/>
                <w:hideMark/>
              </w:tcPr>
              <w:p>
                <w:pPr>
                  <w:jc w:val="center"/>
                  <w:rPr>
                    <w:b/>
                    <w:bCs/>
                    <w:color w:val="000000"/>
                    <w:szCs w:val="24"/>
                    <w:lang w:eastAsia="lt-LT"/>
                  </w:rPr>
                </w:pPr>
                <w:r>
                  <w:rPr>
                    <w:b/>
                    <w:bCs/>
                    <w:color w:val="000000"/>
                    <w:szCs w:val="24"/>
                  </w:rPr>
                  <w:t>Eil. Nr.</w:t>
                </w:r>
              </w:p>
            </w:tc>
            <w:tc>
              <w:tcPr>
                <w:tcW w:w="4420" w:type="dxa"/>
                <w:vMerge w:val="restart"/>
                <w:shd w:val="clear" w:color="auto" w:fill="auto"/>
                <w:vAlign w:val="center"/>
                <w:hideMark/>
              </w:tcPr>
              <w:p>
                <w:pPr>
                  <w:jc w:val="center"/>
                  <w:rPr>
                    <w:b/>
                    <w:bCs/>
                    <w:color w:val="000000"/>
                    <w:szCs w:val="24"/>
                  </w:rPr>
                </w:pPr>
                <w:r>
                  <w:rPr>
                    <w:b/>
                    <w:bCs/>
                    <w:color w:val="000000"/>
                    <w:szCs w:val="24"/>
                  </w:rPr>
                  <w:t>Darbų, išlaidų pavadinimas</w:t>
                </w:r>
              </w:p>
            </w:tc>
            <w:tc>
              <w:tcPr>
                <w:tcW w:w="2040" w:type="dxa"/>
                <w:vMerge w:val="restart"/>
                <w:shd w:val="clear" w:color="auto" w:fill="auto"/>
                <w:vAlign w:val="center"/>
                <w:hideMark/>
              </w:tcPr>
              <w:p>
                <w:pPr>
                  <w:jc w:val="center"/>
                  <w:rPr>
                    <w:b/>
                    <w:bCs/>
                    <w:color w:val="000000"/>
                    <w:szCs w:val="24"/>
                  </w:rPr>
                </w:pPr>
                <w:r>
                  <w:rPr>
                    <w:b/>
                    <w:bCs/>
                    <w:color w:val="000000"/>
                    <w:szCs w:val="24"/>
                  </w:rPr>
                  <w:t>Darbų, išlaidų vertė, Eur</w:t>
                </w:r>
              </w:p>
            </w:tc>
            <w:tc>
              <w:tcPr>
                <w:tcW w:w="6720" w:type="dxa"/>
                <w:vMerge w:val="restart"/>
                <w:shd w:val="clear" w:color="auto" w:fill="auto"/>
                <w:vAlign w:val="center"/>
                <w:hideMark/>
              </w:tcPr>
              <w:p>
                <w:pPr>
                  <w:jc w:val="center"/>
                  <w:rPr>
                    <w:b/>
                    <w:bCs/>
                    <w:color w:val="000000"/>
                    <w:szCs w:val="24"/>
                  </w:rPr>
                </w:pPr>
                <w:r>
                  <w:rPr>
                    <w:b/>
                    <w:bCs/>
                    <w:color w:val="000000"/>
                    <w:szCs w:val="24"/>
                  </w:rPr>
                  <w:t>Pastabos</w:t>
                </w:r>
              </w:p>
            </w:tc>
          </w:tr>
          <w:tr>
            <w:trPr>
              <w:trHeight w:val="315"/>
            </w:trPr>
            <w:tc>
              <w:tcPr>
                <w:tcW w:w="960" w:type="dxa"/>
                <w:vMerge/>
                <w:vAlign w:val="center"/>
                <w:hideMark/>
              </w:tcPr>
              <w:p>
                <w:pPr>
                  <w:rPr>
                    <w:b/>
                    <w:bCs/>
                    <w:color w:val="000000"/>
                    <w:szCs w:val="24"/>
                  </w:rPr>
                </w:pPr>
              </w:p>
            </w:tc>
            <w:tc>
              <w:tcPr>
                <w:tcW w:w="4420" w:type="dxa"/>
                <w:vMerge/>
                <w:vAlign w:val="center"/>
                <w:hideMark/>
              </w:tcPr>
              <w:p>
                <w:pPr>
                  <w:rPr>
                    <w:b/>
                    <w:bCs/>
                    <w:color w:val="000000"/>
                    <w:szCs w:val="24"/>
                  </w:rPr>
                </w:pPr>
              </w:p>
            </w:tc>
            <w:tc>
              <w:tcPr>
                <w:tcW w:w="2040" w:type="dxa"/>
                <w:vMerge/>
                <w:vAlign w:val="center"/>
                <w:hideMark/>
              </w:tcPr>
              <w:p>
                <w:pPr>
                  <w:rPr>
                    <w:b/>
                    <w:bCs/>
                    <w:color w:val="000000"/>
                    <w:szCs w:val="24"/>
                  </w:rPr>
                </w:pPr>
              </w:p>
            </w:tc>
            <w:tc>
              <w:tcPr>
                <w:tcW w:w="6720" w:type="dxa"/>
                <w:vMerge/>
                <w:vAlign w:val="center"/>
                <w:hideMark/>
              </w:tcPr>
              <w:p>
                <w:pPr>
                  <w:rPr>
                    <w:b/>
                    <w:bCs/>
                    <w:color w:val="000000"/>
                    <w:szCs w:val="24"/>
                  </w:rPr>
                </w:pPr>
              </w:p>
            </w:tc>
          </w:tr>
          <w:tr>
            <w:trPr>
              <w:trHeight w:val="1590"/>
            </w:trPr>
            <w:tc>
              <w:tcPr>
                <w:tcW w:w="960" w:type="dxa"/>
                <w:shd w:val="clear" w:color="auto" w:fill="auto"/>
                <w:vAlign w:val="center"/>
                <w:hideMark/>
              </w:tcPr>
              <w:p>
                <w:pPr>
                  <w:jc w:val="center"/>
                  <w:rPr>
                    <w:color w:val="000000"/>
                    <w:szCs w:val="24"/>
                  </w:rPr>
                </w:pPr>
                <w:r>
                  <w:rPr>
                    <w:color w:val="000000"/>
                    <w:szCs w:val="24"/>
                  </w:rPr>
                  <w:t>1.</w:t>
                </w:r>
              </w:p>
            </w:tc>
            <w:tc>
              <w:tcPr>
                <w:tcW w:w="4420" w:type="dxa"/>
                <w:shd w:val="clear" w:color="auto" w:fill="auto"/>
                <w:vAlign w:val="center"/>
                <w:hideMark/>
              </w:tcPr>
              <w:p>
                <w:pPr>
                  <w:rPr>
                    <w:color w:val="000000"/>
                    <w:szCs w:val="24"/>
                  </w:rPr>
                </w:pPr>
                <w:r>
                  <w:rPr>
                    <w:color w:val="000000"/>
                    <w:szCs w:val="24"/>
                  </w:rPr>
                  <w:t>Radviliškio rajono Kutiškių sausinimo siurblinės (polderio) eksploatavimo ir jos tvenkinių bei Arimaičių ežero gamtosauginio vandens debito praleidimo per hidrotechnikos įrenginį užtikrinimo priežiūros darbai.</w:t>
                </w:r>
              </w:p>
            </w:tc>
            <w:tc>
              <w:tcPr>
                <w:tcW w:w="2040" w:type="dxa"/>
                <w:shd w:val="clear" w:color="auto" w:fill="auto"/>
                <w:vAlign w:val="center"/>
                <w:hideMark/>
              </w:tcPr>
              <w:p>
                <w:pPr>
                  <w:ind w:firstLine="62"/>
                  <w:jc w:val="center"/>
                  <w:rPr>
                    <w:color w:val="000000"/>
                    <w:szCs w:val="24"/>
                  </w:rPr>
                </w:pPr>
                <w:r>
                  <w:rPr>
                    <w:color w:val="000000"/>
                    <w:szCs w:val="24"/>
                  </w:rPr>
                  <w:t>5 082,00</w:t>
                </w:r>
              </w:p>
            </w:tc>
            <w:tc>
              <w:tcPr>
                <w:tcW w:w="6720" w:type="dxa"/>
                <w:shd w:val="clear" w:color="auto" w:fill="auto"/>
                <w:vAlign w:val="center"/>
                <w:hideMark/>
              </w:tcPr>
              <w:p>
                <w:pPr>
                  <w:jc w:val="center"/>
                  <w:rPr>
                    <w:color w:val="000000"/>
                    <w:szCs w:val="24"/>
                  </w:rPr>
                </w:pPr>
                <w:r>
                  <w:rPr>
                    <w:color w:val="000000"/>
                    <w:szCs w:val="24"/>
                  </w:rPr>
                  <w:t>Nr. SUT-2024-288</w:t>
                </w:r>
                <w:r>
                  <w:rPr>
                    <w:szCs w:val="24"/>
                  </w:rPr>
                  <w:t xml:space="preserve"> </w:t>
                </w:r>
                <w:r>
                  <w:rPr>
                    <w:color w:val="000000"/>
                    <w:szCs w:val="24"/>
                  </w:rPr>
                  <w:t>UAB „Gerista“;</w:t>
                </w:r>
              </w:p>
              <w:p>
                <w:pPr>
                  <w:jc w:val="center"/>
                  <w:rPr>
                    <w:color w:val="000000"/>
                    <w:szCs w:val="24"/>
                  </w:rPr>
                </w:pPr>
                <w:r>
                  <w:rPr>
                    <w:color w:val="000000"/>
                    <w:szCs w:val="24"/>
                  </w:rPr>
                  <w:t>Sutartis baigiasi 2025-03-18.</w:t>
                </w:r>
              </w:p>
            </w:tc>
          </w:tr>
          <w:tr>
            <w:trPr>
              <w:trHeight w:val="960"/>
            </w:trPr>
            <w:tc>
              <w:tcPr>
                <w:tcW w:w="960" w:type="dxa"/>
                <w:shd w:val="clear" w:color="auto" w:fill="auto"/>
                <w:vAlign w:val="center"/>
                <w:hideMark/>
              </w:tcPr>
              <w:p>
                <w:pPr>
                  <w:jc w:val="center"/>
                  <w:rPr>
                    <w:color w:val="000000"/>
                    <w:szCs w:val="24"/>
                  </w:rPr>
                </w:pPr>
                <w:r>
                  <w:rPr>
                    <w:color w:val="000000"/>
                    <w:szCs w:val="24"/>
                  </w:rPr>
                  <w:t>2.</w:t>
                </w:r>
              </w:p>
            </w:tc>
            <w:tc>
              <w:tcPr>
                <w:tcW w:w="4420" w:type="dxa"/>
                <w:shd w:val="clear" w:color="auto" w:fill="auto"/>
                <w:vAlign w:val="center"/>
                <w:hideMark/>
              </w:tcPr>
              <w:p>
                <w:pPr>
                  <w:rPr>
                    <w:color w:val="000000"/>
                    <w:szCs w:val="24"/>
                  </w:rPr>
                </w:pPr>
                <w:r>
                  <w:rPr>
                    <w:color w:val="000000"/>
                    <w:szCs w:val="24"/>
                  </w:rPr>
                  <w:t xml:space="preserve">Elektros energijos suvartojimo išlaidos eksploatuojant Radviliškio rajono Kutiškių  sausinimo siurblinę (polderį).</w:t>
                </w:r>
              </w:p>
            </w:tc>
            <w:tc>
              <w:tcPr>
                <w:tcW w:w="2040" w:type="dxa"/>
                <w:shd w:val="clear" w:color="auto" w:fill="auto"/>
                <w:vAlign w:val="center"/>
                <w:hideMark/>
              </w:tcPr>
              <w:p>
                <w:pPr>
                  <w:jc w:val="center"/>
                  <w:rPr>
                    <w:color w:val="000000"/>
                    <w:szCs w:val="24"/>
                  </w:rPr>
                </w:pPr>
                <w:r>
                  <w:rPr>
                    <w:color w:val="000000"/>
                    <w:szCs w:val="24"/>
                  </w:rPr>
                  <w:t>3 621,43</w:t>
                </w:r>
              </w:p>
            </w:tc>
            <w:tc>
              <w:tcPr>
                <w:tcW w:w="6720" w:type="dxa"/>
                <w:shd w:val="clear" w:color="auto" w:fill="auto"/>
                <w:vAlign w:val="center"/>
                <w:hideMark/>
              </w:tcPr>
              <w:p>
                <w:pPr>
                  <w:jc w:val="center"/>
                  <w:rPr>
                    <w:color w:val="000000"/>
                    <w:szCs w:val="24"/>
                  </w:rPr>
                </w:pPr>
                <w:r>
                  <w:rPr>
                    <w:color w:val="000000"/>
                    <w:szCs w:val="24"/>
                  </w:rPr>
                  <w:t>Elektros energiją tiekiantys tiekėjai.</w:t>
                </w:r>
              </w:p>
            </w:tc>
          </w:tr>
          <w:tr>
            <w:trPr>
              <w:trHeight w:val="697"/>
            </w:trPr>
            <w:tc>
              <w:tcPr>
                <w:tcW w:w="960" w:type="dxa"/>
                <w:shd w:val="clear" w:color="auto" w:fill="auto"/>
                <w:vAlign w:val="center"/>
                <w:hideMark/>
              </w:tcPr>
              <w:p>
                <w:pPr>
                  <w:jc w:val="center"/>
                  <w:rPr>
                    <w:color w:val="000000"/>
                    <w:szCs w:val="24"/>
                  </w:rPr>
                </w:pPr>
                <w:r>
                  <w:rPr>
                    <w:color w:val="000000"/>
                    <w:szCs w:val="24"/>
                  </w:rPr>
                  <w:t>3.</w:t>
                </w:r>
              </w:p>
            </w:tc>
            <w:tc>
              <w:tcPr>
                <w:tcW w:w="4420" w:type="dxa"/>
                <w:shd w:val="clear" w:color="auto" w:fill="auto"/>
                <w:vAlign w:val="center"/>
                <w:hideMark/>
              </w:tcPr>
              <w:p>
                <w:pPr>
                  <w:rPr>
                    <w:color w:val="000000"/>
                    <w:szCs w:val="24"/>
                  </w:rPr>
                </w:pPr>
                <w:r>
                  <w:rPr>
                    <w:color w:val="000000"/>
                    <w:szCs w:val="24"/>
                  </w:rPr>
                  <w:t xml:space="preserve">Radviliškio rajono melioruotos žemės ir melioracijos statinių  apskaitos paslaugos.</w:t>
                </w:r>
              </w:p>
            </w:tc>
            <w:tc>
              <w:tcPr>
                <w:tcW w:w="2040" w:type="dxa"/>
                <w:shd w:val="clear" w:color="auto" w:fill="auto"/>
                <w:vAlign w:val="center"/>
                <w:hideMark/>
              </w:tcPr>
              <w:p>
                <w:pPr>
                  <w:jc w:val="center"/>
                  <w:rPr>
                    <w:color w:val="000000"/>
                    <w:szCs w:val="24"/>
                  </w:rPr>
                </w:pPr>
                <w:r>
                  <w:rPr>
                    <w:color w:val="000000"/>
                    <w:szCs w:val="24"/>
                  </w:rPr>
                  <w:t xml:space="preserve">5 517,60 </w:t>
                </w:r>
              </w:p>
            </w:tc>
            <w:tc>
              <w:tcPr>
                <w:tcW w:w="6720" w:type="dxa"/>
                <w:shd w:val="clear" w:color="auto" w:fill="auto"/>
                <w:vAlign w:val="center"/>
                <w:hideMark/>
              </w:tcPr>
              <w:p>
                <w:pPr>
                  <w:jc w:val="center"/>
                  <w:rPr>
                    <w:color w:val="000000"/>
                    <w:szCs w:val="24"/>
                  </w:rPr>
                </w:pPr>
                <w:r>
                  <w:rPr>
                    <w:color w:val="000000"/>
                    <w:szCs w:val="24"/>
                  </w:rPr>
                  <w:t xml:space="preserve">Nr. SUT-2024-133 VĮ  Žemės ūkio duomenų centras; </w:t>
                </w:r>
              </w:p>
              <w:p>
                <w:pPr>
                  <w:jc w:val="center"/>
                  <w:rPr>
                    <w:color w:val="000000"/>
                    <w:szCs w:val="24"/>
                  </w:rPr>
                </w:pPr>
                <w:r>
                  <w:rPr>
                    <w:color w:val="000000"/>
                    <w:szCs w:val="24"/>
                  </w:rPr>
                  <w:t>Sutartis baigėsi 2025-01-05.</w:t>
                </w:r>
              </w:p>
            </w:tc>
          </w:tr>
          <w:tr>
            <w:trPr>
              <w:trHeight w:val="1275"/>
            </w:trPr>
            <w:tc>
              <w:tcPr>
                <w:tcW w:w="960" w:type="dxa"/>
                <w:shd w:val="clear" w:color="auto" w:fill="auto"/>
                <w:vAlign w:val="center"/>
                <w:hideMark/>
              </w:tcPr>
              <w:p>
                <w:pPr>
                  <w:jc w:val="center"/>
                  <w:rPr>
                    <w:color w:val="000000"/>
                    <w:szCs w:val="24"/>
                  </w:rPr>
                </w:pPr>
                <w:r>
                  <w:rPr>
                    <w:color w:val="000000"/>
                    <w:szCs w:val="24"/>
                  </w:rPr>
                  <w:t>4.</w:t>
                </w:r>
              </w:p>
            </w:tc>
            <w:tc>
              <w:tcPr>
                <w:tcW w:w="4420" w:type="dxa"/>
                <w:shd w:val="clear" w:color="auto" w:fill="auto"/>
                <w:vAlign w:val="center"/>
                <w:hideMark/>
              </w:tcPr>
              <w:p>
                <w:pPr>
                  <w:rPr>
                    <w:color w:val="000000"/>
                    <w:szCs w:val="24"/>
                  </w:rPr>
                </w:pPr>
                <w:r>
                  <w:rPr>
                    <w:color w:val="000000"/>
                    <w:szCs w:val="24"/>
                  </w:rPr>
                  <w:t>Radviliškio rajone esančių ir valstybei nuosavybės teise priklausančių hidrotechnikos statinių (tvenkinių), jų įrenginių priežiūros darbai.</w:t>
                </w:r>
              </w:p>
            </w:tc>
            <w:tc>
              <w:tcPr>
                <w:tcW w:w="2040" w:type="dxa"/>
                <w:shd w:val="clear" w:color="auto" w:fill="auto"/>
                <w:vAlign w:val="center"/>
                <w:hideMark/>
              </w:tcPr>
              <w:p>
                <w:pPr>
                  <w:jc w:val="center"/>
                  <w:rPr>
                    <w:color w:val="000000"/>
                    <w:szCs w:val="24"/>
                  </w:rPr>
                </w:pPr>
                <w:r>
                  <w:rPr>
                    <w:color w:val="000000"/>
                    <w:szCs w:val="24"/>
                  </w:rPr>
                  <w:t xml:space="preserve">5 689,42 </w:t>
                </w:r>
              </w:p>
            </w:tc>
            <w:tc>
              <w:tcPr>
                <w:tcW w:w="6720" w:type="dxa"/>
                <w:shd w:val="clear" w:color="auto" w:fill="auto"/>
                <w:vAlign w:val="center"/>
                <w:hideMark/>
              </w:tcPr>
              <w:p>
                <w:pPr>
                  <w:jc w:val="center"/>
                  <w:rPr>
                    <w:color w:val="000000"/>
                    <w:szCs w:val="24"/>
                  </w:rPr>
                </w:pPr>
                <w:r>
                  <w:rPr>
                    <w:color w:val="000000"/>
                    <w:szCs w:val="24"/>
                  </w:rPr>
                  <w:t>Nr. SUT-2024-503</w:t>
                </w:r>
                <w:r>
                  <w:rPr>
                    <w:szCs w:val="24"/>
                  </w:rPr>
                  <w:t xml:space="preserve"> </w:t>
                </w:r>
                <w:r>
                  <w:rPr>
                    <w:color w:val="000000"/>
                    <w:szCs w:val="24"/>
                  </w:rPr>
                  <w:t>UAB „Kelmės drena“;</w:t>
                </w:r>
              </w:p>
              <w:p>
                <w:pPr>
                  <w:jc w:val="center"/>
                  <w:rPr>
                    <w:color w:val="000000"/>
                    <w:szCs w:val="24"/>
                  </w:rPr>
                </w:pPr>
                <w:r>
                  <w:rPr>
                    <w:color w:val="000000"/>
                    <w:szCs w:val="24"/>
                  </w:rPr>
                  <w:t>Sutartis baigėsi 2024-10-14.</w:t>
                </w:r>
              </w:p>
            </w:tc>
          </w:tr>
          <w:tr>
            <w:trPr>
              <w:trHeight w:val="1110"/>
            </w:trPr>
            <w:tc>
              <w:tcPr>
                <w:tcW w:w="960" w:type="dxa"/>
                <w:shd w:val="clear" w:color="auto" w:fill="auto"/>
                <w:vAlign w:val="center"/>
                <w:hideMark/>
              </w:tcPr>
              <w:p>
                <w:pPr>
                  <w:jc w:val="center"/>
                  <w:rPr>
                    <w:color w:val="000000"/>
                    <w:szCs w:val="24"/>
                  </w:rPr>
                </w:pPr>
                <w:r>
                  <w:rPr>
                    <w:color w:val="000000"/>
                    <w:szCs w:val="24"/>
                  </w:rPr>
                  <w:t>5.</w:t>
                </w:r>
              </w:p>
            </w:tc>
            <w:tc>
              <w:tcPr>
                <w:tcW w:w="4420" w:type="dxa"/>
                <w:shd w:val="clear" w:color="auto" w:fill="auto"/>
                <w:vAlign w:val="center"/>
                <w:hideMark/>
              </w:tcPr>
              <w:p>
                <w:pPr>
                  <w:rPr>
                    <w:color w:val="000000"/>
                    <w:szCs w:val="24"/>
                  </w:rPr>
                </w:pPr>
                <w:r>
                  <w:rPr>
                    <w:color w:val="000000"/>
                    <w:szCs w:val="24"/>
                  </w:rPr>
                  <w:t>Radviliškio rajone esančių ir valstybei priklausančių melioracijos statinių remonto darbų techninių darbo projektų parengimas.</w:t>
                </w:r>
              </w:p>
            </w:tc>
            <w:tc>
              <w:tcPr>
                <w:tcW w:w="2040" w:type="dxa"/>
                <w:shd w:val="clear" w:color="000000" w:fill="FFFFFF"/>
                <w:vAlign w:val="center"/>
                <w:hideMark/>
              </w:tcPr>
              <w:p>
                <w:pPr>
                  <w:jc w:val="center"/>
                  <w:rPr>
                    <w:color w:val="000000"/>
                    <w:szCs w:val="24"/>
                  </w:rPr>
                </w:pPr>
                <w:r>
                  <w:rPr>
                    <w:color w:val="000000"/>
                    <w:szCs w:val="24"/>
                  </w:rPr>
                  <w:t>11 988,00</w:t>
                </w:r>
              </w:p>
            </w:tc>
            <w:tc>
              <w:tcPr>
                <w:tcW w:w="6720" w:type="dxa"/>
                <w:shd w:val="clear" w:color="auto" w:fill="auto"/>
                <w:vAlign w:val="center"/>
                <w:hideMark/>
              </w:tcPr>
              <w:p>
                <w:pPr>
                  <w:jc w:val="center"/>
                  <w:rPr>
                    <w:color w:val="000000"/>
                    <w:szCs w:val="24"/>
                  </w:rPr>
                </w:pPr>
                <w:r>
                  <w:rPr>
                    <w:color w:val="000000"/>
                    <w:szCs w:val="24"/>
                  </w:rPr>
                  <w:t>Nr. SUT-2024-192 MB „Gaprojektuotojas“;</w:t>
                </w:r>
              </w:p>
              <w:p>
                <w:pPr>
                  <w:jc w:val="center"/>
                  <w:rPr>
                    <w:color w:val="000000"/>
                    <w:szCs w:val="24"/>
                  </w:rPr>
                </w:pPr>
                <w:r>
                  <w:rPr>
                    <w:color w:val="000000"/>
                    <w:szCs w:val="24"/>
                  </w:rPr>
                  <w:t>Nr. SUT-2024-423 MB „Hidroprofilis“;</w:t>
                </w:r>
              </w:p>
              <w:p>
                <w:pPr>
                  <w:jc w:val="center"/>
                  <w:rPr>
                    <w:color w:val="000000"/>
                    <w:szCs w:val="24"/>
                  </w:rPr>
                </w:pPr>
                <w:r>
                  <w:rPr>
                    <w:color w:val="000000"/>
                    <w:szCs w:val="24"/>
                  </w:rPr>
                  <w:t>Sutartis baigėsi 2024-08-22.</w:t>
                </w:r>
              </w:p>
            </w:tc>
          </w:tr>
          <w:tr>
            <w:trPr>
              <w:trHeight w:val="945"/>
            </w:trPr>
            <w:tc>
              <w:tcPr>
                <w:tcW w:w="960" w:type="dxa"/>
                <w:shd w:val="clear" w:color="auto" w:fill="auto"/>
                <w:vAlign w:val="center"/>
                <w:hideMark/>
              </w:tcPr>
              <w:p>
                <w:pPr>
                  <w:jc w:val="center"/>
                  <w:rPr>
                    <w:color w:val="000000"/>
                    <w:szCs w:val="24"/>
                  </w:rPr>
                </w:pPr>
                <w:r>
                  <w:rPr>
                    <w:color w:val="000000"/>
                    <w:szCs w:val="24"/>
                  </w:rPr>
                  <w:t>6.</w:t>
                </w:r>
              </w:p>
            </w:tc>
            <w:tc>
              <w:tcPr>
                <w:tcW w:w="4420" w:type="dxa"/>
                <w:shd w:val="clear" w:color="auto" w:fill="auto"/>
                <w:vAlign w:val="center"/>
                <w:hideMark/>
              </w:tcPr>
              <w:p>
                <w:pPr>
                  <w:rPr>
                    <w:color w:val="000000"/>
                    <w:szCs w:val="24"/>
                  </w:rPr>
                </w:pPr>
                <w:r>
                  <w:rPr>
                    <w:color w:val="000000"/>
                    <w:szCs w:val="24"/>
                  </w:rPr>
                  <w:t xml:space="preserve">Radviliškio r. sav. Butėnų ir Džiugonių k. v.  Šuojos, Postupio, Kraujupio up. dalies baseino griovių ir jų statinių remonto darbai.</w:t>
                </w:r>
              </w:p>
            </w:tc>
            <w:tc>
              <w:tcPr>
                <w:tcW w:w="2040" w:type="dxa"/>
                <w:shd w:val="clear" w:color="auto" w:fill="auto"/>
                <w:vAlign w:val="center"/>
                <w:hideMark/>
              </w:tcPr>
              <w:p>
                <w:pPr>
                  <w:jc w:val="center"/>
                  <w:rPr>
                    <w:color w:val="000000"/>
                    <w:szCs w:val="24"/>
                  </w:rPr>
                </w:pPr>
                <w:r>
                  <w:rPr>
                    <w:color w:val="000000"/>
                    <w:szCs w:val="24"/>
                  </w:rPr>
                  <w:t>103 747,41</w:t>
                </w:r>
              </w:p>
            </w:tc>
            <w:tc>
              <w:tcPr>
                <w:tcW w:w="6720" w:type="dxa"/>
                <w:shd w:val="clear" w:color="auto" w:fill="auto"/>
                <w:vAlign w:val="center"/>
                <w:hideMark/>
              </w:tcPr>
              <w:p>
                <w:pPr>
                  <w:jc w:val="center"/>
                  <w:rPr>
                    <w:color w:val="000000"/>
                    <w:szCs w:val="24"/>
                  </w:rPr>
                </w:pPr>
                <w:r>
                  <w:rPr>
                    <w:color w:val="000000"/>
                    <w:szCs w:val="24"/>
                  </w:rPr>
                  <w:t>Nr. SUT-2024-761</w:t>
                </w:r>
                <w:r>
                  <w:rPr>
                    <w:szCs w:val="24"/>
                  </w:rPr>
                  <w:t xml:space="preserve"> </w:t>
                </w:r>
                <w:r>
                  <w:rPr>
                    <w:color w:val="000000"/>
                    <w:szCs w:val="24"/>
                  </w:rPr>
                  <w:t>UAB „Gerista“;</w:t>
                </w:r>
              </w:p>
              <w:p>
                <w:pPr>
                  <w:jc w:val="center"/>
                  <w:rPr>
                    <w:color w:val="000000"/>
                    <w:szCs w:val="24"/>
                  </w:rPr>
                </w:pPr>
                <w:r>
                  <w:rPr>
                    <w:color w:val="000000"/>
                    <w:szCs w:val="24"/>
                  </w:rPr>
                  <w:t>Sutartis baigiasi 2024-12-19.</w:t>
                </w:r>
              </w:p>
            </w:tc>
          </w:tr>
          <w:tr>
            <w:trPr>
              <w:trHeight w:val="1305"/>
            </w:trPr>
            <w:tc>
              <w:tcPr>
                <w:tcW w:w="960" w:type="dxa"/>
                <w:shd w:val="clear" w:color="auto" w:fill="auto"/>
                <w:vAlign w:val="center"/>
                <w:hideMark/>
              </w:tcPr>
              <w:p>
                <w:pPr>
                  <w:jc w:val="center"/>
                  <w:rPr>
                    <w:color w:val="000000"/>
                    <w:szCs w:val="24"/>
                  </w:rPr>
                </w:pPr>
                <w:r>
                  <w:rPr>
                    <w:color w:val="000000"/>
                    <w:szCs w:val="24"/>
                  </w:rPr>
                  <w:t>7.</w:t>
                </w:r>
              </w:p>
            </w:tc>
            <w:tc>
              <w:tcPr>
                <w:tcW w:w="4420" w:type="dxa"/>
                <w:shd w:val="clear" w:color="auto" w:fill="auto"/>
                <w:vAlign w:val="center"/>
                <w:hideMark/>
              </w:tcPr>
              <w:p>
                <w:pPr>
                  <w:rPr>
                    <w:color w:val="000000"/>
                    <w:szCs w:val="24"/>
                  </w:rPr>
                </w:pPr>
                <w:r>
                  <w:rPr>
                    <w:color w:val="000000"/>
                    <w:szCs w:val="24"/>
                  </w:rPr>
                  <w:t>Radviliškio r. sav. Aukštelkų ir Mažaičių kadastrinių vietovių Vėzgės up. dalies baseino griovių, jų statinių remonto darbai.</w:t>
                </w:r>
              </w:p>
            </w:tc>
            <w:tc>
              <w:tcPr>
                <w:tcW w:w="2040" w:type="dxa"/>
                <w:shd w:val="clear" w:color="000000" w:fill="FFFFFF"/>
                <w:vAlign w:val="center"/>
                <w:hideMark/>
              </w:tcPr>
              <w:p>
                <w:pPr>
                  <w:jc w:val="center"/>
                  <w:rPr>
                    <w:color w:val="000000"/>
                    <w:szCs w:val="24"/>
                  </w:rPr>
                </w:pPr>
                <w:r>
                  <w:rPr>
                    <w:color w:val="000000"/>
                    <w:szCs w:val="24"/>
                  </w:rPr>
                  <w:t>165 718,13</w:t>
                </w:r>
              </w:p>
            </w:tc>
            <w:tc>
              <w:tcPr>
                <w:tcW w:w="6720" w:type="dxa"/>
                <w:shd w:val="clear" w:color="auto" w:fill="auto"/>
                <w:vAlign w:val="center"/>
                <w:hideMark/>
              </w:tcPr>
              <w:p>
                <w:pPr>
                  <w:jc w:val="center"/>
                  <w:rPr>
                    <w:color w:val="000000"/>
                    <w:szCs w:val="24"/>
                  </w:rPr>
                </w:pPr>
                <w:r>
                  <w:rPr>
                    <w:color w:val="000000"/>
                    <w:szCs w:val="24"/>
                  </w:rPr>
                  <w:t xml:space="preserve">Nr. SUT-2023-808 UAB „Pasvalio melioracija“; </w:t>
                </w:r>
              </w:p>
              <w:p>
                <w:pPr>
                  <w:jc w:val="center"/>
                  <w:rPr>
                    <w:color w:val="000000"/>
                    <w:szCs w:val="24"/>
                  </w:rPr>
                </w:pPr>
                <w:r>
                  <w:rPr>
                    <w:color w:val="000000"/>
                    <w:szCs w:val="24"/>
                  </w:rPr>
                  <w:t xml:space="preserve">Sutartis baigiasi 2025-01-22. </w:t>
                </w:r>
              </w:p>
            </w:tc>
          </w:tr>
          <w:tr>
            <w:trPr>
              <w:trHeight w:val="1275"/>
            </w:trPr>
            <w:tc>
              <w:tcPr>
                <w:tcW w:w="960" w:type="dxa"/>
                <w:shd w:val="clear" w:color="auto" w:fill="auto"/>
                <w:vAlign w:val="center"/>
                <w:hideMark/>
              </w:tcPr>
              <w:p>
                <w:pPr>
                  <w:jc w:val="center"/>
                  <w:rPr>
                    <w:color w:val="000000"/>
                    <w:szCs w:val="24"/>
                  </w:rPr>
                </w:pPr>
                <w:r>
                  <w:rPr>
                    <w:color w:val="000000"/>
                    <w:szCs w:val="24"/>
                  </w:rPr>
                  <w:t>8.</w:t>
                </w:r>
              </w:p>
            </w:tc>
            <w:tc>
              <w:tcPr>
                <w:tcW w:w="4420" w:type="dxa"/>
                <w:shd w:val="clear" w:color="auto" w:fill="auto"/>
                <w:vAlign w:val="center"/>
                <w:hideMark/>
              </w:tcPr>
              <w:p>
                <w:pPr>
                  <w:rPr>
                    <w:color w:val="000000"/>
                    <w:szCs w:val="24"/>
                  </w:rPr>
                </w:pPr>
                <w:r>
                  <w:rPr>
                    <w:color w:val="000000"/>
                    <w:szCs w:val="24"/>
                  </w:rPr>
                  <w:t xml:space="preserve">Radviliškio rajono Aukštelkų ir Mažaičių kadastrinių vietovių Vėzgės up. dalies baseino griovių, jų statinių remonto darbų  techninės priežiūros paslaugos ir Radviliškio r. sav. Butėnų ir Džiugonių k. v.  Šuojos, Postupio, Kraujupio up. dalies baseino griovių ir jų statinių remonto darbų techninės priežiūros paslaugos.</w:t>
                </w:r>
              </w:p>
            </w:tc>
            <w:tc>
              <w:tcPr>
                <w:tcW w:w="2040" w:type="dxa"/>
                <w:shd w:val="clear" w:color="000000" w:fill="FFFFFF"/>
                <w:vAlign w:val="center"/>
                <w:hideMark/>
              </w:tcPr>
              <w:p>
                <w:pPr>
                  <w:jc w:val="center"/>
                  <w:rPr>
                    <w:color w:val="000000"/>
                    <w:szCs w:val="24"/>
                  </w:rPr>
                </w:pPr>
                <w:r>
                  <w:rPr>
                    <w:color w:val="000000"/>
                    <w:szCs w:val="24"/>
                  </w:rPr>
                  <w:t>2 178,00</w:t>
                </w:r>
              </w:p>
            </w:tc>
            <w:tc>
              <w:tcPr>
                <w:tcW w:w="6720" w:type="dxa"/>
                <w:shd w:val="clear" w:color="auto" w:fill="auto"/>
                <w:vAlign w:val="center"/>
                <w:hideMark/>
              </w:tcPr>
              <w:p>
                <w:pPr>
                  <w:jc w:val="center"/>
                  <w:rPr>
                    <w:color w:val="000000"/>
                    <w:szCs w:val="24"/>
                  </w:rPr>
                </w:pPr>
                <w:r>
                  <w:rPr>
                    <w:color w:val="000000"/>
                    <w:szCs w:val="24"/>
                  </w:rPr>
                  <w:t>Nr. SUT 2023-848 MB „Gegusta“;</w:t>
                </w:r>
              </w:p>
              <w:p>
                <w:pPr>
                  <w:jc w:val="center"/>
                  <w:rPr>
                    <w:color w:val="000000"/>
                    <w:szCs w:val="24"/>
                  </w:rPr>
                </w:pPr>
                <w:r>
                  <w:rPr>
                    <w:color w:val="000000"/>
                    <w:szCs w:val="24"/>
                  </w:rPr>
                  <w:t xml:space="preserve">Sutartis baigiasi 2025-02-07. </w:t>
                </w:r>
              </w:p>
            </w:tc>
          </w:tr>
          <w:tr>
            <w:trPr>
              <w:trHeight w:val="1403"/>
            </w:trPr>
            <w:tc>
              <w:tcPr>
                <w:tcW w:w="960" w:type="dxa"/>
                <w:shd w:val="clear" w:color="auto" w:fill="auto"/>
                <w:vAlign w:val="center"/>
                <w:hideMark/>
              </w:tcPr>
              <w:p>
                <w:pPr>
                  <w:jc w:val="center"/>
                  <w:rPr>
                    <w:color w:val="000000"/>
                    <w:szCs w:val="24"/>
                  </w:rPr>
                </w:pPr>
                <w:r>
                  <w:rPr>
                    <w:color w:val="000000"/>
                    <w:szCs w:val="24"/>
                  </w:rPr>
                  <w:t>9.</w:t>
                </w:r>
              </w:p>
            </w:tc>
            <w:tc>
              <w:tcPr>
                <w:tcW w:w="4420" w:type="dxa"/>
                <w:shd w:val="clear" w:color="auto" w:fill="auto"/>
                <w:vAlign w:val="center"/>
                <w:hideMark/>
              </w:tcPr>
              <w:p>
                <w:pPr>
                  <w:rPr>
                    <w:color w:val="000000"/>
                    <w:szCs w:val="24"/>
                  </w:rPr>
                </w:pPr>
                <w:r>
                  <w:rPr>
                    <w:color w:val="000000"/>
                    <w:szCs w:val="24"/>
                  </w:rPr>
                  <w:t>Radviliškio rajone esančių ir valstybei priklausančių melioracijos statinių (vandens pralaidų, drenažo rinktuvų, tiltų, vandens nuleistuvų ir pan.) avarinių gedimų šalinimo darbai.</w:t>
                </w:r>
              </w:p>
            </w:tc>
            <w:tc>
              <w:tcPr>
                <w:tcW w:w="2040" w:type="dxa"/>
                <w:shd w:val="clear" w:color="auto" w:fill="auto"/>
                <w:vAlign w:val="center"/>
                <w:hideMark/>
              </w:tcPr>
              <w:p>
                <w:pPr>
                  <w:jc w:val="center"/>
                  <w:rPr>
                    <w:color w:val="000000"/>
                    <w:szCs w:val="24"/>
                  </w:rPr>
                </w:pPr>
                <w:r>
                  <w:rPr>
                    <w:color w:val="000000"/>
                    <w:szCs w:val="24"/>
                  </w:rPr>
                  <w:t xml:space="preserve">29 999,53 </w:t>
                </w:r>
              </w:p>
            </w:tc>
            <w:tc>
              <w:tcPr>
                <w:tcW w:w="6720" w:type="dxa"/>
                <w:shd w:val="clear" w:color="auto" w:fill="auto"/>
                <w:vAlign w:val="center"/>
                <w:hideMark/>
              </w:tcPr>
              <w:p>
                <w:pPr>
                  <w:jc w:val="center"/>
                  <w:rPr>
                    <w:color w:val="000000"/>
                    <w:szCs w:val="24"/>
                  </w:rPr>
                </w:pPr>
                <w:r>
                  <w:rPr>
                    <w:color w:val="000000"/>
                    <w:szCs w:val="24"/>
                  </w:rPr>
                  <w:t>Nr. SUT-2024-192</w:t>
                </w:r>
                <w:r>
                  <w:rPr>
                    <w:szCs w:val="24"/>
                  </w:rPr>
                  <w:t xml:space="preserve"> MB</w:t>
                </w:r>
                <w:r>
                  <w:rPr>
                    <w:color w:val="000000"/>
                    <w:szCs w:val="24"/>
                  </w:rPr>
                  <w:t xml:space="preserve"> „Melioracijos servisas“;</w:t>
                </w:r>
              </w:p>
              <w:p>
                <w:pPr>
                  <w:jc w:val="center"/>
                  <w:rPr>
                    <w:color w:val="000000"/>
                    <w:szCs w:val="24"/>
                  </w:rPr>
                </w:pPr>
                <w:r>
                  <w:rPr>
                    <w:color w:val="000000"/>
                    <w:szCs w:val="24"/>
                  </w:rPr>
                  <w:t>Sutartis baigiasi 2024-12-29.</w:t>
                </w:r>
              </w:p>
            </w:tc>
          </w:tr>
          <w:tr>
            <w:trPr>
              <w:trHeight w:val="1470"/>
            </w:trPr>
            <w:tc>
              <w:tcPr>
                <w:tcW w:w="960" w:type="dxa"/>
                <w:shd w:val="clear" w:color="auto" w:fill="auto"/>
                <w:vAlign w:val="center"/>
                <w:hideMark/>
              </w:tcPr>
              <w:p>
                <w:pPr>
                  <w:jc w:val="center"/>
                  <w:rPr>
                    <w:color w:val="000000"/>
                    <w:szCs w:val="24"/>
                  </w:rPr>
                </w:pPr>
                <w:r>
                  <w:rPr>
                    <w:color w:val="000000"/>
                    <w:szCs w:val="24"/>
                  </w:rPr>
                  <w:t>10.</w:t>
                </w:r>
              </w:p>
            </w:tc>
            <w:tc>
              <w:tcPr>
                <w:tcW w:w="4420" w:type="dxa"/>
                <w:shd w:val="clear" w:color="auto" w:fill="auto"/>
                <w:vAlign w:val="center"/>
                <w:hideMark/>
              </w:tcPr>
              <w:p>
                <w:pPr>
                  <w:rPr>
                    <w:color w:val="000000"/>
                    <w:szCs w:val="24"/>
                  </w:rPr>
                </w:pPr>
                <w:r>
                  <w:rPr>
                    <w:color w:val="000000"/>
                    <w:szCs w:val="24"/>
                  </w:rPr>
                  <w:t>Radviliškio rajone esančių ir valstybei nuosavybės teise priklausančių melioracijos statinių remonto darbų techninės priežiūros paslaugos.</w:t>
                </w:r>
              </w:p>
            </w:tc>
            <w:tc>
              <w:tcPr>
                <w:tcW w:w="2040" w:type="dxa"/>
                <w:shd w:val="clear" w:color="000000" w:fill="FFFFFF"/>
                <w:vAlign w:val="center"/>
                <w:hideMark/>
              </w:tcPr>
              <w:p>
                <w:pPr>
                  <w:jc w:val="center"/>
                  <w:rPr>
                    <w:color w:val="000000"/>
                    <w:szCs w:val="24"/>
                  </w:rPr>
                </w:pPr>
                <w:r>
                  <w:rPr>
                    <w:color w:val="000000"/>
                    <w:szCs w:val="24"/>
                  </w:rPr>
                  <w:t xml:space="preserve">1 482,25 </w:t>
                </w:r>
              </w:p>
            </w:tc>
            <w:tc>
              <w:tcPr>
                <w:tcW w:w="6720" w:type="dxa"/>
                <w:shd w:val="clear" w:color="auto" w:fill="auto"/>
                <w:vAlign w:val="center"/>
                <w:hideMark/>
              </w:tcPr>
              <w:p>
                <w:pPr>
                  <w:jc w:val="center"/>
                  <w:rPr>
                    <w:color w:val="000000"/>
                    <w:szCs w:val="24"/>
                  </w:rPr>
                </w:pPr>
                <w:r>
                  <w:rPr>
                    <w:color w:val="000000"/>
                    <w:szCs w:val="24"/>
                  </w:rPr>
                  <w:t>Nr. SUT-2024-124</w:t>
                </w:r>
                <w:r>
                  <w:rPr>
                    <w:szCs w:val="24"/>
                  </w:rPr>
                  <w:t xml:space="preserve"> MB „Meluka“;</w:t>
                </w:r>
              </w:p>
              <w:p>
                <w:pPr>
                  <w:jc w:val="center"/>
                  <w:rPr>
                    <w:color w:val="000000"/>
                    <w:szCs w:val="24"/>
                  </w:rPr>
                </w:pPr>
                <w:r>
                  <w:rPr>
                    <w:color w:val="000000"/>
                    <w:szCs w:val="24"/>
                  </w:rPr>
                  <w:t>Sutartis baigėsi 2024-12-02.</w:t>
                </w:r>
              </w:p>
            </w:tc>
          </w:tr>
          <w:tr>
            <w:trPr>
              <w:trHeight w:val="1275"/>
            </w:trPr>
            <w:tc>
              <w:tcPr>
                <w:tcW w:w="960" w:type="dxa"/>
                <w:shd w:val="clear" w:color="auto" w:fill="auto"/>
                <w:vAlign w:val="center"/>
                <w:hideMark/>
              </w:tcPr>
              <w:p>
                <w:pPr>
                  <w:jc w:val="center"/>
                  <w:rPr>
                    <w:color w:val="000000"/>
                    <w:szCs w:val="24"/>
                  </w:rPr>
                </w:pPr>
                <w:r>
                  <w:rPr>
                    <w:color w:val="000000"/>
                    <w:szCs w:val="24"/>
                  </w:rPr>
                  <w:t>11.</w:t>
                </w:r>
              </w:p>
            </w:tc>
            <w:tc>
              <w:tcPr>
                <w:tcW w:w="4420" w:type="dxa"/>
                <w:shd w:val="clear" w:color="auto" w:fill="auto"/>
                <w:vAlign w:val="center"/>
              </w:tcPr>
              <w:p>
                <w:pPr>
                  <w:rPr>
                    <w:color w:val="000000"/>
                    <w:szCs w:val="24"/>
                  </w:rPr>
                </w:pPr>
                <w:r>
                  <w:rPr>
                    <w:color w:val="000000"/>
                    <w:szCs w:val="24"/>
                  </w:rPr>
                  <w:t>Radviliškio rajone esančių ir valstybei nuosavybės teise priklausančių hidrotechnikos statinių bendros techninės būklės įvertinimo paslaugos.</w:t>
                </w:r>
              </w:p>
            </w:tc>
            <w:tc>
              <w:tcPr>
                <w:tcW w:w="2040" w:type="dxa"/>
                <w:shd w:val="clear" w:color="000000" w:fill="FFFFFF"/>
                <w:vAlign w:val="center"/>
              </w:tcPr>
              <w:p>
                <w:pPr>
                  <w:jc w:val="center"/>
                  <w:rPr>
                    <w:color w:val="000000"/>
                    <w:szCs w:val="24"/>
                  </w:rPr>
                </w:pPr>
                <w:r>
                  <w:rPr>
                    <w:color w:val="000000"/>
                    <w:szCs w:val="24"/>
                  </w:rPr>
                  <w:t>1 815,00</w:t>
                </w:r>
              </w:p>
            </w:tc>
            <w:tc>
              <w:tcPr>
                <w:tcW w:w="6720" w:type="dxa"/>
                <w:shd w:val="clear" w:color="auto" w:fill="auto"/>
                <w:vAlign w:val="center"/>
              </w:tcPr>
              <w:p>
                <w:pPr>
                  <w:jc w:val="center"/>
                  <w:rPr>
                    <w:color w:val="000000"/>
                    <w:szCs w:val="24"/>
                  </w:rPr>
                </w:pPr>
                <w:r>
                  <w:rPr>
                    <w:color w:val="000000"/>
                    <w:szCs w:val="24"/>
                  </w:rPr>
                  <w:t>Nr. SUT-2024-125</w:t>
                </w:r>
                <w:r>
                  <w:rPr>
                    <w:szCs w:val="24"/>
                  </w:rPr>
                  <w:t xml:space="preserve"> M</w:t>
                </w:r>
                <w:r>
                  <w:rPr>
                    <w:color w:val="000000"/>
                    <w:szCs w:val="24"/>
                  </w:rPr>
                  <w:t>B „Melioracijos servisas“;</w:t>
                </w:r>
              </w:p>
              <w:p>
                <w:pPr>
                  <w:jc w:val="center"/>
                  <w:rPr>
                    <w:color w:val="000000"/>
                    <w:szCs w:val="24"/>
                  </w:rPr>
                </w:pPr>
                <w:r>
                  <w:rPr>
                    <w:color w:val="000000"/>
                    <w:szCs w:val="24"/>
                  </w:rPr>
                  <w:t>Sutartis baigėsi 2024-09-02.</w:t>
                </w:r>
              </w:p>
            </w:tc>
          </w:tr>
          <w:tr>
            <w:trPr>
              <w:trHeight w:val="1275"/>
            </w:trPr>
            <w:tc>
              <w:tcPr>
                <w:tcW w:w="960" w:type="dxa"/>
                <w:shd w:val="clear" w:color="auto" w:fill="auto"/>
                <w:vAlign w:val="center"/>
              </w:tcPr>
              <w:p>
                <w:pPr>
                  <w:jc w:val="center"/>
                  <w:rPr>
                    <w:color w:val="000000"/>
                    <w:szCs w:val="24"/>
                  </w:rPr>
                </w:pPr>
                <w:r>
                  <w:rPr>
                    <w:color w:val="000000"/>
                    <w:szCs w:val="24"/>
                  </w:rPr>
                  <w:t>12.</w:t>
                </w:r>
              </w:p>
            </w:tc>
            <w:tc>
              <w:tcPr>
                <w:tcW w:w="4420" w:type="dxa"/>
                <w:shd w:val="clear" w:color="auto" w:fill="auto"/>
                <w:vAlign w:val="center"/>
              </w:tcPr>
              <w:p>
                <w:pPr>
                  <w:rPr>
                    <w:color w:val="000000"/>
                    <w:szCs w:val="24"/>
                  </w:rPr>
                </w:pPr>
                <w:r>
                  <w:rPr>
                    <w:color w:val="000000"/>
                    <w:szCs w:val="24"/>
                  </w:rPr>
                  <w:t>Radviliškio rajone esančių, valstybei nuosavybės teise priklausančių melioracijos griovių ir jų statinių remonto darbai.</w:t>
                </w:r>
              </w:p>
            </w:tc>
            <w:tc>
              <w:tcPr>
                <w:tcW w:w="2040" w:type="dxa"/>
                <w:shd w:val="clear" w:color="000000" w:fill="FFFFFF"/>
                <w:vAlign w:val="center"/>
              </w:tcPr>
              <w:p>
                <w:pPr>
                  <w:jc w:val="center"/>
                  <w:rPr>
                    <w:color w:val="000000"/>
                    <w:szCs w:val="24"/>
                  </w:rPr>
                </w:pPr>
                <w:r>
                  <w:rPr>
                    <w:color w:val="000000"/>
                    <w:szCs w:val="24"/>
                  </w:rPr>
                  <w:t>15 348,49</w:t>
                </w:r>
              </w:p>
            </w:tc>
            <w:tc>
              <w:tcPr>
                <w:tcW w:w="6720" w:type="dxa"/>
                <w:shd w:val="clear" w:color="auto" w:fill="auto"/>
                <w:vAlign w:val="center"/>
              </w:tcPr>
              <w:p>
                <w:pPr>
                  <w:jc w:val="center"/>
                  <w:rPr>
                    <w:color w:val="000000"/>
                    <w:szCs w:val="24"/>
                  </w:rPr>
                </w:pPr>
                <w:r>
                  <w:rPr>
                    <w:color w:val="000000"/>
                    <w:szCs w:val="24"/>
                  </w:rPr>
                  <w:t xml:space="preserve">Nr. SUT-2024-982  MB „Melioracijos servisas“;</w:t>
                </w:r>
              </w:p>
              <w:p>
                <w:pPr>
                  <w:jc w:val="center"/>
                  <w:rPr>
                    <w:color w:val="000000"/>
                    <w:szCs w:val="24"/>
                  </w:rPr>
                </w:pPr>
                <w:r>
                  <w:rPr>
                    <w:color w:val="000000"/>
                    <w:szCs w:val="24"/>
                  </w:rPr>
                  <w:t>Sutartis baigiasi 2024-12-23.</w:t>
                </w:r>
              </w:p>
            </w:tc>
          </w:tr>
          <w:tr>
            <w:trPr>
              <w:trHeight w:val="660"/>
            </w:trPr>
            <w:tc>
              <w:tcPr>
                <w:tcW w:w="5380" w:type="dxa"/>
                <w:gridSpan w:val="2"/>
                <w:shd w:val="clear" w:color="auto" w:fill="auto"/>
                <w:noWrap/>
                <w:vAlign w:val="center"/>
                <w:hideMark/>
              </w:tcPr>
              <w:p>
                <w:pPr>
                  <w:jc w:val="right"/>
                  <w:rPr>
                    <w:b/>
                    <w:bCs/>
                    <w:color w:val="000000"/>
                    <w:szCs w:val="24"/>
                  </w:rPr>
                </w:pPr>
                <w:r>
                  <w:rPr>
                    <w:b/>
                    <w:bCs/>
                    <w:color w:val="000000"/>
                    <w:szCs w:val="24"/>
                  </w:rPr>
                  <w:t>IŠ VISO:</w:t>
                </w:r>
              </w:p>
            </w:tc>
            <w:tc>
              <w:tcPr>
                <w:tcW w:w="2040" w:type="dxa"/>
                <w:shd w:val="clear" w:color="auto" w:fill="auto"/>
                <w:noWrap/>
                <w:vAlign w:val="center"/>
                <w:hideMark/>
              </w:tcPr>
              <w:p>
                <w:pPr>
                  <w:jc w:val="center"/>
                  <w:rPr>
                    <w:color w:val="000000"/>
                    <w:szCs w:val="24"/>
                  </w:rPr>
                </w:pPr>
                <w:r>
                  <w:rPr>
                    <w:color w:val="000000"/>
                    <w:szCs w:val="24"/>
                  </w:rPr>
                  <w:t>352 178,26</w:t>
                </w:r>
              </w:p>
            </w:tc>
            <w:tc>
              <w:tcPr>
                <w:tcW w:w="6720" w:type="dxa"/>
                <w:shd w:val="clear" w:color="auto" w:fill="auto"/>
                <w:noWrap/>
                <w:vAlign w:val="center"/>
                <w:hideMark/>
              </w:tcPr>
              <w:p>
                <w:pPr>
                  <w:rPr>
                    <w:color w:val="000000"/>
                    <w:szCs w:val="24"/>
                  </w:rPr>
                </w:pPr>
              </w:p>
            </w:tc>
          </w:tr>
        </w:tbl>
        <w:p>
          <w:pPr>
            <w:ind w:firstLine="570"/>
            <w:rPr>
              <w:sz w:val="22"/>
              <w:szCs w:val="22"/>
            </w:rPr>
          </w:pPr>
        </w:p>
        <w:p>
          <w:pPr>
            <w:jc w:val="center"/>
            <w:rPr>
              <w:sz w:val="16"/>
              <w:szCs w:val="16"/>
            </w:rPr>
            <w:sectPr>
              <w:footerReference w:type="default" r:id="rId7"/>
              <w:pgSz w:w="16838" w:h="11906" w:orient="landscape" w:code="9"/>
              <w:pgMar w:top="1134" w:right="567" w:bottom="1134" w:left="1701" w:header="567" w:footer="567" w:gutter="0"/>
              <w:cols w:space="1296"/>
              <w:docGrid w:linePitch="360"/>
            </w:sectPr>
          </w:pPr>
          <w:r>
            <w:rPr>
              <w:sz w:val="22"/>
              <w:szCs w:val="22"/>
            </w:rPr>
            <w:t>________________________________________________________</w:t>
          </w:r>
          <w:r>
            <w:rPr>
              <w:sz w:val="16"/>
              <w:szCs w:val="16"/>
            </w:rPr>
            <w:t xml:space="preserve">                                                                                </w:t>
          </w:r>
        </w:p>
        <w:sdt>
          <w:sdtPr>
            <w:alias w:val="skirsnis"/>
            <w:tag w:val="part_3ac9f471b82642d88ac27c73cdbe77e1"/>
            <w:lock w:val="sdtLocked"/>
            <w:richText/>
          </w:sdtPr>
          <w:sdtContent>
            <w:sdt>
              <w:sdtPr>
                <w:alias w:val="Pavadinimas"/>
                <w:tag w:val="title_3ac9f471b82642d88ac27c73cdbe77e1"/>
                <w:lock w:val="sdtLocked"/>
                <w:richText/>
              </w:sdtPr>
              <w:sdtContent>
                <w:p>
                  <w:pPr>
                    <w:ind w:left="720"/>
                    <w:jc w:val="center"/>
                    <w:rPr>
                      <w:b/>
                      <w:szCs w:val="24"/>
                    </w:rPr>
                  </w:pPr>
                  <w:r>
                    <w:rPr>
                      <w:b/>
                      <w:szCs w:val="24"/>
                    </w:rPr>
                    <w:t>RADVILIŠKIO RAJONO SAVIVALDYBĖS TARYBOS SPRENDIMO PROJEKTO</w:t>
                  </w:r>
                </w:p>
                <w:p>
                  <w:pPr>
                    <w:jc w:val="center"/>
                    <w:rPr>
                      <w:b/>
                      <w:bCs/>
                      <w:caps/>
                      <w:color w:val="FF0000"/>
                      <w:szCs w:val="24"/>
                    </w:rPr>
                  </w:pPr>
                  <w:r>
                    <w:rPr>
                      <w:b/>
                      <w:szCs w:val="24"/>
                    </w:rPr>
                    <w:t>„</w:t>
                  </w:r>
                  <w:r>
                    <w:rPr>
                      <w:b/>
                      <w:bCs/>
                      <w:caps/>
                      <w:szCs w:val="24"/>
                    </w:rPr>
                    <w:t xml:space="preserve">DĖL RADVILIŠKIO RAJONO SAVIVALDYBĖS TARYBOS 2024 M. vasario 1 D. SPRENDIMO NR. T-264 „DĖL RADVILIŠKIO RAJONO SAVIVALDYBĖS 2024 METŲ MELIORACIJOS IR HIDROTECHNIKOS STATINIŲ EKSPLOATAVIMO, REMONTO, PRIEŽIŪROS DARBŲ IR IŠLAIDŲ SĄRAŠO PATVIRTINIMO“ </w:t>
                  </w:r>
                  <w:r>
                    <w:rPr>
                      <w:b/>
                      <w:bCs/>
                      <w:caps/>
                      <w:color w:val="000000"/>
                      <w:szCs w:val="24"/>
                    </w:rPr>
                    <w:t>PAkeitimo</w:t>
                  </w:r>
                  <w:r>
                    <w:rPr>
                      <w:b/>
                      <w:szCs w:val="24"/>
                    </w:rPr>
                    <w:t>“</w:t>
                  </w:r>
                </w:p>
                <w:p>
                  <w:pPr>
                    <w:ind w:left="720"/>
                    <w:jc w:val="center"/>
                    <w:rPr>
                      <w:b/>
                      <w:szCs w:val="24"/>
                    </w:rPr>
                  </w:pPr>
                  <w:r>
                    <w:rPr>
                      <w:b/>
                      <w:szCs w:val="24"/>
                    </w:rPr>
                    <w:t>AIŠKINAMASIS RAŠTAS</w:t>
                  </w:r>
                </w:p>
              </w:sdtContent>
            </w:sdt>
            <w:p>
              <w:pPr>
                <w:jc w:val="center"/>
                <w:rPr>
                  <w:b/>
                  <w:szCs w:val="24"/>
                </w:rPr>
              </w:pPr>
            </w:p>
            <w:p>
              <w:pPr>
                <w:ind w:left="-120"/>
                <w:jc w:val="center"/>
                <w:rPr>
                  <w:szCs w:val="24"/>
                  <w:lang w:val="en-US" w:eastAsia="lt-LT"/>
                </w:rPr>
              </w:pPr>
              <w:r>
                <w:rPr>
                  <w:szCs w:val="24"/>
                  <w:lang w:eastAsia="lt-LT"/>
                </w:rPr>
                <w:t>2024 m. lapkričio 25 d.</w:t>
              </w:r>
            </w:p>
            <w:p>
              <w:pPr>
                <w:ind w:left="-120" w:firstLine="62"/>
                <w:jc w:val="center"/>
                <w:rPr>
                  <w:szCs w:val="24"/>
                  <w:lang w:val="en-US" w:eastAsia="lt-LT"/>
                </w:rPr>
              </w:pPr>
              <w:r>
                <w:rPr>
                  <w:szCs w:val="24"/>
                  <w:lang w:eastAsia="lt-LT"/>
                </w:rPr>
                <w:t>Radviliškio</w:t>
              </w:r>
            </w:p>
            <w:p>
              <w:pPr>
                <w:jc w:val="center"/>
                <w:rPr>
                  <w:b/>
                  <w:szCs w:val="24"/>
                </w:rPr>
              </w:pPr>
            </w:p>
            <w:sdt>
              <w:sdtPr>
                <w:alias w:val="1 p."/>
                <w:tag w:val="part_a74f5aae5aa84375ab60146e9abeaaa7"/>
                <w:lock w:val="sdtLocked"/>
                <w:richText/>
              </w:sdtPr>
              <w:sdtContent>
                <w:p>
                  <w:pPr>
                    <w:tabs>
                      <w:tab w:val="left" w:pos="1134"/>
                    </w:tabs>
                    <w:ind w:firstLine="851"/>
                    <w:jc w:val="both"/>
                    <w:rPr>
                      <w:b/>
                      <w:bCs/>
                      <w:szCs w:val="24"/>
                    </w:rPr>
                  </w:pPr>
                  <w:sdt>
                    <w:sdtPr>
                      <w:alias w:val="Numeris"/>
                      <w:tag w:val="nr_a74f5aae5aa84375ab60146e9abeaaa7"/>
                      <w:lock w:val="sdtLocked"/>
                      <w:richText/>
                    </w:sdtPr>
                    <w:sdtContent>
                      <w:r>
                        <w:rPr>
                          <w:b/>
                          <w:bCs/>
                          <w:iCs/>
                          <w:szCs w:val="24"/>
                        </w:rPr>
                        <w:t>1</w:t>
                      </w:r>
                    </w:sdtContent>
                  </w:sdt>
                  <w:r>
                    <w:rPr>
                      <w:b/>
                      <w:bCs/>
                      <w:iCs/>
                      <w:szCs w:val="24"/>
                    </w:rPr>
                    <w:t>.</w:t>
                    <w:tab/>
                  </w:r>
                  <w:r>
                    <w:rPr>
                      <w:b/>
                      <w:bCs/>
                      <w:szCs w:val="24"/>
                    </w:rPr>
                    <w:t xml:space="preserve">Sprendimo projekto rengimą paskatinusios priežastys, parengto projekto tikslai, sprendimo projekto tikslai ir uždaviniai. </w:t>
                  </w:r>
                </w:p>
                <w:p>
                  <w:pPr>
                    <w:ind w:firstLine="709"/>
                    <w:jc w:val="both"/>
                    <w:rPr>
                      <w:szCs w:val="24"/>
                    </w:rPr>
                  </w:pPr>
                  <w:r>
                    <w:rPr>
                      <w:szCs w:val="24"/>
                    </w:rPr>
                    <w:t>Sprendimo projektu prašoma Radviliškio rajono savivaldybės tarybos pakeisti Radviliškio rajono savivaldybės 2024 metų melioracijos ir hidrotechnikos statinių eksploatavimo, remonto, priežiūros darbų ir išlaidų sąrašą ir išdėstyti jį nauja redakcija.</w:t>
                  </w:r>
                </w:p>
              </w:sdtContent>
            </w:sdt>
            <w:sdt>
              <w:sdtPr>
                <w:alias w:val="2 p."/>
                <w:tag w:val="part_f4959e2779a34edab69559409a62b071"/>
                <w:lock w:val="sdtLocked"/>
                <w:richText/>
              </w:sdtPr>
              <w:sdtContent>
                <w:p>
                  <w:pPr>
                    <w:ind w:firstLine="851"/>
                    <w:jc w:val="both"/>
                    <w:rPr>
                      <w:b/>
                      <w:bCs/>
                      <w:szCs w:val="24"/>
                    </w:rPr>
                  </w:pPr>
                  <w:sdt>
                    <w:sdtPr>
                      <w:alias w:val="Numeris"/>
                      <w:tag w:val="nr_f4959e2779a34edab69559409a62b071"/>
                      <w:lock w:val="sdtLocked"/>
                      <w:richText/>
                    </w:sdtPr>
                    <w:sdtContent>
                      <w:r>
                        <w:rPr>
                          <w:b/>
                          <w:szCs w:val="24"/>
                        </w:rPr>
                        <w:t>2</w:t>
                      </w:r>
                    </w:sdtContent>
                  </w:sdt>
                  <w:r>
                    <w:rPr>
                      <w:b/>
                      <w:szCs w:val="24"/>
                    </w:rPr>
                    <w:t>.</w:t>
                  </w:r>
                  <w:r>
                    <w:rPr>
                      <w:szCs w:val="24"/>
                    </w:rPr>
                    <w:t xml:space="preserve"> </w:t>
                  </w:r>
                  <w:r>
                    <w:rPr>
                      <w:b/>
                      <w:bCs/>
                      <w:szCs w:val="24"/>
                    </w:rPr>
                    <w:t>Projekto iniciatoriai (institucija, asmenys ar piliečių atstovai) ir rengėjai.</w:t>
                  </w:r>
                </w:p>
                <w:p>
                  <w:pPr>
                    <w:ind w:firstLine="856"/>
                    <w:jc w:val="both"/>
                    <w:rPr>
                      <w:szCs w:val="24"/>
                    </w:rPr>
                  </w:pPr>
                  <w:r>
                    <w:rPr>
                      <w:szCs w:val="24"/>
                    </w:rPr>
                    <w:t xml:space="preserve">Projekto iniciatorius – Radviliškio rajono savivaldybės Žemės ūkio skyrius. </w:t>
                  </w:r>
                </w:p>
                <w:p>
                  <w:pPr>
                    <w:ind w:firstLine="856"/>
                    <w:jc w:val="both"/>
                    <w:rPr>
                      <w:szCs w:val="24"/>
                    </w:rPr>
                  </w:pPr>
                  <w:r>
                    <w:rPr>
                      <w:szCs w:val="24"/>
                    </w:rPr>
                    <w:t>Rengėjas – Žemės ūkio skyriaus vyriausiasis specialistas Dinas Urbonavičius.</w:t>
                  </w:r>
                </w:p>
              </w:sdtContent>
            </w:sdt>
            <w:sdt>
              <w:sdtPr>
                <w:alias w:val="3 p."/>
                <w:tag w:val="part_a829df41186646fb83f238242e406f3d"/>
                <w:lock w:val="sdtLocked"/>
                <w:richText/>
              </w:sdtPr>
              <w:sdtContent>
                <w:p>
                  <w:pPr>
                    <w:ind w:left="856"/>
                    <w:jc w:val="both"/>
                    <w:rPr>
                      <w:b/>
                      <w:bCs/>
                      <w:szCs w:val="24"/>
                    </w:rPr>
                  </w:pPr>
                  <w:sdt>
                    <w:sdtPr>
                      <w:alias w:val="Numeris"/>
                      <w:tag w:val="nr_a829df41186646fb83f238242e406f3d"/>
                      <w:lock w:val="sdtLocked"/>
                      <w:richText/>
                    </w:sdtPr>
                    <w:sdtContent>
                      <w:r>
                        <w:rPr>
                          <w:b/>
                          <w:bCs/>
                          <w:szCs w:val="24"/>
                        </w:rPr>
                        <w:t>3</w:t>
                      </w:r>
                    </w:sdtContent>
                  </w:sdt>
                  <w:r>
                    <w:rPr>
                      <w:b/>
                      <w:bCs/>
                      <w:szCs w:val="24"/>
                    </w:rPr>
                    <w:t>. Kaip šiuo metu yra reguliuojami sprendimo projekte aptarti teisiniai santykiai.</w:t>
                  </w:r>
                </w:p>
                <w:p>
                  <w:pPr>
                    <w:ind w:firstLine="780"/>
                    <w:jc w:val="both"/>
                    <w:rPr>
                      <w:szCs w:val="24"/>
                    </w:rPr>
                  </w:pPr>
                  <w:r>
                    <w:rPr>
                      <w:szCs w:val="24"/>
                    </w:rPr>
                    <w:t>Lietuvos Respublikos žemės ūkio ministro 2023 m. gruodžio 15 d. įsakymu Nr. 3D-858 yra patvirtintas 2024 m. skiriamų specialiųjų tikslinių dotacijų Žemės ūkio ministerijai priskirtoms valstybinėms (valstybės perduotoms savivaldybėms) funkcijoms atlikti paskirstymo tarp savivaldybių sąrašas. Radviliškio rajono savivaldybei 2024 metais šiai funkcijai atlikti buvo skirta 352 200,00 eurų. 2024 metais parengus melioracijos statinių remonto ir priežiūros darbų techninius projektus, įvykus pirkimo procedūroms ir esant lėšų ekonomijai, šios lėšos buvo perskirstomos kitiems objektams.</w:t>
                  </w:r>
                </w:p>
                <w:p>
                  <w:pPr>
                    <w:ind w:firstLine="780"/>
                    <w:jc w:val="both"/>
                    <w:rPr>
                      <w:szCs w:val="24"/>
                    </w:rPr>
                  </w:pPr>
                  <w:r>
                    <w:rPr>
                      <w:szCs w:val="24"/>
                    </w:rPr>
                    <w:t xml:space="preserve">Sąrašo 1, 2 eilutėse – numatytos lėšos Kutiškių sausinimo siurblinės priežiūros darbams atlikti. Kutiškiuose yra įrengtas polderis su siurbline vandens pakėlimui į sukaupimo tvenkinį. Dabartiniu metu veikia tik sausinimo sistema, o drėkinimo sistema atjungta. Arimaičių tvenkinyje prie šachtinės potvynių pralaidos yra įrengtas sifonas gamtosauginiam debitui praleisti, todėl numatytos lėšos šio sifono priežiūrai atlikti. </w:t>
                  </w:r>
                </w:p>
                <w:p>
                  <w:pPr>
                    <w:ind w:firstLine="780"/>
                    <w:jc w:val="both"/>
                    <w:rPr>
                      <w:szCs w:val="24"/>
                    </w:rPr>
                  </w:pPr>
                  <w:r>
                    <w:rPr>
                      <w:szCs w:val="24"/>
                    </w:rPr>
                    <w:t>Sąrašo 3 eilutėje – numatytos lėšos Radviliškio rajono melioracijos kadastro, centrinės bazės palaikymo tobulinimo ir duomenų koregavimo paslaugoms atlikti. Paslaugas atliko VĮ „</w:t>
                  </w:r>
                  <w:r>
                    <w:rPr>
                      <w:color w:val="000000"/>
                      <w:szCs w:val="24"/>
                    </w:rPr>
                    <w:t>Žemės ūkio duomenų centras</w:t>
                  </w:r>
                  <w:r>
                    <w:rPr>
                      <w:szCs w:val="24"/>
                    </w:rPr>
                    <w:t>“.</w:t>
                  </w:r>
                </w:p>
                <w:p>
                  <w:pPr>
                    <w:ind w:firstLine="780"/>
                    <w:jc w:val="both"/>
                    <w:rPr>
                      <w:szCs w:val="24"/>
                    </w:rPr>
                  </w:pPr>
                  <w:r>
                    <w:rPr>
                      <w:szCs w:val="24"/>
                    </w:rPr>
                    <w:t xml:space="preserve">Sąrašo 4 eilutėje – numatytos lėšos Valstybei nuosavybės teise priklausančių hidrotechnikos statinių (tvenkinių), jų įrenginių priežiūros darbams. Rajone yra 19 hidrotechnikos statinių (žemių užtvankų), iš kurių už 17 statinių eksploataciją atsakinga Savivaldybė. Vaitiekūnų ir Gulbinų hidrotechnikos kompleksų valdymą atlieka UAB „Vaitupė“ ir UAB „Šaltinio srovė“, už jų priežiūrą ir remonto darbus atsako valdytojai. 2024 m. HTS priežiūros darbus atlieka  MB „</w:t>
                  </w:r>
                  <w:r>
                    <w:rPr>
                      <w:color w:val="000000"/>
                      <w:szCs w:val="24"/>
                    </w:rPr>
                    <w:t>Melioracijos servisas</w:t>
                  </w:r>
                  <w:r>
                    <w:rPr>
                      <w:szCs w:val="24"/>
                    </w:rPr>
                    <w:t>“.</w:t>
                  </w:r>
                </w:p>
                <w:p>
                  <w:pPr>
                    <w:ind w:firstLine="780"/>
                    <w:jc w:val="both"/>
                    <w:rPr>
                      <w:szCs w:val="24"/>
                    </w:rPr>
                  </w:pPr>
                  <w:r>
                    <w:rPr>
                      <w:szCs w:val="24"/>
                    </w:rPr>
                    <w:t>Vadovaujantis žemės ūkio ministro 2014 m. gruodžio 17 d. įsakymu Nr. 3D-972 „Dėl žemės ūkio ministro 2013 m. kovo 21 d. įsakymo Nr. 3D-211 „Dėl Valstybei nuosavybės teise priklausančių melioracijos statinių ir melioracijos sistemų naudojimo, būklės vertinimo ir melioracijos darbų finansavimo taisyklių patvirtinimo“ pakeitimo“, prioritetas skiriamas magistralinių griovių tvarkymui.</w:t>
                  </w:r>
                </w:p>
                <w:p>
                  <w:pPr>
                    <w:ind w:firstLine="780"/>
                    <w:jc w:val="both"/>
                    <w:rPr>
                      <w:szCs w:val="24"/>
                    </w:rPr>
                  </w:pPr>
                  <w:r>
                    <w:rPr>
                      <w:szCs w:val="24"/>
                    </w:rPr>
                    <w:t xml:space="preserve">Sąrašo 5 eilutėje – numatytos lėšos </w:t>
                  </w:r>
                  <w:r>
                    <w:rPr>
                      <w:color w:val="000000"/>
                      <w:szCs w:val="24"/>
                    </w:rPr>
                    <w:t>Radviliškio r. sav. esančių melioracijos statinių, remonto darbų techninių darbo projektų parengimui. Sutartis baigėsi 2024-08-22. Projektavimo darbus atliko MB „Hidroprofilis“ projektas „Radviliškio r. sav. Polekėlės kadastrinės vietovės Striupės ir Švėmalio up. dalies baseino griovių ir jų statinių remonto darbai“ ir MB „Gaprojektuotojas“, projektas „Radviliškio r. sav. Aukštelkų ir Voskonių kadastrinių vietovių Obelėlės up. dalies baseino griovių, jų statinių remonto darbai“.</w:t>
                  </w:r>
                </w:p>
                <w:p>
                  <w:pPr>
                    <w:ind w:firstLine="851"/>
                    <w:jc w:val="both"/>
                    <w:rPr>
                      <w:color w:val="000000"/>
                      <w:szCs w:val="24"/>
                    </w:rPr>
                  </w:pPr>
                  <w:r>
                    <w:rPr>
                      <w:szCs w:val="24"/>
                    </w:rPr>
                    <w:t xml:space="preserve">Sąrašo 6, 7 eilutėse – numatytos lėšos projektų „Radviliškio r. sav. Butėnų ir Džiugonių k. v.  Šuojos, Postupio, Kraujupio up. dalies baseino griovių ir jų statinių remonto darbai</w:t>
                  </w:r>
                  <w:r>
                    <w:rPr>
                      <w:color w:val="000000"/>
                      <w:szCs w:val="24"/>
                    </w:rPr>
                    <w:t xml:space="preserve">“ ir „Radviliškio r. sav. Aukštelkų ir Mažaičių kadastrinių vietovių Vėzgės up. dalies baseino griovių, jų statinių remonto darbai“ darbams atlikti. Šių griovių būklė yra bloga. Dėl gamtinių priežasčių susidarė įvairios deformacijos, kurios sumažino drenažo veikimo efektyvumą bei kelia pavojų didesnėms deformacijoms. Dirvoje kaupiantis drėgmei, žemės plotai mirksta, o ūkininkai patiria nuostolių. Remonto darbus įvykdė UAB „Gerista“ ir UAB „Pasvalio melioracija“. </w:t>
                  </w:r>
                </w:p>
                <w:p>
                  <w:pPr>
                    <w:ind w:firstLine="851"/>
                    <w:jc w:val="both"/>
                    <w:rPr>
                      <w:strike/>
                      <w:color w:val="000000"/>
                      <w:szCs w:val="24"/>
                    </w:rPr>
                  </w:pPr>
                  <w:r>
                    <w:rPr>
                      <w:szCs w:val="24"/>
                    </w:rPr>
                    <w:t>Sąrašo 8 eilutėje – Projektų „Radviliškio r. sav. Butėnų ir Džiugonių k. v. Šuojos, Postupio, Kraujupio up. dalies baseino griovių ir jų statinių remonto darbai</w:t>
                  </w:r>
                  <w:r>
                    <w:rPr>
                      <w:color w:val="000000"/>
                      <w:szCs w:val="24"/>
                    </w:rPr>
                    <w:t xml:space="preserve">“ ir „Radviliškio r. sav. Aukštelkų ir Mažaičių kadastrinių vietovių Vėzgės up. dalies baseino griovių, jų statinių remonto darbai“ techninės priežiūros paslaugos. </w:t>
                  </w:r>
                </w:p>
                <w:p>
                  <w:pPr>
                    <w:ind w:firstLine="851"/>
                    <w:jc w:val="both"/>
                    <w:rPr>
                      <w:szCs w:val="24"/>
                    </w:rPr>
                  </w:pPr>
                  <w:r>
                    <w:rPr>
                      <w:szCs w:val="24"/>
                    </w:rPr>
                    <w:t>Sąrašo 9 eilutėje – numatytos lėšos melioracijos statinių avarinių gedimų šalinimo darbams. Darbai atlikti Liepiškių, Miežaičių, Daujočių, Voskonių ir Šiaulėnų kadastrinėse vietovėse. Darbus atliko MB „Melioracijos servisas“.</w:t>
                  </w:r>
                </w:p>
                <w:p>
                  <w:pPr>
                    <w:ind w:firstLine="851"/>
                    <w:jc w:val="both"/>
                    <w:rPr>
                      <w:szCs w:val="24"/>
                    </w:rPr>
                  </w:pPr>
                  <w:r>
                    <w:rPr>
                      <w:szCs w:val="24"/>
                    </w:rPr>
                    <w:t xml:space="preserve">Sąrašo 10 eilutėje – </w:t>
                  </w:r>
                  <w:r>
                    <w:rPr>
                      <w:color w:val="000000"/>
                      <w:szCs w:val="24"/>
                    </w:rPr>
                    <w:t>Radviliškio rajone esančių, valstybei nuosavybės teise priklausančių melioracijos statinių remonto darbų, atliekamų valstybės ir savivaldybės lėšomis, techninės priežiūros paslaugos.</w:t>
                  </w:r>
                  <w:r>
                    <w:rPr>
                      <w:szCs w:val="24"/>
                    </w:rPr>
                    <w:t xml:space="preserve"> </w:t>
                  </w:r>
                </w:p>
                <w:p>
                  <w:pPr>
                    <w:ind w:firstLine="851"/>
                    <w:jc w:val="both"/>
                    <w:rPr>
                      <w:color w:val="FF0000"/>
                      <w:szCs w:val="24"/>
                    </w:rPr>
                  </w:pPr>
                  <w:r>
                    <w:rPr>
                      <w:szCs w:val="24"/>
                    </w:rPr>
                    <w:t xml:space="preserve">Sąrašo 11 eilutė – </w:t>
                  </w:r>
                  <w:r>
                    <w:rPr>
                      <w:color w:val="000000"/>
                      <w:szCs w:val="24"/>
                    </w:rPr>
                    <w:t>Radviliškio rajone esančių ir valstybei nuosavybės teise priklausančių hidrotechnikos statinių bendros techninės būklės įvertinimo paslaugos. Techninės būklės įvertinimo paslaugas atliko MB „Melioracijos servisas“.</w:t>
                  </w:r>
                </w:p>
                <w:p>
                  <w:pPr>
                    <w:ind w:firstLine="851"/>
                    <w:jc w:val="both"/>
                    <w:rPr>
                      <w:szCs w:val="24"/>
                    </w:rPr>
                  </w:pPr>
                  <w:r>
                    <w:rPr>
                      <w:szCs w:val="24"/>
                    </w:rPr>
                    <w:t xml:space="preserve">Sąrašo 12 eilutėje – numatytos lėšos </w:t>
                  </w:r>
                  <w:r>
                    <w:rPr>
                      <w:color w:val="000000"/>
                      <w:szCs w:val="24"/>
                    </w:rPr>
                    <w:t>Radviliškio rajone esančių, valstybei nuosavybės teise priklausančių melioracijos statinių remonto darbams. Darbai atlikti</w:t>
                  </w:r>
                  <w:r>
                    <w:rPr>
                      <w:szCs w:val="24"/>
                    </w:rPr>
                    <w:t xml:space="preserve"> Radviliškio r. sav. melioracijos griovio valymas Dauburaičių km. Sidabravo sen., Šaukoto sen. Kunigiškių km. vandens pralaidos remontas ir Radviliškio r. Baisogalos sen. sureguliuoto up. Kiršinas valymo darbai.</w:t>
                  </w:r>
                </w:p>
              </w:sdtContent>
            </w:sdt>
            <w:sdt>
              <w:sdtPr>
                <w:alias w:val="4 p."/>
                <w:tag w:val="part_ec885ce9e0764112857e6d781b2a365c"/>
                <w:lock w:val="sdtLocked"/>
                <w:richText/>
              </w:sdtPr>
              <w:sdtContent>
                <w:p>
                  <w:pPr>
                    <w:ind w:firstLine="851"/>
                    <w:jc w:val="both"/>
                    <w:rPr>
                      <w:b/>
                      <w:bCs/>
                      <w:szCs w:val="24"/>
                    </w:rPr>
                  </w:pPr>
                  <w:sdt>
                    <w:sdtPr>
                      <w:alias w:val="Numeris"/>
                      <w:tag w:val="nr_ec885ce9e0764112857e6d781b2a365c"/>
                      <w:lock w:val="sdtLocked"/>
                      <w:richText/>
                    </w:sdtPr>
                    <w:sdtContent>
                      <w:r>
                        <w:rPr>
                          <w:b/>
                          <w:color w:val="000000"/>
                          <w:szCs w:val="24"/>
                          <w:lang w:eastAsia="lt-LT"/>
                        </w:rPr>
                        <w:t>4</w:t>
                      </w:r>
                    </w:sdtContent>
                  </w:sdt>
                  <w:r>
                    <w:rPr>
                      <w:b/>
                      <w:color w:val="000000"/>
                      <w:szCs w:val="24"/>
                      <w:lang w:eastAsia="lt-LT"/>
                    </w:rPr>
                    <w:t>.</w:t>
                  </w:r>
                  <w:r>
                    <w:rPr>
                      <w:color w:val="000000"/>
                      <w:szCs w:val="24"/>
                      <w:lang w:eastAsia="lt-LT"/>
                    </w:rPr>
                    <w:t xml:space="preserve"> </w:t>
                  </w:r>
                  <w:r>
                    <w:rPr>
                      <w:b/>
                      <w:bCs/>
                      <w:szCs w:val="24"/>
                    </w:rPr>
                    <w:t>Kokios siūlomos naujos teisinio reguliavimo nuostatos, kokių teigiamų rezultatų laukiama.</w:t>
                  </w:r>
                </w:p>
                <w:p>
                  <w:pPr>
                    <w:tabs>
                      <w:tab w:val="left" w:pos="851"/>
                    </w:tabs>
                    <w:ind w:firstLine="851"/>
                    <w:jc w:val="both"/>
                    <w:rPr>
                      <w:szCs w:val="24"/>
                    </w:rPr>
                  </w:pPr>
                  <w:r>
                    <w:rPr>
                      <w:szCs w:val="24"/>
                    </w:rPr>
                    <w:t xml:space="preserve">Pakeisti Radviliškio rajono savivaldybės 2024 m. melioracijos ir hidrotechnikos statinių eksploatavimo, remonto, priežiūros darbų ir išlaidų sąrašą, patvirtintą Radviliškio rajono savivaldybės tarybos 2024 m. vasario 1 d. sprendimo Nr. T-264  „Dėl Radviliškio rajono savivaldybės 2024 metų melioracijos ir hidrotechnikos statinių eksploatavimo, remonto, priežiūros darbų ir išlaidų sąrašo patvirtinimo“ 1 punktu</w:t>
                  </w:r>
                  <w:r>
                    <w:rPr>
                      <w:color w:val="000000"/>
                      <w:szCs w:val="24"/>
                    </w:rPr>
                    <w:t xml:space="preserve"> ir išdėstyti jį nauja redakcija.</w:t>
                  </w:r>
                </w:p>
              </w:sdtContent>
            </w:sdt>
            <w:sdt>
              <w:sdtPr>
                <w:alias w:val="5 p."/>
                <w:tag w:val="part_8018fabff5c74211a87d2a944904ac55"/>
                <w:lock w:val="sdtLocked"/>
                <w:richText/>
              </w:sdtPr>
              <w:sdtContent>
                <w:p>
                  <w:pPr>
                    <w:ind w:firstLine="851"/>
                    <w:jc w:val="both"/>
                    <w:rPr>
                      <w:szCs w:val="24"/>
                    </w:rPr>
                  </w:pPr>
                  <w:sdt>
                    <w:sdtPr>
                      <w:alias w:val="Numeris"/>
                      <w:tag w:val="nr_8018fabff5c74211a87d2a944904ac55"/>
                      <w:lock w:val="sdtLocked"/>
                      <w:richText/>
                    </w:sdtPr>
                    <w:sdtContent>
                      <w:r>
                        <w:rPr>
                          <w:b/>
                          <w:szCs w:val="24"/>
                        </w:rPr>
                        <w:t>5</w:t>
                      </w:r>
                    </w:sdtContent>
                  </w:sdt>
                  <w:r>
                    <w:rPr>
                      <w:b/>
                      <w:szCs w:val="24"/>
                    </w:rPr>
                    <w:t>.</w:t>
                  </w:r>
                  <w:r>
                    <w:rPr>
                      <w:szCs w:val="24"/>
                    </w:rPr>
                    <w:t xml:space="preserve"> </w:t>
                  </w:r>
                  <w:r>
                    <w:rPr>
                      <w:b/>
                      <w:bCs/>
                      <w:iCs/>
                      <w:szCs w:val="24"/>
                    </w:rPr>
                    <w:t>Galimos neigiamos priimto sprendimo projekto pasekmės ir kokių priemonių reiktų imtis, kad tokių pasekmių būtų išvengta.</w:t>
                  </w:r>
                </w:p>
                <w:p>
                  <w:pPr>
                    <w:ind w:firstLine="851"/>
                    <w:jc w:val="both"/>
                    <w:rPr>
                      <w:szCs w:val="24"/>
                    </w:rPr>
                  </w:pPr>
                  <w:r>
                    <w:rPr>
                      <w:szCs w:val="24"/>
                    </w:rPr>
                    <w:t xml:space="preserve">Neigiamų pasekmių nenumatoma. </w:t>
                  </w:r>
                </w:p>
              </w:sdtContent>
            </w:sdt>
            <w:sdt>
              <w:sdtPr>
                <w:alias w:val="6 p."/>
                <w:tag w:val="part_19c71ddcc0d240fd993b738c2355e97d"/>
                <w:lock w:val="sdtLocked"/>
                <w:richText/>
              </w:sdtPr>
              <w:sdtContent>
                <w:p>
                  <w:pPr>
                    <w:tabs>
                      <w:tab w:val="left" w:pos="1276"/>
                    </w:tabs>
                    <w:ind w:left="851"/>
                    <w:jc w:val="both"/>
                    <w:rPr>
                      <w:b/>
                      <w:bCs/>
                      <w:iCs/>
                      <w:szCs w:val="24"/>
                    </w:rPr>
                  </w:pPr>
                  <w:sdt>
                    <w:sdtPr>
                      <w:alias w:val="Numeris"/>
                      <w:tag w:val="nr_19c71ddcc0d240fd993b738c2355e97d"/>
                      <w:lock w:val="sdtLocked"/>
                      <w:richText/>
                    </w:sdtPr>
                    <w:sdtContent>
                      <w:r>
                        <w:rPr>
                          <w:b/>
                          <w:bCs/>
                          <w:iCs/>
                          <w:szCs w:val="24"/>
                        </w:rPr>
                        <w:t>6</w:t>
                      </w:r>
                    </w:sdtContent>
                  </w:sdt>
                  <w:r>
                    <w:rPr>
                      <w:b/>
                      <w:bCs/>
                      <w:iCs/>
                      <w:szCs w:val="24"/>
                    </w:rPr>
                    <w:t>. Kokius teisės aktus būtina priimti, kokius galiojančius teisės aktus būtina pakeisti</w:t>
                  </w:r>
                </w:p>
              </w:sdtContent>
            </w:sdt>
          </w:sdtContent>
        </w:sdt>
        <w:sdt>
          <w:sdtPr>
            <w:alias w:val="skirsnis"/>
            <w:tag w:val="part_019e6bd18311473da8530b49513cbec3"/>
            <w:lock w:val="sdtLocked"/>
            <w:richText/>
          </w:sdtPr>
          <w:sdtContent>
            <w:p>
              <w:pPr>
                <w:tabs>
                  <w:tab w:val="left" w:pos="1276"/>
                </w:tabs>
                <w:jc w:val="both"/>
                <w:rPr>
                  <w:b/>
                  <w:bCs/>
                  <w:iCs/>
                  <w:szCs w:val="24"/>
                </w:rPr>
              </w:pPr>
              <w:sdt>
                <w:sdtPr>
                  <w:alias w:val="Pavadinimas"/>
                  <w:tag w:val="title_019e6bd18311473da8530b49513cbec3"/>
                  <w:lock w:val="sdtLocked"/>
                  <w:richText/>
                </w:sdtPr>
                <w:sdtContent>
                  <w:r>
                    <w:rPr>
                      <w:b/>
                      <w:bCs/>
                      <w:iCs/>
                      <w:szCs w:val="24"/>
                    </w:rPr>
                    <w:t>ar pripažinti netekusiais galios priėmus sprendimo projektą.</w:t>
                  </w:r>
                </w:sdtContent>
              </w:sdt>
            </w:p>
            <w:p>
              <w:pPr>
                <w:ind w:firstLine="851"/>
                <w:jc w:val="both"/>
                <w:rPr>
                  <w:bCs/>
                  <w:szCs w:val="24"/>
                </w:rPr>
              </w:pPr>
              <w:r>
                <w:rPr>
                  <w:bCs/>
                  <w:szCs w:val="24"/>
                </w:rPr>
                <w:t>Papildomo teisinio reglamentavimo nereikia.</w:t>
              </w:r>
            </w:p>
            <w:sdt>
              <w:sdtPr>
                <w:alias w:val="7 p."/>
                <w:tag w:val="part_bc5f5fbe404a48d18a9acecd9949b140"/>
                <w:lock w:val="sdtLocked"/>
                <w:richText/>
              </w:sdtPr>
              <w:sdtContent>
                <w:p>
                  <w:pPr>
                    <w:ind w:firstLine="851"/>
                    <w:jc w:val="both"/>
                    <w:rPr>
                      <w:b/>
                      <w:bCs/>
                      <w:iCs/>
                      <w:szCs w:val="24"/>
                    </w:rPr>
                  </w:pPr>
                  <w:sdt>
                    <w:sdtPr>
                      <w:alias w:val="Numeris"/>
                      <w:tag w:val="nr_bc5f5fbe404a48d18a9acecd9949b140"/>
                      <w:lock w:val="sdtLocked"/>
                      <w:richText/>
                    </w:sdtPr>
                    <w:sdtContent>
                      <w:r>
                        <w:rPr>
                          <w:b/>
                          <w:bCs/>
                          <w:iCs/>
                          <w:szCs w:val="24"/>
                        </w:rPr>
                        <w:t>7</w:t>
                      </w:r>
                    </w:sdtContent>
                  </w:sdt>
                  <w:r>
                    <w:rPr>
                      <w:b/>
                      <w:bCs/>
                      <w:iCs/>
                      <w:szCs w:val="24"/>
                    </w:rPr>
                    <w:t>. Sprendimo projektui įgyvendinti reikalingos lėšos, finansavimo šaltiniai.</w:t>
                  </w:r>
                </w:p>
                <w:p>
                  <w:pPr>
                    <w:ind w:firstLine="856"/>
                    <w:jc w:val="both"/>
                    <w:rPr>
                      <w:iCs/>
                      <w:szCs w:val="24"/>
                    </w:rPr>
                  </w:pPr>
                  <w:r>
                    <w:rPr>
                      <w:iCs/>
                      <w:szCs w:val="24"/>
                    </w:rPr>
                    <w:t>Sprendimo projektui įgyvendinti lėšų nereikės.</w:t>
                  </w:r>
                </w:p>
              </w:sdtContent>
            </w:sdt>
            <w:sdt>
              <w:sdtPr>
                <w:alias w:val="8 p."/>
                <w:tag w:val="part_91dee5d6f9734fb092cecfa4ca0167ab"/>
                <w:lock w:val="sdtLocked"/>
                <w:richText/>
              </w:sdtPr>
              <w:sdtContent>
                <w:p>
                  <w:pPr>
                    <w:ind w:firstLine="851"/>
                    <w:jc w:val="both"/>
                    <w:rPr>
                      <w:b/>
                      <w:bCs/>
                      <w:iCs/>
                      <w:szCs w:val="24"/>
                    </w:rPr>
                  </w:pPr>
                  <w:sdt>
                    <w:sdtPr>
                      <w:alias w:val="Numeris"/>
                      <w:tag w:val="nr_91dee5d6f9734fb092cecfa4ca0167ab"/>
                      <w:lock w:val="sdtLocked"/>
                      <w:richText/>
                    </w:sdtPr>
                    <w:sdtContent>
                      <w:r>
                        <w:rPr>
                          <w:b/>
                          <w:bCs/>
                          <w:iCs/>
                          <w:szCs w:val="24"/>
                        </w:rPr>
                        <w:t>8</w:t>
                      </w:r>
                    </w:sdtContent>
                  </w:sdt>
                  <w:r>
                    <w:rPr>
                      <w:b/>
                      <w:bCs/>
                      <w:iCs/>
                      <w:szCs w:val="24"/>
                    </w:rPr>
                    <w:t>. Sprendimo projekto rengimo metu gauti specialistų vertinimai ir išvados.</w:t>
                  </w:r>
                </w:p>
                <w:p>
                  <w:pPr>
                    <w:spacing w:line="290" w:lineRule="exact"/>
                    <w:ind w:firstLine="851"/>
                    <w:jc w:val="both"/>
                    <w:rPr>
                      <w:b/>
                      <w:bCs/>
                      <w:iCs/>
                      <w:szCs w:val="24"/>
                    </w:rPr>
                  </w:pPr>
                  <w:r>
                    <w:rPr>
                      <w:bCs/>
                      <w:szCs w:val="24"/>
                    </w:rPr>
                    <w:t>Sprendimo projektas</w:t>
                  </w:r>
                  <w:r>
                    <w:rPr>
                      <w:b/>
                      <w:szCs w:val="24"/>
                    </w:rPr>
                    <w:t xml:space="preserve"> </w:t>
                  </w:r>
                  <w:r>
                    <w:rPr>
                      <w:bCs/>
                      <w:szCs w:val="24"/>
                    </w:rPr>
                    <w:t>suderintas su Savivaldybės administracijos direktore, juristu, kalbininku, vicemerais ir meru.</w:t>
                  </w:r>
                </w:p>
              </w:sdtContent>
            </w:sdt>
            <w:sdt>
              <w:sdtPr>
                <w:alias w:val="9 p."/>
                <w:tag w:val="part_1dd33e6d5fb8456e9bd7b2b1042b7c14"/>
                <w:lock w:val="sdtLocked"/>
                <w:richText/>
              </w:sdtPr>
              <w:sdtContent>
                <w:p>
                  <w:pPr>
                    <w:ind w:left="856"/>
                    <w:jc w:val="both"/>
                    <w:rPr>
                      <w:b/>
                      <w:bCs/>
                      <w:iCs/>
                      <w:szCs w:val="24"/>
                    </w:rPr>
                  </w:pPr>
                  <w:sdt>
                    <w:sdtPr>
                      <w:alias w:val="Numeris"/>
                      <w:tag w:val="nr_1dd33e6d5fb8456e9bd7b2b1042b7c14"/>
                      <w:lock w:val="sdtLocked"/>
                      <w:richText/>
                    </w:sdtPr>
                    <w:sdtContent>
                      <w:r>
                        <w:rPr>
                          <w:b/>
                          <w:bCs/>
                          <w:iCs/>
                          <w:szCs w:val="24"/>
                        </w:rPr>
                        <w:t>9</w:t>
                      </w:r>
                    </w:sdtContent>
                  </w:sdt>
                  <w:r>
                    <w:rPr>
                      <w:b/>
                      <w:bCs/>
                      <w:iCs/>
                      <w:szCs w:val="24"/>
                    </w:rPr>
                    <w:t>. Numatomo teisinio reguliavimo poveikio vertinimo rezultatai.</w:t>
                  </w:r>
                </w:p>
                <w:p>
                  <w:pPr>
                    <w:ind w:firstLine="856"/>
                    <w:jc w:val="both"/>
                    <w:rPr>
                      <w:iCs/>
                      <w:szCs w:val="24"/>
                    </w:rPr>
                  </w:pPr>
                  <w:r>
                    <w:rPr>
                      <w:szCs w:val="24"/>
                    </w:rPr>
                    <w:t xml:space="preserve">Rezultatai nenumatomi. </w:t>
                  </w:r>
                </w:p>
              </w:sdtContent>
            </w:sdt>
            <w:sdt>
              <w:sdtPr>
                <w:alias w:val="10 p."/>
                <w:tag w:val="part_4bd0d7b745204c18a71d25ecc66589ec"/>
                <w:lock w:val="sdtLocked"/>
                <w:richText/>
              </w:sdtPr>
              <w:sdtContent>
                <w:p>
                  <w:pPr>
                    <w:ind w:left="856"/>
                    <w:jc w:val="both"/>
                    <w:rPr>
                      <w:b/>
                      <w:bCs/>
                      <w:iCs/>
                      <w:szCs w:val="24"/>
                    </w:rPr>
                  </w:pPr>
                  <w:sdt>
                    <w:sdtPr>
                      <w:alias w:val="Numeris"/>
                      <w:tag w:val="nr_4bd0d7b745204c18a71d25ecc66589ec"/>
                      <w:lock w:val="sdtLocked"/>
                      <w:richText/>
                    </w:sdtPr>
                    <w:sdtContent>
                      <w:r>
                        <w:rPr>
                          <w:b/>
                          <w:bCs/>
                          <w:iCs/>
                          <w:szCs w:val="24"/>
                        </w:rPr>
                        <w:t>10</w:t>
                      </w:r>
                    </w:sdtContent>
                  </w:sdt>
                  <w:r>
                    <w:rPr>
                      <w:b/>
                      <w:bCs/>
                      <w:iCs/>
                      <w:szCs w:val="24"/>
                    </w:rPr>
                    <w:t>. Sprendimo projekto antikorupcinis vertinimas.</w:t>
                  </w:r>
                </w:p>
                <w:p>
                  <w:pPr>
                    <w:ind w:left="856"/>
                    <w:jc w:val="both"/>
                    <w:rPr>
                      <w:iCs/>
                      <w:szCs w:val="24"/>
                    </w:rPr>
                  </w:pPr>
                  <w:r>
                    <w:rPr>
                      <w:szCs w:val="24"/>
                    </w:rPr>
                    <w:t xml:space="preserve">Antikorupciniam vertinimui sprendimo projektas neteikiamas. </w:t>
                  </w:r>
                </w:p>
              </w:sdtContent>
            </w:sdt>
            <w:sdt>
              <w:sdtPr>
                <w:alias w:val="11 p."/>
                <w:tag w:val="part_f907f014a89c4db48daced72e0405637"/>
                <w:lock w:val="sdtLocked"/>
                <w:richText/>
              </w:sdtPr>
              <w:sdtContent>
                <w:p>
                  <w:pPr>
                    <w:ind w:firstLine="856"/>
                    <w:jc w:val="both"/>
                    <w:rPr>
                      <w:b/>
                      <w:bCs/>
                      <w:iCs/>
                      <w:szCs w:val="24"/>
                    </w:rPr>
                  </w:pPr>
                  <w:sdt>
                    <w:sdtPr>
                      <w:alias w:val="Numeris"/>
                      <w:tag w:val="nr_f907f014a89c4db48daced72e0405637"/>
                      <w:lock w:val="sdtLocked"/>
                      <w:richText/>
                    </w:sdtPr>
                    <w:sdtContent>
                      <w:r>
                        <w:rPr>
                          <w:b/>
                          <w:bCs/>
                          <w:iCs/>
                          <w:szCs w:val="24"/>
                        </w:rPr>
                        <w:t>11</w:t>
                      </w:r>
                    </w:sdtContent>
                  </w:sdt>
                  <w:r>
                    <w:rPr>
                      <w:b/>
                      <w:bCs/>
                      <w:iCs/>
                      <w:szCs w:val="24"/>
                    </w:rPr>
                    <w:t>. Kiti, iniciatoriaus nuomone, reikalingi pagrindimai ir paaiškinimai.</w:t>
                  </w:r>
                </w:p>
                <w:p>
                  <w:pPr>
                    <w:ind w:left="856"/>
                    <w:jc w:val="both"/>
                    <w:rPr>
                      <w:iCs/>
                      <w:szCs w:val="24"/>
                    </w:rPr>
                  </w:pPr>
                  <w:r>
                    <w:rPr>
                      <w:iCs/>
                      <w:szCs w:val="24"/>
                    </w:rPr>
                    <w:t>Nėra.</w:t>
                  </w:r>
                </w:p>
              </w:sdtContent>
            </w:sdt>
            <w:sdt>
              <w:sdtPr>
                <w:alias w:val="12 p."/>
                <w:tag w:val="part_932ad1268c0c40299f19feeba1197f25"/>
                <w:lock w:val="sdtLocked"/>
                <w:richText/>
              </w:sdtPr>
              <w:sdtContent>
                <w:p>
                  <w:pPr>
                    <w:ind w:firstLine="856"/>
                    <w:jc w:val="both"/>
                    <w:rPr>
                      <w:b/>
                      <w:bCs/>
                      <w:iCs/>
                      <w:szCs w:val="24"/>
                    </w:rPr>
                  </w:pPr>
                  <w:sdt>
                    <w:sdtPr>
                      <w:alias w:val="Numeris"/>
                      <w:tag w:val="nr_932ad1268c0c40299f19feeba1197f25"/>
                      <w:lock w:val="sdtLocked"/>
                      <w:richText/>
                    </w:sdtPr>
                    <w:sdtContent>
                      <w:r>
                        <w:rPr>
                          <w:b/>
                          <w:bCs/>
                          <w:iCs/>
                          <w:szCs w:val="24"/>
                        </w:rPr>
                        <w:t>12</w:t>
                      </w:r>
                    </w:sdtContent>
                  </w:sdt>
                  <w:r>
                    <w:rPr>
                      <w:b/>
                      <w:bCs/>
                      <w:iCs/>
                      <w:szCs w:val="24"/>
                    </w:rPr>
                    <w:t>. Pridedami dokumentai.</w:t>
                  </w:r>
                </w:p>
                <w:p>
                  <w:pPr>
                    <w:ind w:firstLine="856"/>
                    <w:jc w:val="both"/>
                    <w:rPr>
                      <w:bCs/>
                      <w:iCs/>
                      <w:szCs w:val="24"/>
                    </w:rPr>
                  </w:pPr>
                  <w:r>
                    <w:rPr>
                      <w:bCs/>
                      <w:iCs/>
                      <w:szCs w:val="24"/>
                    </w:rPr>
                    <w:t xml:space="preserve">Lyginamasis sprendimo projekto variantas. </w:t>
                  </w:r>
                </w:p>
                <w:p>
                  <w:pPr>
                    <w:ind w:firstLine="856"/>
                    <w:jc w:val="both"/>
                    <w:rPr>
                      <w:bCs/>
                      <w:iCs/>
                      <w:szCs w:val="24"/>
                    </w:rPr>
                  </w:pPr>
                </w:p>
                <w:p>
                  <w:pPr>
                    <w:ind w:firstLine="856"/>
                    <w:jc w:val="both"/>
                    <w:rPr>
                      <w:bCs/>
                      <w:iCs/>
                      <w:szCs w:val="24"/>
                    </w:rPr>
                  </w:pPr>
                </w:p>
                <w:p>
                  <w:pPr>
                    <w:ind w:firstLine="856"/>
                    <w:jc w:val="both"/>
                    <w:rPr>
                      <w:bCs/>
                      <w:iCs/>
                      <w:szCs w:val="24"/>
                    </w:rPr>
                  </w:pPr>
                </w:p>
                <w:p>
                  <w:pPr>
                    <w:spacing w:line="360" w:lineRule="auto"/>
                    <w:jc w:val="both"/>
                    <w:rPr>
                      <w:szCs w:val="24"/>
                    </w:rPr>
                  </w:pPr>
                  <w:r>
                    <w:rPr>
                      <w:szCs w:val="24"/>
                    </w:rPr>
                    <w:t xml:space="preserve">Žemės ūkio skyriaus vyriausiasis specialistas                                                               Dinas Urbonavičius</w:t>
                  </w:r>
                </w:p>
                <w:p>
                  <w:pPr>
                    <w:ind w:firstLine="918"/>
                    <w:jc w:val="both"/>
                    <w:rPr>
                      <w:szCs w:val="24"/>
                    </w:rPr>
                  </w:pPr>
                </w:p>
              </w:sdtContent>
            </w:sdt>
          </w:sdtContent>
        </w:sdt>
      </w:sdtContent>
    </w:sdt>
    <w:sectPr>
      <w:footerReference w:type="default" r:id="rId8"/>
      <w:pgSz w:w="11906" w:h="16838" w:code="9"/>
      <w:pgMar w:top="1134" w:right="567" w:bottom="1134" w:left="1418"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1D840E4-315F-488F-A451-413097E459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357035">
      <w:bodyDiv w:val="1"/>
      <w:marLeft w:val="0"/>
      <w:marRight w:val="0"/>
      <w:marTop w:val="0"/>
      <w:marBottom w:val="0"/>
      <w:divBdr>
        <w:top w:val="none" w:sz="0" w:space="0" w:color="auto"/>
        <w:left w:val="none" w:sz="0" w:space="0" w:color="auto"/>
        <w:bottom w:val="none" w:sz="0" w:space="0" w:color="auto"/>
        <w:right w:val="none" w:sz="0" w:space="0" w:color="auto"/>
      </w:divBdr>
    </w:div>
    <w:div w:id="147132098">
      <w:bodyDiv w:val="1"/>
      <w:marLeft w:val="0"/>
      <w:marRight w:val="0"/>
      <w:marTop w:val="0"/>
      <w:marBottom w:val="0"/>
      <w:divBdr>
        <w:top w:val="none" w:sz="0" w:space="0" w:color="auto"/>
        <w:left w:val="none" w:sz="0" w:space="0" w:color="auto"/>
        <w:bottom w:val="none" w:sz="0" w:space="0" w:color="auto"/>
        <w:right w:val="none" w:sz="0" w:space="0" w:color="auto"/>
      </w:divBdr>
    </w:div>
    <w:div w:id="235868137">
      <w:bodyDiv w:val="1"/>
      <w:marLeft w:val="0"/>
      <w:marRight w:val="0"/>
      <w:marTop w:val="0"/>
      <w:marBottom w:val="0"/>
      <w:divBdr>
        <w:top w:val="none" w:sz="0" w:space="0" w:color="auto"/>
        <w:left w:val="none" w:sz="0" w:space="0" w:color="auto"/>
        <w:bottom w:val="none" w:sz="0" w:space="0" w:color="auto"/>
        <w:right w:val="none" w:sz="0" w:space="0" w:color="auto"/>
      </w:divBdr>
    </w:div>
    <w:div w:id="379744641">
      <w:bodyDiv w:val="1"/>
      <w:marLeft w:val="0"/>
      <w:marRight w:val="0"/>
      <w:marTop w:val="0"/>
      <w:marBottom w:val="0"/>
      <w:divBdr>
        <w:top w:val="none" w:sz="0" w:space="0" w:color="auto"/>
        <w:left w:val="none" w:sz="0" w:space="0" w:color="auto"/>
        <w:bottom w:val="none" w:sz="0" w:space="0" w:color="auto"/>
        <w:right w:val="none" w:sz="0" w:space="0" w:color="auto"/>
      </w:divBdr>
    </w:div>
    <w:div w:id="468085584">
      <w:bodyDiv w:val="1"/>
      <w:marLeft w:val="0"/>
      <w:marRight w:val="0"/>
      <w:marTop w:val="0"/>
      <w:marBottom w:val="0"/>
      <w:divBdr>
        <w:top w:val="none" w:sz="0" w:space="0" w:color="auto"/>
        <w:left w:val="none" w:sz="0" w:space="0" w:color="auto"/>
        <w:bottom w:val="none" w:sz="0" w:space="0" w:color="auto"/>
        <w:right w:val="none" w:sz="0" w:space="0" w:color="auto"/>
      </w:divBdr>
    </w:div>
    <w:div w:id="597710676">
      <w:bodyDiv w:val="1"/>
      <w:marLeft w:val="0"/>
      <w:marRight w:val="0"/>
      <w:marTop w:val="0"/>
      <w:marBottom w:val="0"/>
      <w:divBdr>
        <w:top w:val="none" w:sz="0" w:space="0" w:color="auto"/>
        <w:left w:val="none" w:sz="0" w:space="0" w:color="auto"/>
        <w:bottom w:val="none" w:sz="0" w:space="0" w:color="auto"/>
        <w:right w:val="none" w:sz="0" w:space="0" w:color="auto"/>
      </w:divBdr>
    </w:div>
    <w:div w:id="603071897">
      <w:bodyDiv w:val="1"/>
      <w:marLeft w:val="0"/>
      <w:marRight w:val="0"/>
      <w:marTop w:val="0"/>
      <w:marBottom w:val="0"/>
      <w:divBdr>
        <w:top w:val="none" w:sz="0" w:space="0" w:color="auto"/>
        <w:left w:val="none" w:sz="0" w:space="0" w:color="auto"/>
        <w:bottom w:val="none" w:sz="0" w:space="0" w:color="auto"/>
        <w:right w:val="none" w:sz="0" w:space="0" w:color="auto"/>
      </w:divBdr>
    </w:div>
    <w:div w:id="1392580299">
      <w:bodyDiv w:val="1"/>
      <w:marLeft w:val="0"/>
      <w:marRight w:val="0"/>
      <w:marTop w:val="0"/>
      <w:marBottom w:val="0"/>
      <w:divBdr>
        <w:top w:val="none" w:sz="0" w:space="0" w:color="auto"/>
        <w:left w:val="none" w:sz="0" w:space="0" w:color="auto"/>
        <w:bottom w:val="none" w:sz="0" w:space="0" w:color="auto"/>
        <w:right w:val="none" w:sz="0" w:space="0" w:color="auto"/>
      </w:divBdr>
    </w:div>
    <w:div w:id="1712029339">
      <w:bodyDiv w:val="1"/>
      <w:marLeft w:val="0"/>
      <w:marRight w:val="0"/>
      <w:marTop w:val="0"/>
      <w:marBottom w:val="0"/>
      <w:divBdr>
        <w:top w:val="none" w:sz="0" w:space="0" w:color="auto"/>
        <w:left w:val="none" w:sz="0" w:space="0" w:color="auto"/>
        <w:bottom w:val="none" w:sz="0" w:space="0" w:color="auto"/>
        <w:right w:val="none" w:sz="0" w:space="0" w:color="auto"/>
      </w:divBdr>
    </w:div>
    <w:div w:id="1769153698">
      <w:bodyDiv w:val="1"/>
      <w:marLeft w:val="0"/>
      <w:marRight w:val="0"/>
      <w:marTop w:val="0"/>
      <w:marBottom w:val="0"/>
      <w:divBdr>
        <w:top w:val="none" w:sz="0" w:space="0" w:color="auto"/>
        <w:left w:val="none" w:sz="0" w:space="0" w:color="auto"/>
        <w:bottom w:val="none" w:sz="0" w:space="0" w:color="auto"/>
        <w:right w:val="none" w:sz="0" w:space="0" w:color="auto"/>
      </w:divBdr>
    </w:div>
    <w:div w:id="1791586092">
      <w:bodyDiv w:val="1"/>
      <w:marLeft w:val="0"/>
      <w:marRight w:val="0"/>
      <w:marTop w:val="0"/>
      <w:marBottom w:val="0"/>
      <w:divBdr>
        <w:top w:val="none" w:sz="0" w:space="0" w:color="auto"/>
        <w:left w:val="none" w:sz="0" w:space="0" w:color="auto"/>
        <w:bottom w:val="none" w:sz="0" w:space="0" w:color="auto"/>
        <w:right w:val="none" w:sz="0" w:space="0" w:color="auto"/>
      </w:divBdr>
    </w:div>
    <w:div w:id="2078355556">
      <w:bodyDiv w:val="1"/>
      <w:marLeft w:val="0"/>
      <w:marRight w:val="0"/>
      <w:marTop w:val="0"/>
      <w:marBottom w:val="0"/>
      <w:divBdr>
        <w:top w:val="none" w:sz="0" w:space="0" w:color="auto"/>
        <w:left w:val="none" w:sz="0" w:space="0" w:color="auto"/>
        <w:bottom w:val="none" w:sz="0" w:space="0" w:color="auto"/>
        <w:right w:val="none" w:sz="0" w:space="0" w:color="auto"/>
      </w:divBdr>
    </w:div>
    <w:div w:id="2103797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2ede819df1543cdaa5ce32fae4d18db" PartId="3fe270b48e8941d3854d0d15bfd3c4be">
    <Part Type="preambule" DocPartId="95bcd2b37453412cbbbfbd75dbe9d8e6" PartId="e312e4ad426b494e833c1dee8e6d6130"/>
    <Part Type="punktas" Nr="1" Abbr="1 p." DocPartId="6336bd26e2814d9789377b7869646741" PartId="225a67feff0d445d9fc2f362ac9a49ef"/>
    <Part Type="punktas" Nr="2" Abbr="2 p." DocPartId="b779718e2d9946f9b0223d522159d9dc" PartId="b0366583f48e42cda8ec1b6e9055a9b6"/>
    <Part Type="signatura" DocPartId="b52267a4434743e896d741bc208496c6" PartId="bfe3047313f249a7a62abc313b54c3fc"/>
  </Part>
  <Part Type="patvirtinta" Title="RADVILIŠKIO RAJONO SAVIVALDYBĖS 2024 METŲ VALSTYBĖS LĖŠOMIS FINANSUOJAMŲ MELIORACIJOS IR HIDROTECHNIKOS STATINIŲ EKSPLOATAVIMO, PRIEŽIŪROS, REMONTO DARBŲ IR IŠLAIDŲ SĄRAŠAS" DocPartId="6f52e8b3e5864240ba39675db01fc5a4" PartId="dafdb74d255f4f22a87f01a1017fc782">
    <Part Type="skirsnis" Title="RADVILIŠKIO RAJONO SAVIVALDYBĖS TARYBOS SPRENDIMO PROJEKTO „DĖL RADVILIŠKIO RAJONO SAVIVALDYBĖS TARYBOS 2024 M. VASARIO 1 D. SPRENDIMO NR. T-264 „DĖL RADVILIŠKIO RAJONO SAVIVALDYBĖS 2024 METŲ MELIORACIJOS IR HIDROTECHNIKOS STATINIŲ EKSPLOATAVIMO, REMONTO, PRIEŽIŪROS DARBŲ IR IŠLAIDŲ SĄRAŠO PATVIRTINIMO“ PAKEITIMO“ AIŠKINAMASIS RAŠTAS" DocPartId="e0a3050560a84748a55f02c63a3996c4" PartId="3ac9f471b82642d88ac27c73cdbe77e1">
      <Part Type="punktas" Nr="1" Abbr="1 p." DocPartId="9bec84cbcc004f6f84cf94afdb41c2cb" PartId="a74f5aae5aa84375ab60146e9abeaaa7"/>
      <Part Type="punktas" Nr="2" Abbr="2 p." DocPartId="fc0be79e467d402cb647d929a0de83cc" PartId="f4959e2779a34edab69559409a62b071"/>
      <Part Type="punktas" Nr="3" Abbr="3 p." DocPartId="0e693a33289f444c97639db860467800" PartId="a829df41186646fb83f238242e406f3d"/>
      <Part Type="punktas" Nr="4" Abbr="4 p." DocPartId="b3839e7c52e14dfb8366a6b942937e92" PartId="ec885ce9e0764112857e6d781b2a365c"/>
      <Part Type="punktas" Nr="5" Abbr="5 p." DocPartId="d35180168d2f4600846744e6b0d280e9" PartId="8018fabff5c74211a87d2a944904ac55"/>
      <Part Type="punktas" Nr="6" Abbr="6 p." DocPartId="2a93857f859446e6af1328bc68bc0580" PartId="19c71ddcc0d240fd993b738c2355e97d"/>
    </Part>
    <Part Type="skirsnis" Title="ar pripažinti netekusiais galios priėmus sprendimo projektą." DocPartId="d7a33e1849aa46d3a629a3cd73f38b2a" PartId="019e6bd18311473da8530b49513cbec3">
      <Part Type="punktas" Nr="7" Abbr="7 p." DocPartId="51ccb3fb596549f0ab2ecf2a6f7c074d" PartId="bc5f5fbe404a48d18a9acecd9949b140"/>
      <Part Type="punktas" Nr="8" Abbr="8 p." DocPartId="465e9f448e324f7c965ed1622b473fc0" PartId="91dee5d6f9734fb092cecfa4ca0167ab"/>
      <Part Type="punktas" Nr="9" Abbr="9 p." DocPartId="8fcdf73f16e948e886072348990cbbe3" PartId="1dd33e6d5fb8456e9bd7b2b1042b7c14"/>
      <Part Type="punktas" Nr="10" Abbr="10 p." DocPartId="167258ff756846f399e3eed3e32d0a8b" PartId="4bd0d7b745204c18a71d25ecc66589ec"/>
      <Part Type="punktas" Nr="11" Abbr="11 p." DocPartId="04e5b27bb6444c579324ad5c5d578fa9" PartId="f907f014a89c4db48daced72e0405637"/>
      <Part Type="punktas" Nr="12" Abbr="12 p." DocPartId="a718b63e6bb748949a7e9795fbf12cc1" PartId="932ad1268c0c40299f19feeba1197f25"/>
    </Part>
  </Part>
</Parts>
</file>

<file path=customXml/itemProps1.xml><?xml version="1.0" encoding="utf-8"?>
<ds:datastoreItem xmlns:ds="http://schemas.openxmlformats.org/officeDocument/2006/customXml" ds:itemID="{71BE43CA-07F0-43DA-A49B-F698838CA98E}">
  <ds:schemaRefs>
    <ds:schemaRef ds:uri="http://schemas.openxmlformats.org/officeDocument/2006/bibliography"/>
  </ds:schemaRefs>
</ds:datastoreItem>
</file>

<file path=customXml/itemProps2.xml><?xml version="1.0" encoding="utf-8"?>
<ds:datastoreItem xmlns:ds="http://schemas.openxmlformats.org/officeDocument/2006/customXml" ds:itemID="{CD1FA05D-FEA5-4590-9244-41DBEFAA3D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1486</Words>
  <Characters>10625</Characters>
  <Application>Microsoft Office Word</Application>
  <DocSecurity>4</DocSecurity>
  <Lines>287</Lines>
  <Paragraphs>145</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11966</CharactersWithSpaces>
  <SharedDoc>false</SharedDoc>
  <HyperlinkBase/>
  <HLinks>
    <vt:vector size="6" baseType="variant">
      <vt:variant>
        <vt:i4>7405594</vt:i4>
      </vt:variant>
      <vt:variant>
        <vt:i4>0</vt:i4>
      </vt:variant>
      <vt:variant>
        <vt:i4>0</vt:i4>
      </vt:variant>
      <vt:variant>
        <vt:i4>5</vt:i4>
      </vt:variant>
      <vt:variant>
        <vt:lpwstr>mailto:lukas.ramancionis@radviliskis.lt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2024-12-04T09:24:00Z</dcterms:created>
  <dc:creator>zemes</dc:creator>
  <lastModifiedBy>adlibuser</lastModifiedBy>
  <lastPrinted>2024-11-28T08:39:00Z</lastPrinted>
  <dcterms:modified xsi:type="dcterms:W3CDTF">2024-12-04T09:24:00Z</dcterms:modified>
  <revision>2</revision>
  <dc:title>Projektas</dc:title>
</coreProperties>
</file>