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Metadata/LabelInfo.xml" ContentType="application/vnd.ms-office.classificationlabel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documenttasks/documenttasks1.xml" ContentType="application/vnd.ms-office.documenttasks+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microsoft.com/office/2020/02/relationships/classificationlabels" Target="docMetadata/LabelInfo.xml"/>
  <Relationship Id="rId6"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0a8e5546f3084873990b665f997f2349"/>
        <w:lock w:val="sdtLocked"/>
        <w:richText/>
      </w:sdtPr>
      <w:sdtContent>
        <w:p>
          <w:pPr>
            <w:tabs>
              <w:tab w:val="center" w:pos="4153"/>
              <w:tab w:val="right" w:pos="8306"/>
            </w:tabs>
            <w:rPr>
              <w:rFonts w:ascii="TimesLT" w:hAnsi="TimesLT"/>
              <w:lang w:val="en-US"/>
            </w:rPr>
          </w:pPr>
          <w:r>
            <w:rPr>
              <w:rFonts w:ascii="TimesLT" w:hAnsi="TimesLT"/>
              <w:lang w:val="en-US"/>
            </w:rPr>
            <mc:AlternateContent>
              <mc:Choice Requires="wps">
                <w:drawing>
                  <wp:anchor distT="0" distB="0" distL="114300" distR="114300" simplePos="0" relativeHeight="251659264" behindDoc="0" locked="0" layoutInCell="0" allowOverlap="1" wp14:anchorId="40093675" wp14:editId="3C7AF5DA">
                    <wp:simplePos x="0" y="0"/>
                    <wp:positionH relativeFrom="page">
                      <wp:posOffset>0</wp:posOffset>
                    </wp:positionH>
                    <wp:positionV relativeFrom="page">
                      <wp:posOffset>190500</wp:posOffset>
                    </wp:positionV>
                    <wp:extent cx="7560945" cy="266700"/>
                    <wp:effectExtent l="0" t="0" r="0" b="0"/>
                    <wp:wrapNone/>
                    <wp:docPr id="1" name="Text Box 1" descr="{&quot;HashCode&quot;:-703152319,&quot;Height&quot;:842.0,&quot;Width&quot;:595.0,&quot;Placement&quot;:&quot;Header&quot;,&quot;Index&quot;:&quot;FirstPage&quot;,&quot;Section&quot;:1,&quot;Top&quot;:0.0,&quot;Left&quot;:0.0}"/>
                    <wp:cNvGraphicFramePr/>
                    <a:graphic xmlns:a="http://schemas.openxmlformats.org/drawingml/2006/main">
                      <a:graphicData uri="http://schemas.microsoft.com/office/word/2010/wordprocessingShape">
                        <wps:wsp>
                          <wps:cNvSpPr txBox="1"/>
                          <wps:spPr>
                            <a:xfrm>
                              <a:off x="0" y="0"/>
                              <a:ext cx="7560945" cy="266700"/>
                            </a:xfrm>
                            <a:prstGeom prst="rect">
                              <a:avLst/>
                            </a:prstGeom>
                            <a:noFill/>
                            <a:ln w="6350">
                              <a:noFill/>
                            </a:ln>
                            <a:extLst>
                              <a:ext uri="{91240B29-F687-4F45-9708-019B960494DF}">
                                <a14:hiddenLine xmlns:a14="http://schemas.microsoft.com/office/drawing/2010/main" w="6350">
                                  <a:solidFill>
                                    <a:prstClr val="black"/>
                                  </a:solidFill>
                                </a14:hiddenLine>
                              </a:ext>
                            </a:extLst>
                          </wps:spPr>
                          <wps:txbx>
                            <w:txbxContent>
                              <w:p>
                                <w:pPr>
                                  <w:jc w:val="right"/>
                                  <w:rPr>
                                    <w:rFonts w:ascii="Calibri" w:hAnsi="Calibri" w:cs="Calibri"/>
                                    <w:color w:val="000000"/>
                                    <w:sz w:val="20"/>
                                  </w:rPr>
                                </w:pPr>
                              </w:p>
                            </w:txbxContent>
                          </wps:txbx>
                          <wps:bodyPr rot="0" spcFirstLastPara="0" vertOverflow="overflow" horzOverflow="overflow" vert="horz" wrap="square" lIns="91440" tIns="0" rIns="254000" bIns="0" numCol="1" spcCol="0" rtlCol="0" fromWordArt="0" anchor="t" anchorCtr="0" forceAA="0" compatLnSpc="1">
                            <a:prstTxWarp prst="textNoShape">
                              <a:avLst/>
                            </a:prstTxWarp>
                            <a:noAutofit/>
                          </wps:bodyPr>
                        </wps:wsp>
                      </a:graphicData>
                    </a:graphic>
                  </wp:anchor>
                </w:drawing>
              </mc:Choice>
              <mc:Fallback>
                <w:pict>
                  <v:shapetype w14:anchorId="40093675" id="_x0000_t202" coordsize="21600,21600" o:spt="202" path="m,l,21600r21600,l21600,xe">
                    <v:stroke joinstyle="miter"/>
                    <v:path gradientshapeok="t" o:connecttype="rect"/>
                  </v:shapetype>
                  <v:shape id="Text Box 1" o:spid="_x0000_s1026" type="#_x0000_t202" alt="{&quot;HashCode&quot;:-703152319,&quot;Height&quot;:842.0,&quot;Width&quot;:595.0,&quot;Placement&quot;:&quot;Header&quot;,&quot;Index&quot;:&quot;FirstPage&quot;,&quot;Section&quot;:1,&quot;Top&quot;:0.0,&quot;Left&quot;:0.0}" style="position:absolute;margin-left:0;margin-top:15pt;width:595.35pt;height:21pt;z-index:251659264;visibility:visible;mso-wrap-style:square;mso-wrap-distance-left:9pt;mso-wrap-distance-top:0;mso-wrap-distance-right:9pt;mso-wrap-distance-bottom:0;mso-position-horizontal:absolute;mso-position-horizontal-relative:page;mso-position-vertical:absolute;mso-position-vertical-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LTrSUCwMAACUGAAAOAAAAZHJzL2Uyb0RvYy54bWysVEtv2zAMvg/YfxB02GmJH3Ue9uoUaYps BYK2QDL0rMhybMyWXElJ3BX976NkOX1sh2HYRaJIiiI/fuL5RVtX6MCkKgVPcTD0MWKciqzkuxR/ 3ywHU4yUJjwjleAsxY9M4YvZxw/nxyZhoShElTGJIAhXybFJcaF1k3ieogWriRqKhnEw5kLWRMNR 7rxMkiNErysv9P2xdxQya6SgTCnQXnVGPLPx85xRfZvnimlUpRhy03aVdt2a1Zudk2QnSVOU1KVB /iGLmpQcHj2FuiKaoL0sfwtVl1QKJXI9pKL2RJ6XlNkaoJrAf1fNuiANs7UAOKo5waT+X1h6c7iT qMygdxhxUkOLNqzV6FK0CDQZUxTQevr0sBf6yzeiioXIWHdKBhP/LBiFZ0H82dlZuSu0s06jcOg7 w32Z6cLpR/HopL+rCGU14/2dPgwBUnSyC3DNM9a6AN22LKXSd2TnknF+a2g4MNF5Bk67EY3T+Ken VyzvXwXlsyHCsVEJ4LFuABHdAgIGFKdXoDT9bXNZmx06h8AOlHo80cjgRkE5GY39OBphRMEWjscT 3/LMe7ndQO5fmaiREVIsIWvLHnJYKQ0vgmvvYh7jYllWlaVqxdExxeOzkW8vnCxwo+LGF5KAGE7q KPgUB2HkX4bxYDmeTgbRMhoN4ok/HfhBfBmP/SiOrpbPJl4QJUWZZYyvSs767xBEf0c39zE7ItsP 8SZVJaoyM3WY3Ex1i0qiA4F/uQUW/DBAQxGvvLy36VgzVNfvtkrP9KzrjZF0u21dw7Yie4Q+SgH4 QpdUQy1jVsSwRsIfByXMLX0LS14JAFU4CaNCyJ9/0ht/wAKsGB1hZqRYPeyJZBhV1xw+ZRxEkRky 9gCCtEI4inxgANr2ar6vFwLqhv8FaVnROOuqF3Mp6nuYa3PzHJgIp/BoinUvLjScwABzkbL53Mow TxqiV3zdUBO6R3nT3hPZOKJpwO9G9GOFJO/41vmam1zM91rkpSWjQbaDE7A3B5hFtgtubpph9/ps vV6m++wXAAAA//8DAFBLAwQUAAYACAAAACEAdr/2VNwAAAAHAQAADwAAAGRycy9kb3ducmV2Lnht bEyPQU+DQBCF7yb+h82YeLO7RWNbZGhaE24mhqrpdYERiOwsYRcK/97tSU+Tl/fy3jfJfjadmGhw rWWE9UqBIC5t1XKN8PmRPWxBOK+50p1lQljIwT69vUl0XNkL5zSdfC1CCbtYIzTe97GUrmzIaLey PXHwvu1gtA9yqGU16EsoN52MlHqWRrccFhrd02tD5c9pNAjj0+FYLDaa3t6P5698znjJszPi/d18 eAHhafZ/YbjiB3RIA1NhR66c6BDCIx7hUYV7ddc7tQFRIGwiBTJN5H/+9BcAAP//AwBQSwECLQAU AAYACAAAACEAtoM4kv4AAADhAQAAEwAAAAAAAAAAAAAAAAAAAAAAW0NvbnRlbnRfVHlwZXNdLnht bFBLAQItABQABgAIAAAAIQA4/SH/1gAAAJQBAAALAAAAAAAAAAAAAAAAAC8BAABfcmVscy8ucmVs c1BLAQItABQABgAIAAAAIQALTrSUCwMAACUGAAAOAAAAAAAAAAAAAAAAAC4CAABkcnMvZTJvRG9j LnhtbFBLAQItABQABgAIAAAAIQB2v/ZU3AAAAAcBAAAPAAAAAAAAAAAAAAAAAGUFAABkcnMvZG93 bnJldi54bWxQSwUGAAAAAAQABADzAAAAbgYAAAAA " o:allowincell="f" filled="f" stroked="f" strokeweight=".5pt">
                    <v:textbox inset=",0,20pt,0">
                      <w:txbxContent>
                        <w:p w14:paraId="3378B7D2" w14:textId="77777777">
                          <w:pPr>
                            <w:jc w:val="right"/>
                            <w:rPr>
                              <w:rFonts w:ascii="Calibri" w:hAnsi="Calibri" w:eastAsia="Times New Roman" w:cs="Calibri"/>
                              <w:color w:val="000000"/>
                              <w:sz w:val="20"/>
                            </w:rPr>
                          </w:pPr>
                        </w:p>
                      </w:txbxContent>
                    </v:textbox>
                    <w10:wrap anchorx="page" anchory="page"/>
                  </v:shape>
                </w:pict>
              </mc:Fallback>
            </mc:AlternateContent>
          </w:r>
        </w:p>
        <w:p>
          <w:pPr>
            <w:ind w:left="6804"/>
            <w:rPr>
              <w:b/>
              <w:szCs w:val="24"/>
            </w:rPr>
          </w:pPr>
        </w:p>
        <w:p>
          <w:pPr>
            <w:ind w:left="6804"/>
            <w:rPr>
              <w:b/>
              <w:szCs w:val="24"/>
            </w:rPr>
          </w:pPr>
          <w:r>
            <w:rPr>
              <w:b/>
              <w:szCs w:val="24"/>
            </w:rPr>
            <w:t>Projektas</w:t>
          </w:r>
        </w:p>
        <w:p>
          <w:pPr>
            <w:ind w:left="6804"/>
            <w:rPr>
              <w:b/>
              <w:szCs w:val="24"/>
            </w:rPr>
          </w:pPr>
        </w:p>
        <w:p>
          <w:pPr>
            <w:rPr>
              <w:rFonts w:eastAsia="Calibri"/>
              <w:szCs w:val="24"/>
            </w:rPr>
          </w:pPr>
        </w:p>
        <w:p>
          <w:pPr>
            <w:jc w:val="center"/>
            <w:rPr>
              <w:rFonts w:eastAsia="Calibri"/>
              <w:b/>
              <w:szCs w:val="24"/>
            </w:rPr>
          </w:pPr>
          <w:r>
            <w:rPr>
              <w:rFonts w:eastAsia="Calibri"/>
              <w:b/>
              <w:szCs w:val="24"/>
            </w:rPr>
            <w:t>LIETUVOS RESPUBLIKOS</w:t>
            <w:br/>
          </w:r>
          <w:r>
            <w:rPr>
              <w:rFonts w:eastAsia="Calibri"/>
              <w:b/>
              <w:bCs/>
              <w:caps/>
              <w:szCs w:val="24"/>
            </w:rPr>
            <w:t xml:space="preserve">nacionaliniAM saugumUI UŽTIKRINTI SVARBIŲ OBJEKTŲ APSAUGOS ĮSTATYMO </w:t>
          </w:r>
          <w:r>
            <w:rPr>
              <w:rFonts w:eastAsia="Calibri"/>
              <w:b/>
              <w:szCs w:val="24"/>
            </w:rPr>
            <w:t>NR.</w:t>
          </w:r>
          <w:r>
            <w:rPr>
              <w:rFonts w:eastAsia="Calibri"/>
              <w:szCs w:val="24"/>
            </w:rPr>
            <w:t xml:space="preserve"> </w:t>
          </w:r>
          <w:r>
            <w:rPr>
              <w:rFonts w:eastAsia="Calibri"/>
              <w:b/>
              <w:color w:val="000000"/>
              <w:szCs w:val="24"/>
            </w:rPr>
            <w:t>IX-1132</w:t>
          </w:r>
          <w:r>
            <w:rPr>
              <w:rFonts w:eastAsia="Calibri"/>
              <w:color w:val="000000"/>
              <w:szCs w:val="24"/>
            </w:rPr>
            <w:t xml:space="preserve"> </w:t>
          </w:r>
          <w:r>
            <w:rPr>
              <w:rFonts w:eastAsia="Calibri"/>
              <w:b/>
              <w:bCs/>
              <w:color w:val="000000"/>
              <w:szCs w:val="24"/>
            </w:rPr>
            <w:t xml:space="preserve">5 STRAIPSNIO, </w:t>
          </w:r>
          <w:r>
            <w:rPr>
              <w:rFonts w:eastAsia="Calibri"/>
              <w:b/>
              <w:szCs w:val="24"/>
            </w:rPr>
            <w:t>2 IR 4 PRIEDŲ PAKEITIMO</w:t>
            <w:br/>
            <w:t>ĮSTATYMAS</w:t>
          </w:r>
        </w:p>
        <w:p>
          <w:pPr>
            <w:rPr>
              <w:bCs/>
              <w:szCs w:val="24"/>
            </w:rPr>
          </w:pPr>
        </w:p>
        <w:p>
          <w:pPr>
            <w:jc w:val="center"/>
            <w:rPr>
              <w:bCs/>
              <w:szCs w:val="24"/>
            </w:rPr>
          </w:pPr>
          <w:r>
            <w:rPr>
              <w:bCs/>
              <w:szCs w:val="24"/>
            </w:rPr>
            <w:t xml:space="preserve">2026 m.                      d. Nr. </w:t>
          </w:r>
        </w:p>
        <w:p>
          <w:pPr>
            <w:jc w:val="center"/>
            <w:rPr>
              <w:bCs/>
              <w:szCs w:val="24"/>
            </w:rPr>
          </w:pPr>
          <w:r>
            <w:rPr>
              <w:bCs/>
              <w:szCs w:val="24"/>
            </w:rPr>
            <w:t>Vilnius</w:t>
          </w:r>
        </w:p>
        <w:p>
          <w:pPr>
            <w:jc w:val="both"/>
            <w:rPr>
              <w:bCs/>
              <w:szCs w:val="24"/>
            </w:rPr>
          </w:pPr>
        </w:p>
        <w:sdt>
          <w:sdtPr>
            <w:alias w:val="1 str."/>
            <w:tag w:val="part_09619cc2e5d245d5a04693578d94aa05"/>
            <w:lock w:val="sdtLocked"/>
            <w:richText/>
          </w:sdtPr>
          <w:sdtContent>
            <w:p>
              <w:pPr>
                <w:tabs>
                  <w:tab w:val="left" w:pos="567"/>
                </w:tabs>
                <w:ind w:firstLine="709"/>
                <w:jc w:val="both"/>
                <w:rPr>
                  <w:rFonts w:eastAsia="Calibri"/>
                  <w:b/>
                  <w:szCs w:val="24"/>
                </w:rPr>
              </w:pPr>
              <w:sdt>
                <w:sdtPr>
                  <w:alias w:val="Numeris"/>
                  <w:tag w:val="nr_09619cc2e5d245d5a04693578d94aa05"/>
                  <w:lock w:val="sdtLocked"/>
                  <w:richText/>
                </w:sdtPr>
                <w:sdtContent>
                  <w:r>
                    <w:rPr>
                      <w:rFonts w:eastAsia="Calibri"/>
                      <w:b/>
                      <w:szCs w:val="24"/>
                    </w:rPr>
                    <w:t>1</w:t>
                  </w:r>
                </w:sdtContent>
              </w:sdt>
              <w:r>
                <w:rPr>
                  <w:rFonts w:eastAsia="Calibri"/>
                  <w:b/>
                  <w:szCs w:val="24"/>
                </w:rPr>
                <w:t xml:space="preserve"> straipsnis. </w:t>
              </w:r>
              <w:sdt>
                <w:sdtPr>
                  <w:alias w:val="Pavadinimas"/>
                  <w:tag w:val="title_09619cc2e5d245d5a04693578d94aa05"/>
                  <w:lock w:val="sdtLocked"/>
                  <w:richText/>
                </w:sdtPr>
                <w:sdtContent>
                  <w:r>
                    <w:rPr>
                      <w:rFonts w:eastAsia="Calibri"/>
                      <w:b/>
                      <w:szCs w:val="24"/>
                    </w:rPr>
                    <w:t>5 straipsnio pakeitimas</w:t>
                  </w:r>
                </w:sdtContent>
              </w:sdt>
            </w:p>
            <w:sdt>
              <w:sdtPr>
                <w:alias w:val="1 str. 1 d."/>
                <w:tag w:val="part_ba0d9f23ffe34602a99206f0a82f2ec1"/>
                <w:lock w:val="sdtLocked"/>
                <w:richText/>
              </w:sdtPr>
              <w:sdtContent>
                <w:p>
                  <w:pPr>
                    <w:tabs>
                      <w:tab w:val="left" w:pos="567"/>
                    </w:tabs>
                    <w:ind w:firstLine="709"/>
                    <w:jc w:val="both"/>
                    <w:rPr>
                      <w:rFonts w:eastAsia="Calibri"/>
                      <w:bCs/>
                      <w:szCs w:val="24"/>
                    </w:rPr>
                  </w:pPr>
                  <w:r>
                    <w:rPr>
                      <w:rFonts w:eastAsia="Calibri"/>
                      <w:bCs/>
                      <w:szCs w:val="24"/>
                    </w:rPr>
                    <w:t>Pakeisti 5 straipsnį ir jį išdėstyti taip:</w:t>
                  </w:r>
                </w:p>
                <w:sdt>
                  <w:sdtPr>
                    <w:alias w:val="citata"/>
                    <w:tag w:val="part_3c4554cba4424241bfd5a3b5a57f9dd5"/>
                    <w:lock w:val="sdtLocked"/>
                    <w:richText/>
                  </w:sdtPr>
                  <w:sdtContent>
                    <w:sdt>
                      <w:sdtPr>
                        <w:alias w:val="5 str."/>
                        <w:tag w:val="part_b5672cabe2434260b9415465e93fef30"/>
                        <w:lock w:val="sdtLocked"/>
                        <w:richText/>
                      </w:sdtPr>
                      <w:sdtContent>
                        <w:sdt>
                          <w:sdtPr>
                            <w:alias w:val="Pavadinimas"/>
                            <w:tag w:val="title_b5672cabe2434260b9415465e93fef30"/>
                            <w:lock w:val="sdtLocked"/>
                            <w:richText/>
                          </w:sdtPr>
                          <w:sdtContent>
                            <w:p>
                              <w:pPr>
                                <w:tabs>
                                  <w:tab w:val="left" w:pos="567"/>
                                </w:tabs>
                                <w:ind w:left="720"/>
                                <w:jc w:val="both"/>
                                <w:rPr>
                                  <w:rFonts w:eastAsia="Calibri"/>
                                  <w:b/>
                                  <w:szCs w:val="24"/>
                                </w:rPr>
                              </w:pPr>
                              <w:r>
                                <w:rPr>
                                  <w:rFonts w:eastAsia="Calibri"/>
                                  <w:bCs/>
                                  <w:szCs w:val="24"/>
                                </w:rPr>
                                <w:t>„</w:t>
                              </w:r>
                              <w:sdt>
                                <w:sdtPr>
                                  <w:alias w:val="Numeris"/>
                                  <w:tag w:val="nr_b5672cabe2434260b9415465e93fef30"/>
                                  <w:lock w:val="sdtLocked"/>
                                  <w:richText/>
                                </w:sdtPr>
                                <w:sdtContent>
                                  <w:r>
                                    <w:rPr>
                                      <w:rFonts w:eastAsia="Calibri"/>
                                      <w:b/>
                                      <w:szCs w:val="24"/>
                                    </w:rPr>
                                    <w:t>5</w:t>
                                  </w:r>
                                </w:sdtContent>
                              </w:sdt>
                              <w:r>
                                <w:rPr>
                                  <w:rFonts w:eastAsia="Calibri"/>
                                  <w:b/>
                                  <w:szCs w:val="24"/>
                                </w:rPr>
                                <w:t xml:space="preserve"> straipsnis. Operatorių, valdančių nacionaliniam saugumui užtikrinti svarbius</w:t>
                              </w:r>
                            </w:p>
                            <w:p>
                              <w:pPr>
                                <w:tabs>
                                  <w:tab w:val="left" w:pos="567"/>
                                </w:tabs>
                                <w:ind w:left="720" w:firstLine="1407"/>
                                <w:jc w:val="both"/>
                                <w:rPr>
                                  <w:rFonts w:eastAsia="Calibri"/>
                                  <w:bCs/>
                                  <w:szCs w:val="24"/>
                                </w:rPr>
                              </w:pPr>
                              <w:r>
                                <w:rPr>
                                  <w:rFonts w:eastAsia="Calibri"/>
                                  <w:b/>
                                  <w:szCs w:val="24"/>
                                </w:rPr>
                                <w:t>įrenginius ir turtą, teisių įgyvendinimas</w:t>
                              </w:r>
                            </w:p>
                          </w:sdtContent>
                        </w:sdt>
                        <w:sdt>
                          <w:sdtPr>
                            <w:alias w:val="5 str. 1 d."/>
                            <w:tag w:val="part_369c82117651462c9663ac56c210aade"/>
                            <w:lock w:val="sdtLocked"/>
                            <w:richText/>
                          </w:sdtPr>
                          <w:sdtContent>
                            <w:p>
                              <w:pPr>
                                <w:tabs>
                                  <w:tab w:val="left" w:pos="567"/>
                                </w:tabs>
                                <w:ind w:firstLine="709"/>
                                <w:jc w:val="both"/>
                                <w:rPr>
                                  <w:rFonts w:eastAsia="Calibri"/>
                                  <w:bCs/>
                                  <w:szCs w:val="24"/>
                                </w:rPr>
                              </w:pPr>
                              <w:r>
                                <w:rPr>
                                  <w:rFonts w:eastAsia="Calibri"/>
                                  <w:bCs/>
                                  <w:szCs w:val="24"/>
                                </w:rPr>
                                <w:t>Vyriausybė ir valstybės institucijos, priimdamos sprendimus ir sudarydamos susitarimus, valstybės valdomų akcinių bendrovių akcijų valdytojai, priimdami sprendimus, sudarydami susitarimus ir įgyvendindami valstybei nuosavybės teise priklausančių elektros perdavimo sistemos operatoriaus, suskystintų gamtinių dujų terminalo operatoriaus, gamtinių dujų perdavimo sistemos operatoriaus, vandenilio perdavimo tinklo operatoriaus ir (ar) paskirtojo kaupimo sistemos operatoriaus, numatyto Lietuvos Respublikos elektros energetikos sistemos sujungimo su kontinentinės Europos elektros tinklais darbui sinchroniniu režimu įstatyme (toliau – paskirtasis kaupimo sistemos operatorius), akcijų suteikiamas neturtines teises, užtikrina, kad:</w:t>
                              </w:r>
                            </w:p>
                            <w:sdt>
                              <w:sdtPr>
                                <w:alias w:val="5 str. 1 d. 1 p."/>
                                <w:tag w:val="part_ebff86046bf24badacd7225121c1012f"/>
                                <w:lock w:val="sdtLocked"/>
                                <w:richText/>
                              </w:sdtPr>
                              <w:sdtContent>
                                <w:p>
                                  <w:pPr>
                                    <w:tabs>
                                      <w:tab w:val="left" w:pos="567"/>
                                    </w:tabs>
                                    <w:ind w:firstLine="709"/>
                                    <w:jc w:val="both"/>
                                    <w:rPr>
                                      <w:rFonts w:eastAsia="Calibri"/>
                                      <w:bCs/>
                                      <w:szCs w:val="24"/>
                                    </w:rPr>
                                  </w:pPr>
                                  <w:sdt>
                                    <w:sdtPr>
                                      <w:alias w:val="Numeris"/>
                                      <w:tag w:val="nr_ebff86046bf24badacd7225121c1012f"/>
                                      <w:lock w:val="sdtLocked"/>
                                      <w:richText/>
                                    </w:sdtPr>
                                    <w:sdtContent>
                                      <w:r>
                                        <w:rPr>
                                          <w:rFonts w:eastAsia="Calibri"/>
                                          <w:bCs/>
                                          <w:szCs w:val="24"/>
                                        </w:rPr>
                                        <w:t>1</w:t>
                                      </w:r>
                                    </w:sdtContent>
                                  </w:sdt>
                                  <w:r>
                                    <w:rPr>
                                      <w:rFonts w:eastAsia="Calibri"/>
                                      <w:bCs/>
                                      <w:szCs w:val="24"/>
                                    </w:rPr>
                                    <w:t>) elektros perdavimo sistemos operatorius, suskystintų gamtinių dujų terminalo operatorius, gamtinių dujų perdavimo sistemos operatorius, įvertinę atitinkamų nacionaliniam saugumui užtikrinti svarbių įrenginių ir turto funkcinę paskirtį, prisidėtų prie pagrindinio Lietuvos Respublikos energetikos sistemos uždavinio įgyvendinimo – neribotą laiką, nepriklausomai, saugiai ir patikimai aprūpinti Lietuvos vartotojus elektros energija ir (arba) šiluma bei gamtinėmis dujomis ekonomiškai palankiausiomis sąlygomis;</w:t>
                                  </w:r>
                                </w:p>
                              </w:sdtContent>
                            </w:sdt>
                            <w:sdt>
                              <w:sdtPr>
                                <w:alias w:val="5 str. 1 d. 2 p."/>
                                <w:tag w:val="part_a26a31dda6824fe9b94c2204b47a45fa"/>
                                <w:lock w:val="sdtLocked"/>
                                <w:richText/>
                              </w:sdtPr>
                              <w:sdtContent>
                                <w:p>
                                  <w:pPr>
                                    <w:tabs>
                                      <w:tab w:val="left" w:pos="567"/>
                                    </w:tabs>
                                    <w:ind w:firstLine="709"/>
                                    <w:jc w:val="both"/>
                                    <w:rPr>
                                      <w:rFonts w:eastAsia="Calibri"/>
                                      <w:bCs/>
                                      <w:szCs w:val="24"/>
                                    </w:rPr>
                                  </w:pPr>
                                  <w:sdt>
                                    <w:sdtPr>
                                      <w:alias w:val="Numeris"/>
                                      <w:tag w:val="nr_a26a31dda6824fe9b94c2204b47a45fa"/>
                                      <w:lock w:val="sdtLocked"/>
                                      <w:richText/>
                                    </w:sdtPr>
                                    <w:sdtContent>
                                      <w:r>
                                        <w:rPr>
                                          <w:rFonts w:eastAsia="Calibri"/>
                                          <w:bCs/>
                                          <w:szCs w:val="24"/>
                                        </w:rPr>
                                        <w:t>2</w:t>
                                      </w:r>
                                    </w:sdtContent>
                                  </w:sdt>
                                  <w:r>
                                    <w:rPr>
                                      <w:rFonts w:eastAsia="Calibri"/>
                                      <w:bCs/>
                                      <w:szCs w:val="24"/>
                                    </w:rPr>
                                    <w:t xml:space="preserve">) Lietuvos Respublikos elektros energetikos sistema sugebėtų užtikrinti savarankišką elektros energijos generavimą ir būtų parengta </w:t>
                                  </w:r>
                                  <w:r>
                                    <w:rPr>
                                      <w:rFonts w:eastAsia="Calibri"/>
                                      <w:szCs w:val="24"/>
                                    </w:rPr>
                                    <w:t>izoliuotam elektros energetikos sistemos darbui</w:t>
                                  </w:r>
                                  <w:r>
                                    <w:rPr>
                                      <w:rFonts w:eastAsia="Calibri"/>
                                      <w:bCs/>
                                      <w:szCs w:val="24"/>
                                    </w:rPr>
                                    <w:t>;</w:t>
                                  </w:r>
                                </w:p>
                              </w:sdtContent>
                            </w:sdt>
                            <w:sdt>
                              <w:sdtPr>
                                <w:alias w:val="5 str. 1 d. 3 p."/>
                                <w:tag w:val="part_fc882aae34d1406abd7cf0df5f82ea66"/>
                                <w:lock w:val="sdtLocked"/>
                                <w:richText/>
                              </w:sdtPr>
                              <w:sdtContent>
                                <w:p>
                                  <w:pPr>
                                    <w:tabs>
                                      <w:tab w:val="left" w:pos="567"/>
                                    </w:tabs>
                                    <w:ind w:firstLine="709"/>
                                    <w:jc w:val="both"/>
                                    <w:rPr>
                                      <w:rFonts w:eastAsia="Calibri"/>
                                      <w:bCs/>
                                      <w:szCs w:val="24"/>
                                    </w:rPr>
                                  </w:pPr>
                                  <w:sdt>
                                    <w:sdtPr>
                                      <w:alias w:val="Numeris"/>
                                      <w:tag w:val="nr_fc882aae34d1406abd7cf0df5f82ea66"/>
                                      <w:lock w:val="sdtLocked"/>
                                      <w:richText/>
                                    </w:sdtPr>
                                    <w:sdtContent>
                                      <w:r>
                                        <w:rPr>
                                          <w:rFonts w:eastAsia="Calibri"/>
                                          <w:bCs/>
                                          <w:szCs w:val="24"/>
                                        </w:rPr>
                                        <w:t>3</w:t>
                                      </w:r>
                                    </w:sdtContent>
                                  </w:sdt>
                                  <w:r>
                                    <w:rPr>
                                      <w:rFonts w:eastAsia="Calibri"/>
                                      <w:bCs/>
                                      <w:szCs w:val="24"/>
                                    </w:rPr>
                                    <w:t>) gamtinių dujų perdavimo sistemos operatorius, atsakingas už Lietuvos Respublikos dujų perdavimo sistemos saugią ir patikimą veiklą bei plėtrą, įgyvendintų regioninės reikšmės dujų perdavimo sistemos plėtros projektus, kurie yra svarbūs Europos Sąjungos dujų sektoriaus vystymo tikslams pasiekti, diversifikuotų dujų tiekimo šaltinius, sudarytų sąlygas maksimaliai išnaudoti Klaipėdos suskystintų gamtinių dujų terminalo pajėgumus ir užtikrintų gamtinių dujų sistemos darbo saugumą ir patikimumą;</w:t>
                                  </w:r>
                                </w:p>
                              </w:sdtContent>
                            </w:sdt>
                            <w:sdt>
                              <w:sdtPr>
                                <w:alias w:val="5 str. 1 d. 4 p."/>
                                <w:tag w:val="part_e1cb2eb9630d49d69e4c39a68f0d6923"/>
                                <w:lock w:val="sdtLocked"/>
                                <w:richText/>
                              </w:sdtPr>
                              <w:sdtContent>
                                <w:p>
                                  <w:pPr>
                                    <w:tabs>
                                      <w:tab w:val="left" w:pos="567"/>
                                    </w:tabs>
                                    <w:ind w:firstLine="709"/>
                                    <w:jc w:val="both"/>
                                    <w:rPr>
                                      <w:rFonts w:eastAsia="Calibri"/>
                                      <w:bCs/>
                                      <w:szCs w:val="24"/>
                                    </w:rPr>
                                  </w:pPr>
                                  <w:sdt>
                                    <w:sdtPr>
                                      <w:alias w:val="Numeris"/>
                                      <w:tag w:val="nr_e1cb2eb9630d49d69e4c39a68f0d6923"/>
                                      <w:lock w:val="sdtLocked"/>
                                      <w:richText/>
                                    </w:sdtPr>
                                    <w:sdtContent>
                                      <w:r>
                                        <w:rPr>
                                          <w:rFonts w:eastAsia="Calibri"/>
                                          <w:bCs/>
                                          <w:szCs w:val="24"/>
                                        </w:rPr>
                                        <w:t>4</w:t>
                                      </w:r>
                                    </w:sdtContent>
                                  </w:sdt>
                                  <w:r>
                                    <w:rPr>
                                      <w:rFonts w:eastAsia="Calibri"/>
                                      <w:bCs/>
                                      <w:szCs w:val="24"/>
                                    </w:rPr>
                                    <w:t>) vandenilio perdavimo tinklo operatorius, atsakingas už Lietuvos Respublikos vandenilio perdavimo tinklo saugią ir patikimą veiklą bei plėtrą, įgyvendintų regioninės reikšmės vandenilio perdavimo tinklo plėtros projektus, kurie yra svarbūs Europos Sąjungos vandenilio sektoriaus vystymo ir ekonomikos dekarbonizacijos tikslams pasiekti;</w:t>
                                  </w:r>
                                </w:p>
                              </w:sdtContent>
                            </w:sdt>
                            <w:sdt>
                              <w:sdtPr>
                                <w:alias w:val="5 str. 1 d. 5 p."/>
                                <w:tag w:val="part_7a1d4c1ed4714a26a731c2386fba9f21"/>
                                <w:lock w:val="sdtLocked"/>
                                <w:richText/>
                              </w:sdtPr>
                              <w:sdtContent>
                                <w:p>
                                  <w:pPr>
                                    <w:tabs>
                                      <w:tab w:val="left" w:pos="567"/>
                                    </w:tabs>
                                    <w:ind w:firstLine="709"/>
                                    <w:jc w:val="both"/>
                                    <w:rPr>
                                      <w:rFonts w:eastAsia="Calibri"/>
                                      <w:bCs/>
                                      <w:szCs w:val="24"/>
                                    </w:rPr>
                                  </w:pPr>
                                  <w:sdt>
                                    <w:sdtPr>
                                      <w:alias w:val="Numeris"/>
                                      <w:tag w:val="nr_7a1d4c1ed4714a26a731c2386fba9f21"/>
                                      <w:lock w:val="sdtLocked"/>
                                      <w:richText/>
                                    </w:sdtPr>
                                    <w:sdtContent>
                                      <w:r>
                                        <w:rPr>
                                          <w:rFonts w:eastAsia="Calibri"/>
                                          <w:bCs/>
                                          <w:szCs w:val="24"/>
                                        </w:rPr>
                                        <w:t>5</w:t>
                                      </w:r>
                                    </w:sdtContent>
                                  </w:sdt>
                                  <w:r>
                                    <w:rPr>
                                      <w:rFonts w:eastAsia="Calibri"/>
                                      <w:bCs/>
                                      <w:szCs w:val="24"/>
                                    </w:rPr>
                                    <w:t>) paskirtasis kaupimo sistemos operatorius, atsakingas už elektros energijos kaupimo įrenginių sistemos įrengimą, eksploatavimą, priežiūrą ir valdymą, saugiai ir patikimai išimties tvarka teiktų izoliuoto elektros energetikos sistemos darbo rezervo užtikrinimo paslaugą.</w:t>
                                  </w:r>
                                  <w:r>
                                    <w:rPr>
                                      <w:szCs w:val="24"/>
                                    </w:rPr>
                                    <w:t>“</w:t>
                                  </w:r>
                                </w:p>
                                <w:p>
                                  <w:pPr>
                                    <w:tabs>
                                      <w:tab w:val="left" w:pos="567"/>
                                    </w:tabs>
                                    <w:ind w:firstLine="709"/>
                                    <w:jc w:val="both"/>
                                    <w:rPr>
                                      <w:rFonts w:eastAsia="Calibri"/>
                                      <w:bCs/>
                                      <w:szCs w:val="24"/>
                                    </w:rPr>
                                  </w:pPr>
                                </w:p>
                              </w:sdtContent>
                            </w:sdt>
                          </w:sdtContent>
                        </w:sdt>
                      </w:sdtContent>
                    </w:sdt>
                  </w:sdtContent>
                </w:sdt>
              </w:sdtContent>
            </w:sdt>
          </w:sdtContent>
        </w:sdt>
        <w:sdt>
          <w:sdtPr>
            <w:alias w:val="2 str."/>
            <w:tag w:val="part_9e5cadda59a443ae830898bc54865786"/>
            <w:lock w:val="sdtLocked"/>
            <w:richText/>
          </w:sdtPr>
          <w:sdtContent>
            <w:p>
              <w:pPr>
                <w:tabs>
                  <w:tab w:val="left" w:pos="567"/>
                </w:tabs>
                <w:ind w:firstLine="709"/>
                <w:jc w:val="both"/>
                <w:rPr>
                  <w:rFonts w:eastAsia="Calibri"/>
                  <w:b/>
                  <w:szCs w:val="24"/>
                </w:rPr>
              </w:pPr>
              <w:sdt>
                <w:sdtPr>
                  <w:alias w:val="Numeris"/>
                  <w:tag w:val="nr_9e5cadda59a443ae830898bc54865786"/>
                  <w:lock w:val="sdtLocked"/>
                  <w:richText/>
                </w:sdtPr>
                <w:sdtContent>
                  <w:r>
                    <w:rPr>
                      <w:rFonts w:eastAsia="Calibri"/>
                      <w:b/>
                      <w:szCs w:val="24"/>
                    </w:rPr>
                    <w:t>2</w:t>
                  </w:r>
                </w:sdtContent>
              </w:sdt>
              <w:r>
                <w:rPr>
                  <w:rFonts w:eastAsia="Calibri"/>
                  <w:b/>
                  <w:szCs w:val="24"/>
                </w:rPr>
                <w:t xml:space="preserve"> straipsnis. </w:t>
              </w:r>
              <w:sdt>
                <w:sdtPr>
                  <w:alias w:val="Pavadinimas"/>
                  <w:tag w:val="title_9e5cadda59a443ae830898bc54865786"/>
                  <w:lock w:val="sdtLocked"/>
                  <w:richText/>
                </w:sdtPr>
                <w:sdtContent>
                  <w:r>
                    <w:rPr>
                      <w:rFonts w:eastAsia="Calibri"/>
                      <w:b/>
                      <w:szCs w:val="24"/>
                    </w:rPr>
                    <w:t>Įstatymo 2 priedo pakeitimas</w:t>
                  </w:r>
                </w:sdtContent>
              </w:sdt>
            </w:p>
            <w:sdt>
              <w:sdtPr>
                <w:alias w:val="2 str. 1 d."/>
                <w:tag w:val="part_ea1d32c407924c94b03b09e37939401d"/>
                <w:lock w:val="sdtLocked"/>
                <w:richText/>
              </w:sdtPr>
              <w:sdtContent>
                <w:p>
                  <w:pPr>
                    <w:ind w:left="709"/>
                    <w:jc w:val="both"/>
                    <w:rPr>
                      <w:rFonts w:eastAsia="Calibri"/>
                      <w:szCs w:val="24"/>
                    </w:rPr>
                  </w:pPr>
                  <w:sdt>
                    <w:sdtPr>
                      <w:alias w:val="Numeris"/>
                      <w:tag w:val="nr_ea1d32c407924c94b03b09e37939401d"/>
                      <w:lock w:val="sdtLocked"/>
                      <w:richText/>
                    </w:sdtPr>
                    <w:sdtContent>
                      <w:r>
                        <w:rPr>
                          <w:rFonts w:eastAsia="Calibri"/>
                          <w:szCs w:val="24"/>
                        </w:rPr>
                        <w:t>1</w:t>
                      </w:r>
                    </w:sdtContent>
                  </w:sdt>
                  <w:r>
                    <w:rPr>
                      <w:rFonts w:eastAsia="Calibri"/>
                      <w:szCs w:val="24"/>
                    </w:rPr>
                    <w:t>. Pakeisti Įstatymo 2 priedo 2 punktą ir jį išdėstyti taip:</w:t>
                  </w:r>
                </w:p>
                <w:sdt>
                  <w:sdtPr>
                    <w:alias w:val="citata"/>
                    <w:tag w:val="part_c674c08299e34211a400b0ab41011c64"/>
                    <w:lock w:val="sdtLocked"/>
                    <w:richText/>
                  </w:sdtPr>
                  <w:sdtContent>
                    <w:sdt>
                      <w:sdtPr>
                        <w:alias w:val="2 d."/>
                        <w:tag w:val="part_bd7656d3e01e40a38a665e0ee4444f32"/>
                        <w:lock w:val="sdtLocked"/>
                        <w:richText/>
                      </w:sdtPr>
                      <w:sdtContent>
                        <w:p>
                          <w:pPr>
                            <w:ind w:firstLine="709"/>
                            <w:jc w:val="both"/>
                            <w:rPr>
                              <w:rFonts w:eastAsia="Calibri"/>
                              <w:szCs w:val="24"/>
                            </w:rPr>
                          </w:pPr>
                          <w:r>
                            <w:rPr>
                              <w:rFonts w:eastAsia="Calibri"/>
                              <w:szCs w:val="24"/>
                            </w:rPr>
                            <w:t>„</w:t>
                          </w:r>
                          <w:sdt>
                            <w:sdtPr>
                              <w:alias w:val="Numeris"/>
                              <w:tag w:val="nr_bd7656d3e01e40a38a665e0ee4444f32"/>
                              <w:lock w:val="sdtLocked"/>
                              <w:richText/>
                            </w:sdtPr>
                            <w:sdtContent>
                              <w:r>
                                <w:rPr>
                                  <w:szCs w:val="24"/>
                                  <w:lang w:eastAsia="lt-LT"/>
                                </w:rPr>
                                <w:t>2</w:t>
                              </w:r>
                            </w:sdtContent>
                          </w:sdt>
                          <w:r>
                            <w:rPr>
                              <w:szCs w:val="24"/>
                              <w:lang w:eastAsia="lt-LT"/>
                            </w:rPr>
                            <w:t>. AB „Ignitis grupė“</w:t>
                          </w:r>
                          <w:r>
                            <w:rPr>
                              <w:szCs w:val="24"/>
                            </w:rPr>
                            <w:t>.“</w:t>
                          </w:r>
                        </w:p>
                      </w:sdtContent>
                    </w:sdt>
                  </w:sdtContent>
                </w:sdt>
              </w:sdtContent>
            </w:sdt>
            <w:sdt>
              <w:sdtPr>
                <w:alias w:val="2 str. 2 d."/>
                <w:tag w:val="part_392430dfc1a44632a0e14858a11fb9d5"/>
                <w:lock w:val="sdtLocked"/>
                <w:richText/>
              </w:sdtPr>
              <w:sdtContent>
                <w:p>
                  <w:pPr>
                    <w:ind w:firstLine="709"/>
                    <w:jc w:val="both"/>
                    <w:rPr>
                      <w:rFonts w:eastAsia="Calibri"/>
                      <w:szCs w:val="24"/>
                    </w:rPr>
                  </w:pPr>
                  <w:sdt>
                    <w:sdtPr>
                      <w:alias w:val="Numeris"/>
                      <w:tag w:val="nr_392430dfc1a44632a0e14858a11fb9d5"/>
                      <w:lock w:val="sdtLocked"/>
                      <w:richText/>
                    </w:sdtPr>
                    <w:sdtContent>
                      <w:r>
                        <w:rPr>
                          <w:rFonts w:eastAsia="Calibri"/>
                          <w:szCs w:val="24"/>
                        </w:rPr>
                        <w:t>2</w:t>
                      </w:r>
                    </w:sdtContent>
                  </w:sdt>
                  <w:r>
                    <w:rPr>
                      <w:rFonts w:eastAsia="Calibri"/>
                      <w:szCs w:val="24"/>
                    </w:rPr>
                    <w:t xml:space="preserve">. Pakeisti Įstatymo 2 priedo 11 punktą </w:t>
                  </w:r>
                  <w:r>
                    <w:rPr>
                      <w:rFonts w:eastAsia="Calibri"/>
                      <w:bCs/>
                      <w:szCs w:val="24"/>
                    </w:rPr>
                    <w:t>ir jį išdėstyti taip</w:t>
                  </w:r>
                  <w:r>
                    <w:rPr>
                      <w:rFonts w:eastAsia="Calibri"/>
                      <w:szCs w:val="24"/>
                    </w:rPr>
                    <w:t>:</w:t>
                  </w:r>
                </w:p>
                <w:sdt>
                  <w:sdtPr>
                    <w:alias w:val="citata"/>
                    <w:tag w:val="part_82ecff192447427a8bb8fd779b963ce0"/>
                    <w:lock w:val="sdtLocked"/>
                    <w:richText/>
                  </w:sdtPr>
                  <w:sdtContent>
                    <w:sdt>
                      <w:sdtPr>
                        <w:alias w:val="11 d."/>
                        <w:tag w:val="part_96582755c38246bf907e1ae5b0182c9f"/>
                        <w:lock w:val="sdtLocked"/>
                        <w:richText/>
                      </w:sdtPr>
                      <w:sdtContent>
                        <w:p>
                          <w:pPr>
                            <w:ind w:firstLine="771"/>
                            <w:jc w:val="both"/>
                            <w:rPr>
                              <w:rFonts w:eastAsia="Calibri"/>
                              <w:szCs w:val="24"/>
                            </w:rPr>
                          </w:pPr>
                          <w:r>
                            <w:rPr>
                              <w:rFonts w:eastAsia="Calibri"/>
                              <w:szCs w:val="24"/>
                            </w:rPr>
                            <w:t>„</w:t>
                          </w:r>
                          <w:sdt>
                            <w:sdtPr>
                              <w:alias w:val="Numeris"/>
                              <w:tag w:val="nr_96582755c38246bf907e1ae5b0182c9f"/>
                              <w:lock w:val="sdtLocked"/>
                              <w:richText/>
                            </w:sdtPr>
                            <w:sdtContent>
                              <w:r>
                                <w:rPr>
                                  <w:rFonts w:eastAsia="Calibri"/>
                                  <w:szCs w:val="24"/>
                                </w:rPr>
                                <w:t>11</w:t>
                              </w:r>
                            </w:sdtContent>
                          </w:sdt>
                          <w:r>
                            <w:rPr>
                              <w:szCs w:val="24"/>
                              <w:lang w:eastAsia="lt-LT"/>
                            </w:rPr>
                            <w:t>. AB „KN Energies“</w:t>
                          </w:r>
                          <w:r>
                            <w:rPr>
                              <w:szCs w:val="24"/>
                            </w:rPr>
                            <w:t>.“</w:t>
                          </w:r>
                        </w:p>
                      </w:sdtContent>
                    </w:sdt>
                  </w:sdtContent>
                </w:sdt>
              </w:sdtContent>
            </w:sdt>
            <w:sdt>
              <w:sdtPr>
                <w:alias w:val="2 str. 3 d."/>
                <w:tag w:val="part_3274838df00d44f4a60d3ed84b5d8586"/>
                <w:lock w:val="sdtLocked"/>
                <w:richText/>
              </w:sdtPr>
              <w:sdtContent>
                <w:p>
                  <w:pPr>
                    <w:ind w:firstLine="720"/>
                    <w:jc w:val="both"/>
                    <w:rPr>
                      <w:rFonts w:eastAsia="Calibri"/>
                      <w:bCs/>
                      <w:szCs w:val="24"/>
                    </w:rPr>
                  </w:pPr>
                  <w:sdt>
                    <w:sdtPr>
                      <w:alias w:val="Numeris"/>
                      <w:tag w:val="nr_3274838df00d44f4a60d3ed84b5d8586"/>
                      <w:lock w:val="sdtLocked"/>
                      <w:richText/>
                    </w:sdtPr>
                    <w:sdtContent>
                      <w:r>
                        <w:rPr>
                          <w:rFonts w:eastAsia="Calibri"/>
                          <w:bCs/>
                          <w:szCs w:val="24"/>
                        </w:rPr>
                        <w:t>3</w:t>
                      </w:r>
                    </w:sdtContent>
                  </w:sdt>
                  <w:r>
                    <w:rPr>
                      <w:rFonts w:eastAsia="Calibri"/>
                      <w:bCs/>
                      <w:szCs w:val="24"/>
                    </w:rPr>
                    <w:t>. Papildyti Įstatymo 2 priedą 24 punktu:</w:t>
                  </w:r>
                </w:p>
                <w:sdt>
                  <w:sdtPr>
                    <w:alias w:val="citata"/>
                    <w:tag w:val="part_42e3b55f6bf94dc7ae681306602453c9"/>
                    <w:lock w:val="sdtLocked"/>
                    <w:richText/>
                  </w:sdtPr>
                  <w:sdtContent>
                    <w:sdt>
                      <w:sdtPr>
                        <w:alias w:val="24 d."/>
                        <w:tag w:val="part_98a4786785ea4e7d97d95a2c9f63549b"/>
                        <w:lock w:val="sdtLocked"/>
                        <w:richText/>
                      </w:sdtPr>
                      <w:sdtContent>
                        <w:p>
                          <w:pPr>
                            <w:ind w:firstLine="709"/>
                            <w:jc w:val="both"/>
                            <w:rPr>
                              <w:rFonts w:eastAsia="Calibri"/>
                              <w:szCs w:val="24"/>
                            </w:rPr>
                          </w:pPr>
                          <w:r>
                            <w:rPr>
                              <w:rFonts w:eastAsia="Calibri"/>
                              <w:szCs w:val="24"/>
                            </w:rPr>
                            <w:t>„</w:t>
                          </w:r>
                          <w:sdt>
                            <w:sdtPr>
                              <w:alias w:val="Numeris"/>
                              <w:tag w:val="nr_98a4786785ea4e7d97d95a2c9f63549b"/>
                              <w:lock w:val="sdtLocked"/>
                              <w:richText/>
                            </w:sdtPr>
                            <w:sdtContent>
                              <w:r>
                                <w:rPr>
                                  <w:szCs w:val="24"/>
                                  <w:lang w:eastAsia="lt-LT"/>
                                </w:rPr>
                                <w:t>24</w:t>
                              </w:r>
                            </w:sdtContent>
                          </w:sdt>
                          <w:r>
                            <w:rPr>
                              <w:szCs w:val="24"/>
                              <w:lang w:eastAsia="lt-LT"/>
                            </w:rPr>
                            <w:t xml:space="preserve">. Vandenilio perdavimo tinklo operatorius, paskirtas </w:t>
                          </w:r>
                          <w:r>
                            <w:rPr>
                              <w:rFonts w:eastAsia="Calibri"/>
                              <w:szCs w:val="24"/>
                            </w:rPr>
                            <w:t xml:space="preserve">Lietuvos Respublikos vandenilio </w:t>
                          </w:r>
                          <w:r>
                            <w:rPr>
                              <w:szCs w:val="24"/>
                            </w:rPr>
                            <w:t>įstatyme nustatyta tvarka.“</w:t>
                          </w:r>
                        </w:p>
                        <w:p>
                          <w:pPr>
                            <w:ind w:firstLine="709"/>
                            <w:jc w:val="both"/>
                            <w:rPr>
                              <w:rFonts w:eastAsia="Calibri"/>
                              <w:bCs/>
                              <w:szCs w:val="24"/>
                            </w:rPr>
                          </w:pPr>
                        </w:p>
                      </w:sdtContent>
                    </w:sdt>
                  </w:sdtContent>
                </w:sdt>
              </w:sdtContent>
            </w:sdt>
          </w:sdtContent>
        </w:sdt>
        <w:sdt>
          <w:sdtPr>
            <w:alias w:val="3 str."/>
            <w:tag w:val="part_d09dd4d2e9244e9792b6c34c713c3f6d"/>
            <w:lock w:val="sdtLocked"/>
            <w:richText/>
          </w:sdtPr>
          <w:sdtContent>
            <w:p>
              <w:pPr>
                <w:tabs>
                  <w:tab w:val="left" w:pos="567"/>
                </w:tabs>
                <w:ind w:firstLine="709"/>
                <w:jc w:val="both"/>
                <w:rPr>
                  <w:rFonts w:eastAsia="Calibri"/>
                  <w:b/>
                  <w:szCs w:val="24"/>
                </w:rPr>
              </w:pPr>
              <w:sdt>
                <w:sdtPr>
                  <w:alias w:val="Numeris"/>
                  <w:tag w:val="nr_d09dd4d2e9244e9792b6c34c713c3f6d"/>
                  <w:lock w:val="sdtLocked"/>
                  <w:richText/>
                </w:sdtPr>
                <w:sdtContent>
                  <w:r>
                    <w:rPr>
                      <w:rFonts w:eastAsia="Calibri"/>
                      <w:b/>
                      <w:szCs w:val="24"/>
                    </w:rPr>
                    <w:t>3</w:t>
                  </w:r>
                </w:sdtContent>
              </w:sdt>
              <w:r>
                <w:rPr>
                  <w:rFonts w:eastAsia="Calibri"/>
                  <w:b/>
                  <w:szCs w:val="24"/>
                </w:rPr>
                <w:t xml:space="preserve"> straipsnis. </w:t>
              </w:r>
              <w:sdt>
                <w:sdtPr>
                  <w:alias w:val="Pavadinimas"/>
                  <w:tag w:val="title_d09dd4d2e9244e9792b6c34c713c3f6d"/>
                  <w:lock w:val="sdtLocked"/>
                  <w:richText/>
                </w:sdtPr>
                <w:sdtContent>
                  <w:r>
                    <w:rPr>
                      <w:rFonts w:eastAsia="Calibri"/>
                      <w:b/>
                      <w:szCs w:val="24"/>
                    </w:rPr>
                    <w:t>Įstatymo 4 priedo pakeitimas</w:t>
                  </w:r>
                </w:sdtContent>
              </w:sdt>
            </w:p>
            <w:sdt>
              <w:sdtPr>
                <w:alias w:val="3 str. 1 d."/>
                <w:tag w:val="part_71bfd8d4ac7f427c9f79de65706e6370"/>
                <w:lock w:val="sdtLocked"/>
                <w:richText/>
              </w:sdtPr>
              <w:sdtContent>
                <w:p>
                  <w:pPr>
                    <w:ind w:firstLine="709"/>
                    <w:jc w:val="both"/>
                    <w:rPr>
                      <w:rFonts w:eastAsia="Calibri"/>
                      <w:szCs w:val="24"/>
                    </w:rPr>
                  </w:pPr>
                  <w:r>
                    <w:rPr>
                      <w:rFonts w:eastAsia="Calibri"/>
                      <w:szCs w:val="24"/>
                    </w:rPr>
                    <w:t>Papildyti Įstatymo 4 priedo 2 punktą p papunkčiu:</w:t>
                  </w:r>
                </w:p>
                <w:sdt>
                  <w:sdtPr>
                    <w:alias w:val="citata"/>
                    <w:tag w:val="part_c476ebe515824f1d90695f0351f09333"/>
                    <w:lock w:val="sdtLocked"/>
                    <w:richText/>
                  </w:sdtPr>
                  <w:sdtContent>
                    <w:sdt>
                      <w:sdtPr>
                        <w:alias w:val="p pp."/>
                        <w:tag w:val="part_3dfbd7f268714340a9d728ec0a3dae35"/>
                        <w:lock w:val="sdtLocked"/>
                        <w:richText/>
                      </w:sdtPr>
                      <w:sdtContent>
                        <w:p>
                          <w:pPr>
                            <w:ind w:firstLine="709"/>
                            <w:jc w:val="both"/>
                            <w:rPr>
                              <w:rFonts w:eastAsia="Calibri"/>
                              <w:szCs w:val="24"/>
                            </w:rPr>
                          </w:pPr>
                          <w:r>
                            <w:rPr>
                              <w:rFonts w:eastAsia="Calibri"/>
                              <w:szCs w:val="24"/>
                            </w:rPr>
                            <w:t>„</w:t>
                          </w:r>
                          <w:sdt>
                            <w:sdtPr>
                              <w:alias w:val="Numeris"/>
                              <w:tag w:val="nr_3dfbd7f268714340a9d728ec0a3dae35"/>
                              <w:lock w:val="sdtLocked"/>
                              <w:richText/>
                            </w:sdtPr>
                            <w:sdtContent>
                              <w:r>
                                <w:rPr>
                                  <w:rFonts w:eastAsia="Calibri"/>
                                  <w:szCs w:val="24"/>
                                </w:rPr>
                                <w:t>p</w:t>
                              </w:r>
                            </w:sdtContent>
                          </w:sdt>
                          <w:r>
                            <w:rPr>
                              <w:rFonts w:eastAsia="Calibri"/>
                              <w:szCs w:val="24"/>
                            </w:rPr>
                            <w:t>) vandenilio perdavimo tinklo</w:t>
                          </w:r>
                          <w:r>
                            <w:rPr>
                              <w:rFonts w:ascii="Calibri" w:eastAsia="Calibri" w:hAnsi="Calibri"/>
                              <w:sz w:val="22"/>
                              <w:szCs w:val="22"/>
                            </w:rPr>
                            <w:t xml:space="preserve"> </w:t>
                          </w:r>
                          <w:r>
                            <w:rPr>
                              <w:rFonts w:eastAsia="Calibri"/>
                              <w:szCs w:val="24"/>
                            </w:rPr>
                            <w:t>operatoriaus valdomi Lietuvos vandenilio perdavimo tinklo dispečerinio valdymo centras, vamzdynas, kompresorių stočių, skirstymo stočių ir tarpvalstybinių apskaitos stočių pagrindinė technologinė įranga, reikalinga vandenilio perdavimo funkcijai atlikti.“</w:t>
                          </w:r>
                        </w:p>
                        <w:p>
                          <w:pPr>
                            <w:ind w:firstLine="709"/>
                            <w:jc w:val="both"/>
                            <w:rPr>
                              <w:rFonts w:eastAsia="Calibri"/>
                              <w:szCs w:val="24"/>
                            </w:rPr>
                          </w:pPr>
                        </w:p>
                      </w:sdtContent>
                    </w:sdt>
                  </w:sdtContent>
                </w:sdt>
              </w:sdtContent>
            </w:sdt>
          </w:sdtContent>
        </w:sdt>
        <w:sdt>
          <w:sdtPr>
            <w:alias w:val="4 str."/>
            <w:tag w:val="part_446b914f4a8846ccbd802fe704c8ae71"/>
            <w:lock w:val="sdtLocked"/>
            <w:richText/>
          </w:sdtPr>
          <w:sdtContent>
            <w:p>
              <w:pPr>
                <w:ind w:firstLine="709"/>
                <w:jc w:val="both"/>
                <w:rPr>
                  <w:rFonts w:eastAsia="Calibri"/>
                  <w:b/>
                  <w:szCs w:val="24"/>
                </w:rPr>
              </w:pPr>
              <w:sdt>
                <w:sdtPr>
                  <w:alias w:val="Numeris"/>
                  <w:tag w:val="nr_446b914f4a8846ccbd802fe704c8ae71"/>
                  <w:lock w:val="sdtLocked"/>
                  <w:richText/>
                </w:sdtPr>
                <w:sdtContent>
                  <w:r>
                    <w:rPr>
                      <w:rFonts w:eastAsia="Calibri"/>
                      <w:b/>
                      <w:szCs w:val="24"/>
                    </w:rPr>
                    <w:t>4</w:t>
                  </w:r>
                </w:sdtContent>
              </w:sdt>
              <w:r>
                <w:rPr>
                  <w:rFonts w:eastAsia="Calibri"/>
                  <w:b/>
                  <w:szCs w:val="24"/>
                </w:rPr>
                <w:t xml:space="preserve"> straipsnis.</w:t>
              </w:r>
              <w:r>
                <w:rPr>
                  <w:rFonts w:eastAsia="Calibri"/>
                  <w:szCs w:val="24"/>
                </w:rPr>
                <w:t xml:space="preserve"> </w:t>
              </w:r>
              <w:sdt>
                <w:sdtPr>
                  <w:alias w:val="Pavadinimas"/>
                  <w:tag w:val="title_446b914f4a8846ccbd802fe704c8ae71"/>
                  <w:lock w:val="sdtLocked"/>
                  <w:richText/>
                </w:sdtPr>
                <w:sdtContent>
                  <w:r>
                    <w:rPr>
                      <w:rFonts w:eastAsia="Calibri"/>
                      <w:b/>
                      <w:szCs w:val="24"/>
                    </w:rPr>
                    <w:t xml:space="preserve">Įstatymo įsigaliojimas ir </w:t>
                  </w:r>
                  <w:r>
                    <w:rPr>
                      <w:rFonts w:eastAsia="Calibri"/>
                      <w:b/>
                      <w:bCs/>
                      <w:szCs w:val="24"/>
                    </w:rPr>
                    <w:t>įgyvendinimas</w:t>
                  </w:r>
                </w:sdtContent>
              </w:sdt>
            </w:p>
            <w:sdt>
              <w:sdtPr>
                <w:alias w:val="4 str. 1 d."/>
                <w:tag w:val="part_a30d2a186638409f8175040c9fe8d3d0"/>
                <w:lock w:val="sdtLocked"/>
                <w:richText/>
              </w:sdtPr>
              <w:sdtContent>
                <w:p>
                  <w:pPr>
                    <w:ind w:firstLine="709"/>
                    <w:jc w:val="both"/>
                    <w:rPr>
                      <w:szCs w:val="24"/>
                    </w:rPr>
                  </w:pPr>
                  <w:sdt>
                    <w:sdtPr>
                      <w:alias w:val="Numeris"/>
                      <w:tag w:val="nr_a30d2a186638409f8175040c9fe8d3d0"/>
                      <w:lock w:val="sdtLocked"/>
                      <w:richText/>
                    </w:sdtPr>
                    <w:sdtContent>
                      <w:r>
                        <w:rPr>
                          <w:szCs w:val="24"/>
                        </w:rPr>
                        <w:t>1</w:t>
                      </w:r>
                    </w:sdtContent>
                  </w:sdt>
                  <w:r>
                    <w:rPr>
                      <w:szCs w:val="24"/>
                    </w:rPr>
                    <w:t>. Šis įstatymas, išskyrus šio straipsnio 2 dalį, įsigalioja 2027 m. sausio 1 d.</w:t>
                  </w:r>
                </w:p>
              </w:sdtContent>
            </w:sdt>
            <w:sdt>
              <w:sdtPr>
                <w:alias w:val="4 str. 2 d."/>
                <w:tag w:val="part_a112f01387e546e8a265b99c1effdf1f"/>
                <w:lock w:val="sdtLocked"/>
                <w:richText/>
              </w:sdtPr>
              <w:sdtContent>
                <w:p>
                  <w:pPr>
                    <w:ind w:firstLine="709"/>
                    <w:jc w:val="both"/>
                    <w:rPr>
                      <w:szCs w:val="24"/>
                    </w:rPr>
                  </w:pPr>
                  <w:sdt>
                    <w:sdtPr>
                      <w:alias w:val="Numeris"/>
                      <w:tag w:val="nr_a112f01387e546e8a265b99c1effdf1f"/>
                      <w:lock w:val="sdtLocked"/>
                      <w:richText/>
                    </w:sdtPr>
                    <w:sdtContent>
                      <w:r>
                        <w:rPr>
                          <w:szCs w:val="24"/>
                        </w:rPr>
                        <w:t>2</w:t>
                      </w:r>
                    </w:sdtContent>
                  </w:sdt>
                  <w:r>
                    <w:rPr>
                      <w:szCs w:val="24"/>
                    </w:rPr>
                    <w:t>. Lietuvos Respublikos Vyriausybė iki 2026 m. gruodžio 31 d. priima šio įstatymo įgyvendinamuosius teisės aktus.</w:t>
                  </w:r>
                </w:p>
                <w:p>
                  <w:pPr>
                    <w:rPr>
                      <w:rFonts w:eastAsia="Calibri"/>
                      <w:i/>
                      <w:szCs w:val="24"/>
                    </w:rPr>
                  </w:pPr>
                </w:p>
                <w:p>
                  <w:pPr>
                    <w:rPr>
                      <w:rFonts w:eastAsia="Calibri"/>
                      <w:i/>
                      <w:szCs w:val="24"/>
                    </w:rPr>
                  </w:pPr>
                </w:p>
              </w:sdtContent>
            </w:sdt>
          </w:sdtContent>
        </w:sdt>
        <w:sdt>
          <w:sdtPr>
            <w:alias w:val="signatura"/>
            <w:tag w:val="part_cbb95dd8be8b4db88281cfdb4194ad13"/>
            <w:lock w:val="sdtLocked"/>
            <w:richText/>
          </w:sdtPr>
          <w:sdtContent>
            <w:p>
              <w:pPr>
                <w:ind w:firstLine="567"/>
                <w:rPr>
                  <w:rFonts w:eastAsia="Calibri"/>
                  <w:i/>
                  <w:szCs w:val="24"/>
                </w:rPr>
              </w:pPr>
              <w:r>
                <w:rPr>
                  <w:rFonts w:eastAsia="Calibri"/>
                  <w:i/>
                  <w:szCs w:val="24"/>
                </w:rPr>
                <w:t>Skelbiu šį Lietuvos Respublikos Seimo priimtą įstatymą.</w:t>
              </w:r>
            </w:p>
            <w:p>
              <w:pPr>
                <w:rPr>
                  <w:rFonts w:eastAsia="Calibri"/>
                  <w:iCs/>
                  <w:szCs w:val="24"/>
                </w:rPr>
              </w:pPr>
            </w:p>
            <w:p>
              <w:pPr>
                <w:rPr>
                  <w:rFonts w:eastAsia="Calibri"/>
                  <w:iCs/>
                  <w:szCs w:val="24"/>
                </w:rPr>
              </w:pPr>
            </w:p>
            <w:p>
              <w:pPr>
                <w:rPr>
                  <w:rFonts w:eastAsia="Calibri"/>
                  <w:szCs w:val="24"/>
                </w:rPr>
              </w:pPr>
              <w:r>
                <w:rPr>
                  <w:rFonts w:eastAsia="Calibri"/>
                  <w:szCs w:val="24"/>
                </w:rPr>
                <w:t xml:space="preserve">Respublikos Prezidentas </w:t>
              </w:r>
            </w:p>
            <w:p>
              <w:pPr>
                <w:rPr>
                  <w:rFonts w:eastAsia="Calibri"/>
                  <w:szCs w:val="24"/>
                </w:rPr>
              </w:pPr>
            </w:p>
            <w:p/>
          </w:sdtContent>
        </w:sdt>
      </w:sdtContent>
    </w:sdt>
    <w:sectPr>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200247B"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w:instrText>
    </w:r>
    <w:r>
      <w:fldChar w:fldCharType="separate"/>
    </w:r>
    <w:r>
      <w:t>2</w:t>
    </w:r>
    <w:r>
      <w:fldChar w:fldCharType="end"/>
    </w:r>
  </w:p>
  <w:p>
    <w:pPr>
      <w:framePr w:wrap="auto" w:vAnchor="text" w:hAnchor="page" w:x="6337" w:y="15"/>
      <w:tabs>
        <w:tab w:val="center" w:pos="4153"/>
        <w:tab w:val="right" w:pos="8306"/>
      </w:tabs>
      <w:rPr>
        <w:lang w:val="en-US"/>
      </w:rPr>
    </w:pP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DateAndTime/>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5621"/>
  </w:rsids>
  <m:mathPr>
    <m:mathFont m:val="Cambria Math"/>
    <m:brkBin m:val="before"/>
    <m:brkBinSub m:val="--"/>
    <m:smallFrac m:val="0"/>
    <m:dispDef/>
    <m:lMargin m:val="0"/>
    <m:rMargin m:val="0"/>
    <m:defJc m:val="centerGroup"/>
    <m:wrapIndent m:val="1440"/>
    <m:intLim m:val="subSup"/>
    <m:naryLim m:val="undOvr"/>
  </m:mathPr>
  <w:themeFontLang w:val="lt-LT" w:eastAsia="zh-TW"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docId w15:val="{B468D358-9388-4FC0-97E6-1FE317F8BB2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31939366">
      <w:bodyDiv w:val="1"/>
      <w:marLeft w:val="0"/>
      <w:marRight w:val="0"/>
      <w:marTop w:val="0"/>
      <w:marBottom w:val="0"/>
      <w:divBdr>
        <w:top w:val="none" w:sz="0" w:space="0" w:color="auto"/>
        <w:left w:val="none" w:sz="0" w:space="0" w:color="auto"/>
        <w:bottom w:val="none" w:sz="0" w:space="0" w:color="auto"/>
        <w:right w:val="none" w:sz="0" w:space="0" w:color="auto"/>
      </w:divBdr>
    </w:div>
    <w:div w:id="1293439083">
      <w:bodyDiv w:val="1"/>
      <w:marLeft w:val="0"/>
      <w:marRight w:val="0"/>
      <w:marTop w:val="0"/>
      <w:marBottom w:val="0"/>
      <w:divBdr>
        <w:top w:val="none" w:sz="0" w:space="0" w:color="auto"/>
        <w:left w:val="none" w:sz="0" w:space="0" w:color="auto"/>
        <w:bottom w:val="none" w:sz="0" w:space="0" w:color="auto"/>
        <w:right w:val="none" w:sz="0" w:space="0" w:color="auto"/>
      </w:divBdr>
      <w:divsChild>
        <w:div w:id="1619944347">
          <w:marLeft w:val="0"/>
          <w:marRight w:val="0"/>
          <w:marTop w:val="0"/>
          <w:marBottom w:val="0"/>
          <w:divBdr>
            <w:top w:val="none" w:sz="0" w:space="0" w:color="auto"/>
            <w:left w:val="none" w:sz="0" w:space="0" w:color="auto"/>
            <w:bottom w:val="none" w:sz="0" w:space="0" w:color="auto"/>
            <w:right w:val="none" w:sz="0" w:space="0" w:color="auto"/>
          </w:divBdr>
        </w:div>
      </w:divsChild>
    </w:div>
    <w:div w:id="1606616081">
      <w:bodyDiv w:val="1"/>
      <w:marLeft w:val="0"/>
      <w:marRight w:val="0"/>
      <w:marTop w:val="0"/>
      <w:marBottom w:val="0"/>
      <w:divBdr>
        <w:top w:val="none" w:sz="0" w:space="0" w:color="auto"/>
        <w:left w:val="none" w:sz="0" w:space="0" w:color="auto"/>
        <w:bottom w:val="none" w:sz="0" w:space="0" w:color="auto"/>
        <w:right w:val="none" w:sz="0" w:space="0" w:color="auto"/>
      </w:divBdr>
      <w:divsChild>
        <w:div w:id="141780601">
          <w:marLeft w:val="0"/>
          <w:marRight w:val="0"/>
          <w:marTop w:val="0"/>
          <w:marBottom w:val="0"/>
          <w:divBdr>
            <w:top w:val="none" w:sz="0" w:space="0" w:color="auto"/>
            <w:left w:val="none" w:sz="0" w:space="0" w:color="auto"/>
            <w:bottom w:val="none" w:sz="0" w:space="0" w:color="auto"/>
            <w:right w:val="none" w:sz="0" w:space="0" w:color="auto"/>
          </w:divBdr>
        </w:div>
        <w:div w:id="775372328">
          <w:marLeft w:val="0"/>
          <w:marRight w:val="0"/>
          <w:marTop w:val="0"/>
          <w:marBottom w:val="0"/>
          <w:divBdr>
            <w:top w:val="none" w:sz="0" w:space="0" w:color="auto"/>
            <w:left w:val="none" w:sz="0" w:space="0" w:color="auto"/>
            <w:bottom w:val="none" w:sz="0" w:space="0" w:color="auto"/>
            <w:right w:val="none" w:sz="0" w:space="0" w:color="auto"/>
          </w:divBdr>
        </w:div>
        <w:div w:id="794906383">
          <w:marLeft w:val="0"/>
          <w:marRight w:val="0"/>
          <w:marTop w:val="0"/>
          <w:marBottom w:val="0"/>
          <w:divBdr>
            <w:top w:val="none" w:sz="0" w:space="0" w:color="auto"/>
            <w:left w:val="none" w:sz="0" w:space="0" w:color="auto"/>
            <w:bottom w:val="none" w:sz="0" w:space="0" w:color="auto"/>
            <w:right w:val="none" w:sz="0" w:space="0" w:color="auto"/>
          </w:divBdr>
        </w:div>
      </w:divsChild>
    </w:div>
    <w:div w:id="199964982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9" Type="http://schemas.microsoft.com/office/2019/05/relationships/documenttasks" Target="documenttasks/documenttasks1.xml"/>
  <Relationship Id="rId2" Type="http://schemas.openxmlformats.org/officeDocument/2006/relationships/customXml" Target="../customXml/item2.xml"/>
  <Relationship Id="rId20" Type="http://schemas.openxmlformats.org/officeDocument/2006/relationships/customXml" Target="../customXml/item5.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documenttasks/documenttasks1.xml><?xml version="1.0" encoding="utf-8"?>
<t:Tasks xmlns:t="http://schemas.microsoft.com/office/tasks/2019/documenttasks" xmlns:oel="http://schemas.microsoft.com/office/2019/extlst">
  <t:Task id="{8FDF518F-92FF-44E1-A7AE-29836A82238C}">
    <t:Anchor>
      <t:Comment id="487160906"/>
    </t:Anchor>
    <t:History>
      <t:Event id="{A57C506B-2F37-4116-9399-328BB9F51FE0}" time="2025-07-14T07:37:23.631Z">
        <t:Attribution userId="S::d.radzeviciute@ambergrid.lt::9139f2c8-0d1c-4f41-a314-72ca45fa1281" userProvider="AD" userName="Daiva Radzevičiūtė"/>
        <t:Anchor>
          <t:Comment id="916198176"/>
        </t:Anchor>
        <t:Create/>
      </t:Event>
      <t:Event id="{93DAED19-9705-4552-879E-852B6BA79F20}" time="2025-07-14T07:37:23.631Z">
        <t:Attribution userId="S::d.radzeviciute@ambergrid.lt::9139f2c8-0d1c-4f41-a314-72ca45fa1281" userProvider="AD" userName="Daiva Radzevičiūtė"/>
        <t:Anchor>
          <t:Comment id="916198176"/>
        </t:Anchor>
        <t:Assign userId="S::V.Ladygiene@ambergrid.lt::2dae1e85-f382-4bdd-88f4-48bc6ce29756" userProvider="AD" userName="Vilma Ladygienė"/>
      </t:Event>
      <t:Event id="{F756DF2C-7FFF-4C5F-9333-3FD73C56A0EE}" time="2025-07-14T07:37:23.631Z">
        <t:Attribution userId="S::d.radzeviciute@ambergrid.lt::9139f2c8-0d1c-4f41-a314-72ca45fa1281" userProvider="AD" userName="Daiva Radzevičiūtė"/>
        <t:Anchor>
          <t:Comment id="916198176"/>
        </t:Anchor>
        <t:SetTitle title="@Vilma Ladygienė @Rūta Bastikaitienė"/>
      </t:Event>
    </t:History>
  </t:Task>
</t:Task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6D407E296A106948A0E3F0F54127E0C7" ma:contentTypeVersion="18" ma:contentTypeDescription="Kurkite naują dokumentą." ma:contentTypeScope="" ma:versionID="20f78471e86f2177d65b2f1c233d35c4">
  <xsd:schema xmlns:xsd="http://www.w3.org/2001/XMLSchema" xmlns:xs="http://www.w3.org/2001/XMLSchema" xmlns:p="http://schemas.microsoft.com/office/2006/metadata/properties" xmlns:ns2="0923b218-0f9e-43cd-be6f-01374eb3c24a" xmlns:ns3="f342d7bc-d160-4551-b9ef-b032839a489c" targetNamespace="http://schemas.microsoft.com/office/2006/metadata/properties" ma:root="true" ma:fieldsID="ccfd9b658f8b92b72507019f7fe6ea63" ns2:_="" ns3:_="">
    <xsd:import namespace="0923b218-0f9e-43cd-be6f-01374eb3c24a"/>
    <xsd:import namespace="f342d7bc-d160-4551-b9ef-b032839a489c"/>
    <xsd:element name="properties">
      <xsd:complexType>
        <xsd:sequence>
          <xsd:element name="documentManagement">
            <xsd:complexType>
              <xsd:all>
                <xsd:element ref="ns2:MediaServiceMetadata" minOccurs="0"/>
                <xsd:element ref="ns2:MediaServiceFastMetadata" minOccurs="0"/>
                <xsd:element ref="ns2:MediaServiceOCR" minOccurs="0"/>
                <xsd:element ref="ns2:MediaServiceGenerationTime" minOccurs="0"/>
                <xsd:element ref="ns2:MediaServiceEventHashCode" minOccurs="0"/>
                <xsd:element ref="ns2:MediaServiceDateTaken" minOccurs="0"/>
                <xsd:element ref="ns2:MediaServiceAutoKeyPoints" minOccurs="0"/>
                <xsd:element ref="ns2:MediaServiceKeyPoints" minOccurs="0"/>
                <xsd:element ref="ns2:MediaServiceLocation" minOccurs="0"/>
                <xsd:element ref="ns3:SharedWithUsers" minOccurs="0"/>
                <xsd:element ref="ns3:SharedWithDetails" minOccurs="0"/>
                <xsd:element ref="ns2:MediaLengthInSeconds" minOccurs="0"/>
                <xsd:element ref="ns2:lcf76f155ced4ddcb4097134ff3c332f" minOccurs="0"/>
                <xsd:element ref="ns3:TaxCatchAll" minOccurs="0"/>
                <xsd:element ref="ns2:MediaServiceSearchPropertie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923b218-0f9e-43cd-be6f-01374eb3c24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CR" ma:index="10" nillable="true" ma:displayName="Extracted Text" ma:internalName="MediaServiceOCR" ma:readOnly="true">
      <xsd:simpleType>
        <xsd:restriction base="dms:Note">
          <xsd:maxLength value="255"/>
        </xsd:restriction>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Location" ma:index="16" nillable="true" ma:displayName="Location" ma:internalName="MediaServiceLocation"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Vaizdų žymės" ma:readOnly="false" ma:fieldId="{5cf76f15-5ced-4ddc-b409-7134ff3c332f}" ma:taxonomyMulti="true" ma:sspId="08049582-af26-4f7a-a98f-3d23221832af" ma:termSetId="09814cd3-568e-fe90-9814-8d621ff8fb84" ma:anchorId="fba54fb3-c3e1-fe81-a776-ca4b69148c4d" ma:open="true" ma:isKeyword="false">
      <xsd:complexType>
        <xsd:sequence>
          <xsd:element ref="pc:Terms" minOccurs="0" maxOccurs="1"/>
        </xsd:sequence>
      </xsd:complex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342d7bc-d160-4551-b9ef-b032839a489c" elementFormDefault="qualified">
    <xsd:import namespace="http://schemas.microsoft.com/office/2006/documentManagement/types"/>
    <xsd:import namespace="http://schemas.microsoft.com/office/infopath/2007/PartnerControls"/>
    <xsd:element name="SharedWithUsers" ma:index="17"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Bendrinta su išsamia informacija" ma:internalName="SharedWithDetails" ma:readOnly="true">
      <xsd:simpleType>
        <xsd:restriction base="dms:Note">
          <xsd:maxLength value="255"/>
        </xsd:restriction>
      </xsd:simpleType>
    </xsd:element>
    <xsd:element name="TaxCatchAll" ma:index="22" nillable="true" ma:displayName="Taxonomy Catch All stulpelis" ma:hidden="true" ma:list="{b4081e89-290a-4a5c-b1ac-2000acd064d3}" ma:internalName="TaxCatchAll" ma:showField="CatchAllData" ma:web="f342d7bc-d160-4551-b9ef-b032839a489c">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TaxCatchAll xmlns="f342d7bc-d160-4551-b9ef-b032839a489c" xsi:nil="true"/>
    <lcf76f155ced4ddcb4097134ff3c332f xmlns="0923b218-0f9e-43cd-be6f-01374eb3c24a">
      <Terms xmlns="http://schemas.microsoft.com/office/infopath/2007/PartnerControls"/>
    </lcf76f155ced4ddcb4097134ff3c332f>
  </documentManagement>
</p:properties>
</file>

<file path=customXml/item3.xml><?xml version="1.0" encoding="utf-8"?>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e0a61d4c36624cdc8abac60f3948ade2" PartId="0a8e5546f3084873990b665f997f2349">
    <Part Type="straipsnis" Nr="1" Abbr="1 str." Title="5 straipsnio pakeitimas" DocPartId="bebdf657841847638e60565061fc854c" PartId="09619cc2e5d245d5a04693578d94aa05">
      <Part Type="strDalis" Nr="1" Abbr="1 str. 1 d." DocPartId="5d76f994026b49edae6d216979113a45" PartId="ba0d9f23ffe34602a99206f0a82f2ec1">
        <Part Type="citata" DocPartId="d5393e758e39469490476f95982291dd" PartId="3c4554cba4424241bfd5a3b5a57f9dd5">
          <Part Type="straipsnis" Nr="5" Abbr="5 str." Title="Operatorių, valdančių nacionaliniam saugumui užtikrinti svarbius įrenginius ir turtą, teisių įgyvendinimas" DocPartId="7d376218a17243f4943c31e9ecfca61d" PartId="b5672cabe2434260b9415465e93fef30">
            <Part Type="strDalis" Nr="1" Abbr="5 str. 1 d." DocPartId="ff03f0949ad64dd6a253c7dde7a3309f" PartId="369c82117651462c9663ac56c210aade">
              <Part Type="strPunktas" Nr="1" Abbr="5 str. 1 d. 1 p." DocPartId="2d1460402db24c2c9543ac7edb3c85b9" PartId="ebff86046bf24badacd7225121c1012f"/>
              <Part Type="strPunktas" Nr="2" Abbr="5 str. 1 d. 2 p." DocPartId="7d296896ba94477b88b32982c094c366" PartId="a26a31dda6824fe9b94c2204b47a45fa"/>
              <Part Type="strPunktas" Nr="3" Abbr="5 str. 1 d. 3 p." DocPartId="24e7623dc7d94823a362a7e877b63e51" PartId="fc882aae34d1406abd7cf0df5f82ea66"/>
              <Part Type="strPunktas" Nr="4" Abbr="5 str. 1 d. 4 p." DocPartId="2f52afb366fb482c8cf55cc5893e1cd0" PartId="e1cb2eb9630d49d69e4c39a68f0d6923"/>
              <Part Type="strPunktas" Nr="5" Abbr="5 str. 1 d. 5 p." DocPartId="42168ae4df4c4e10880a432431643f65" PartId="7a1d4c1ed4714a26a731c2386fba9f21"/>
            </Part>
          </Part>
        </Part>
      </Part>
    </Part>
    <Part Type="straipsnis" Nr="2" Abbr="2 str." Title="Įstatymo 2 priedo pakeitimas" DocPartId="db8eb6f4b273480897884b9ffbb1b628" PartId="9e5cadda59a443ae830898bc54865786">
      <Part Type="strDalis" Nr="1" Abbr="2 str. 1 d." DocPartId="73e5f24ff1ff443bbf0b8f4c60ef7f1d" PartId="ea1d32c407924c94b03b09e37939401d">
        <Part Type="citata" DocPartId="1f7b3784e0724056b0674bc91cdc25e6" PartId="c674c08299e34211a400b0ab41011c64">
          <Part Type="strDalis" Nr="2" Abbr="2 d." DocPartId="bbaee7651e164a55b31c23d4572304a6" PartId="bd7656d3e01e40a38a665e0ee4444f32"/>
        </Part>
      </Part>
      <Part Type="strDalis" Nr="2" Abbr="2 str. 2 d." DocPartId="5e4b964ab847402d8dfa8bdbbf507578" PartId="392430dfc1a44632a0e14858a11fb9d5">
        <Part Type="citata" DocPartId="2cf92ffd18a9487693582934715b6c52" PartId="82ecff192447427a8bb8fd779b963ce0">
          <Part Type="strDalis" Nr="11" Abbr="11 d." DocPartId="d408db81c33c4e4e9d6490de08818fa2" PartId="96582755c38246bf907e1ae5b0182c9f"/>
        </Part>
      </Part>
      <Part Type="strDalis" Nr="3" Abbr="2 str. 3 d." DocPartId="d16939022c7241d4a11bebcca8850f64" PartId="3274838df00d44f4a60d3ed84b5d8586">
        <Part Type="citata" DocPartId="0efd6b7b0a62497699ac346eb5327f27" PartId="42e3b55f6bf94dc7ae681306602453c9">
          <Part Type="strDalis" Nr="24" Abbr="24 d." DocPartId="f6d7818dd13a4f1cb7faa2d8a1d06f15" PartId="98a4786785ea4e7d97d95a2c9f63549b"/>
        </Part>
      </Part>
    </Part>
    <Part Type="straipsnis" Nr="3" Abbr="3 str." Title="Įstatymo 4 priedo pakeitimas" DocPartId="1988f68856eb481daae8a30d719c67b2" PartId="d09dd4d2e9244e9792b6c34c713c3f6d">
      <Part Type="strDalis" Nr="1" Abbr="3 str. 1 d." DocPartId="8dfd9156e51f44699f9f9b471e5703d1" PartId="71bfd8d4ac7f427c9f79de65706e6370">
        <Part Type="citata" DocPartId="81bf71c6d2ce47d885cb69a4ff9d6e9e" PartId="c476ebe515824f1d90695f0351f09333">
          <Part Type="strPapunktis" Nr="p" Abbr="p pp." DocPartId="2534222acafe4c67addf8054051551af" PartId="3dfbd7f268714340a9d728ec0a3dae35"/>
        </Part>
      </Part>
    </Part>
    <Part Type="straipsnis" Nr="4" Abbr="4 str." Title="Įstatymo įsigaliojimas ir įgyvendinimas" DocPartId="83bdd70a51c949c7993406af03e59e86" PartId="446b914f4a8846ccbd802fe704c8ae71">
      <Part Type="strDalis" Nr="1" Abbr="4 str. 1 d." DocPartId="5b864de8a7f047c991775bc57a494193" PartId="a30d2a186638409f8175040c9fe8d3d0"/>
      <Part Type="strDalis" Nr="2" Abbr="4 str. 2 d." DocPartId="09783fbf85824129a5137caa0e3f3217" PartId="a112f01387e546e8a265b99c1effdf1f"/>
    </Part>
    <Part Type="signatura" DocPartId="6eff3371b1ce4e01b50b15ee5d33c531" PartId="cbb95dd8be8b4db88281cfdb4194ad13"/>
  </Part>
</Parts>
</file>

<file path=customXml/itemProps1.xml><?xml version="1.0" encoding="utf-8"?>
<ds:datastoreItem xmlns:ds="http://schemas.openxmlformats.org/officeDocument/2006/customXml" ds:itemID="{DCAA5219-844B-425F-AA3E-2C1341BF53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923b218-0f9e-43cd-be6f-01374eb3c24a"/>
    <ds:schemaRef ds:uri="f342d7bc-d160-4551-b9ef-b032839a489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9857C32-8E49-46E9-9ABD-7D0F6B2D5459}">
  <ds:schemaRefs>
    <ds:schemaRef ds:uri="http://schemas.microsoft.com/office/2006/metadata/properties"/>
    <ds:schemaRef ds:uri="http://schemas.microsoft.com/office/infopath/2007/PartnerControls"/>
    <ds:schemaRef ds:uri="f342d7bc-d160-4551-b9ef-b032839a489c"/>
    <ds:schemaRef ds:uri="0923b218-0f9e-43cd-be6f-01374eb3c24a"/>
  </ds:schemaRefs>
</ds:datastoreItem>
</file>

<file path=customXml/itemProps3.xml><?xml version="1.0" encoding="utf-8"?>
<ds:datastoreItem xmlns:ds="http://schemas.openxmlformats.org/officeDocument/2006/customXml" ds:itemID="{58E7CD74-93A3-41A0-A371-3AF84C6C9C20}">
  <ds:schemaRefs>
    <ds:schemaRef ds:uri="http://schemas.microsoft.com/sharepoint/v3/contenttype/forms"/>
  </ds:schemaRefs>
</ds:datastoreItem>
</file>

<file path=customXml/itemProps4.xml><?xml version="1.0" encoding="utf-8"?>
<ds:datastoreItem xmlns:ds="http://schemas.openxmlformats.org/officeDocument/2006/customXml" ds:itemID="{2B692579-6EA1-4777-B293-F5C8C15C58CE}">
  <ds:schemaRefs>
    <ds:schemaRef ds:uri="http://schemas.openxmlformats.org/officeDocument/2006/bibliography"/>
  </ds:schemaRefs>
</ds:datastoreItem>
</file>

<file path=customXml/itemProps5.xml><?xml version="1.0" encoding="utf-8"?>
<ds:datastoreItem xmlns:ds="http://schemas.openxmlformats.org/officeDocument/2006/customXml" ds:itemID="{9A2F2226-EBF0-4AE6-BBD9-8810FC203D52}">
  <ds:schemaRefs>
    <ds:schemaRef ds:uri="http://lrs.lt/TAIS/DocParts"/>
  </ds:schemaRefs>
</ds:datastoreItem>
</file>

<file path=docMetadata/LabelInfo.xml><?xml version="1.0" encoding="utf-8"?>
<clbl:labelList xmlns:clbl="http://schemas.microsoft.com/office/2020/mipLabelMetadata">
  <clbl:label id="{190751af-2442-49a7-b7b9-9f0bcce858c9}" enabled="1" method="Privileged" siteId="{ea88e983-d65a-47b3-adb4-3e1c6d2110d2}" removed="0"/>
  <clbl:label id="{40a194c4-decd-49a7-b39f-0e1f771bc324}" enabled="1" method="Privileged" siteId="{e54289c6-b630-4215-acc5-57eec01212d6}" removed="0"/>
  <clbl:label id="{7bce49ad-6e13-4667-9698-89b6274ba9f6}" enabled="0" method="" siteId="{7bce49ad-6e13-4667-9698-89b6274ba9f6}" removed="1"/>
</clbl:labelList>
</file>

<file path=docProps/app.xml><?xml version="1.0" encoding="utf-8"?>
<Properties xmlns="http://schemas.openxmlformats.org/officeDocument/2006/extended-properties" xmlns:vt="http://schemas.openxmlformats.org/officeDocument/2006/docPropsVTypes">
  <Template>Normal.dotm</Template>
  <TotalTime>0</TotalTime>
  <Pages>3</Pages>
  <Words>480</Words>
  <Characters>3565</Characters>
  <Application>Microsoft Office Word</Application>
  <DocSecurity>4</DocSecurity>
  <Lines>74</Lines>
  <Paragraphs>33</Paragraphs>
  <ScaleCrop>false</ScaleCrop>
  <Company/>
  <LinksUpToDate>false</LinksUpToDate>
  <CharactersWithSpaces>4012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2026-07-10T05:31:00Z</dcterms:created>
  <dc:creator>Silvija Čibirienė</dc:creator>
  <lastModifiedBy>adlibuser</lastModifiedBy>
  <lastPrinted>2025-01-08T08:15:00Z</lastPrinted>
  <dcterms:modified xsi:type="dcterms:W3CDTF">2026-07-10T05:31:00Z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320c693d-44b7-4e16-b3dd-4fcd87401cf5_Enabled">
    <vt:lpwstr>True</vt:lpwstr>
  </property>
  <property fmtid="{D5CDD505-2E9C-101B-9397-08002B2CF9AE}" pid="3" name="MSIP_Label_320c693d-44b7-4e16-b3dd-4fcd87401cf5_SiteId">
    <vt:lpwstr>ea88e983-d65a-47b3-adb4-3e1c6d2110d2</vt:lpwstr>
  </property>
  <property fmtid="{D5CDD505-2E9C-101B-9397-08002B2CF9AE}" pid="4" name="MSIP_Label_320c693d-44b7-4e16-b3dd-4fcd87401cf5_Owner">
    <vt:lpwstr>Ugne.Adomaityte@ignitis.lt</vt:lpwstr>
  </property>
  <property fmtid="{D5CDD505-2E9C-101B-9397-08002B2CF9AE}" pid="5" name="MSIP_Label_320c693d-44b7-4e16-b3dd-4fcd87401cf5_SetDate">
    <vt:lpwstr>2021-02-25T14:03:53.2952393Z</vt:lpwstr>
  </property>
  <property fmtid="{D5CDD505-2E9C-101B-9397-08002B2CF9AE}" pid="6" name="MSIP_Label_320c693d-44b7-4e16-b3dd-4fcd87401cf5_Name">
    <vt:lpwstr>Viešo naudojimo</vt:lpwstr>
  </property>
  <property fmtid="{D5CDD505-2E9C-101B-9397-08002B2CF9AE}" pid="7" name="MSIP_Label_320c693d-44b7-4e16-b3dd-4fcd87401cf5_Application">
    <vt:lpwstr>Microsoft Azure Information Protection</vt:lpwstr>
  </property>
  <property fmtid="{D5CDD505-2E9C-101B-9397-08002B2CF9AE}" pid="8" name="MSIP_Label_320c693d-44b7-4e16-b3dd-4fcd87401cf5_ActionId">
    <vt:lpwstr>9e3606a9-8b84-4e85-8f00-857b4379f7bb</vt:lpwstr>
  </property>
  <property fmtid="{D5CDD505-2E9C-101B-9397-08002B2CF9AE}" pid="9" name="MSIP_Label_320c693d-44b7-4e16-b3dd-4fcd87401cf5_Extended_MSFT_Method">
    <vt:lpwstr>Manual</vt:lpwstr>
  </property>
  <property fmtid="{D5CDD505-2E9C-101B-9397-08002B2CF9AE}" pid="10" name="MSIP_Label_190751af-2442-49a7-b7b9-9f0bcce858c9_Enabled">
    <vt:lpwstr>True</vt:lpwstr>
  </property>
  <property fmtid="{D5CDD505-2E9C-101B-9397-08002B2CF9AE}" pid="11" name="MSIP_Label_190751af-2442-49a7-b7b9-9f0bcce858c9_SiteId">
    <vt:lpwstr>ea88e983-d65a-47b3-adb4-3e1c6d2110d2</vt:lpwstr>
  </property>
  <property fmtid="{D5CDD505-2E9C-101B-9397-08002B2CF9AE}" pid="12" name="MSIP_Label_190751af-2442-49a7-b7b9-9f0bcce858c9_Owner">
    <vt:lpwstr>Ugne.Adomaityte@ignitis.lt</vt:lpwstr>
  </property>
  <property fmtid="{D5CDD505-2E9C-101B-9397-08002B2CF9AE}" pid="13" name="MSIP_Label_190751af-2442-49a7-b7b9-9f0bcce858c9_SetDate">
    <vt:lpwstr>2021-02-25T14:03:53.2952393Z</vt:lpwstr>
  </property>
  <property fmtid="{D5CDD505-2E9C-101B-9397-08002B2CF9AE}" pid="14" name="MSIP_Label_190751af-2442-49a7-b7b9-9f0bcce858c9_Name">
    <vt:lpwstr>Be žymos</vt:lpwstr>
  </property>
  <property fmtid="{D5CDD505-2E9C-101B-9397-08002B2CF9AE}" pid="15" name="MSIP_Label_190751af-2442-49a7-b7b9-9f0bcce858c9_Application">
    <vt:lpwstr>Microsoft Azure Information Protection</vt:lpwstr>
  </property>
  <property fmtid="{D5CDD505-2E9C-101B-9397-08002B2CF9AE}" pid="16" name="MSIP_Label_190751af-2442-49a7-b7b9-9f0bcce858c9_ActionId">
    <vt:lpwstr>9e3606a9-8b84-4e85-8f00-857b4379f7bb</vt:lpwstr>
  </property>
  <property fmtid="{D5CDD505-2E9C-101B-9397-08002B2CF9AE}" pid="17" name="MSIP_Label_190751af-2442-49a7-b7b9-9f0bcce858c9_Parent">
    <vt:lpwstr>320c693d-44b7-4e16-b3dd-4fcd87401cf5</vt:lpwstr>
  </property>
  <property fmtid="{D5CDD505-2E9C-101B-9397-08002B2CF9AE}" pid="18" name="MSIP_Label_190751af-2442-49a7-b7b9-9f0bcce858c9_Extended_MSFT_Method">
    <vt:lpwstr>Manual</vt:lpwstr>
  </property>
  <property fmtid="{D5CDD505-2E9C-101B-9397-08002B2CF9AE}" pid="19" name="Sensitivity">
    <vt:lpwstr>Viešo naudojimo Be žymos</vt:lpwstr>
  </property>
  <property fmtid="{D5CDD505-2E9C-101B-9397-08002B2CF9AE}" pid="20" name="ContentTypeId">
    <vt:lpwstr>0x0101006D407E296A106948A0E3F0F54127E0C7</vt:lpwstr>
  </property>
  <property fmtid="{D5CDD505-2E9C-101B-9397-08002B2CF9AE}" pid="21" name="MediaServiceImageTags">
    <vt:lpwstr/>
  </property>
</Properties>
</file>