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008a38851544cd7a9dee93652d6be10"/>
        <w:lock w:val="sdtLocked"/>
        <w:richText/>
      </w:sdtPr>
      <w:sdtContent>
        <w:p w14:paraId="11032EC1" w14:textId="77777777">
          <w:pPr>
            <w:keepNext/>
            <w:widowControl w:val="0"/>
            <w:tabs>
              <w:tab w:val="num" w:pos="0"/>
              <w:tab w:val="left" w:pos="10800"/>
            </w:tabs>
            <w:suppressAutoHyphens/>
            <w:ind w:left="360"/>
            <w:jc w:val="center"/>
            <w:rPr>
              <w:rFonts w:eastAsia="Lucida Sans Unicode"/>
              <w:b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kern w:val="1"/>
              <w:szCs w:val="24"/>
              <w:lang w:eastAsia="ar-SA"/>
            </w:rPr>
            <w:t>ŠIAULIŲ MIESTO SAVIVALDYBĖS TARYBA</w:t>
          </w:r>
        </w:p>
        <w:p w14:paraId="11032EC2" w14:textId="77777777">
          <w:pPr>
            <w:keepNext/>
            <w:widowControl w:val="0"/>
            <w:tabs>
              <w:tab w:val="num" w:pos="0"/>
              <w:tab w:val="left" w:pos="11160"/>
            </w:tabs>
            <w:suppressAutoHyphens/>
            <w:ind w:left="360"/>
            <w:jc w:val="center"/>
            <w:rPr>
              <w:rFonts w:eastAsia="Lucida Sans Unicode"/>
              <w:b/>
              <w:kern w:val="1"/>
              <w:sz w:val="16"/>
              <w:szCs w:val="16"/>
              <w:lang w:eastAsia="ar-SA"/>
            </w:rPr>
          </w:pPr>
        </w:p>
        <w:p w14:paraId="11032EC3" w14:textId="77777777">
          <w:pPr>
            <w:keepNext/>
            <w:widowControl w:val="0"/>
            <w:tabs>
              <w:tab w:val="num" w:pos="0"/>
              <w:tab w:val="left" w:pos="11160"/>
            </w:tabs>
            <w:suppressAutoHyphens/>
            <w:ind w:left="360"/>
            <w:jc w:val="center"/>
            <w:rPr>
              <w:rFonts w:eastAsia="Lucida Sans Unicode"/>
              <w:b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kern w:val="1"/>
              <w:szCs w:val="24"/>
              <w:lang w:eastAsia="ar-SA"/>
            </w:rPr>
            <w:t>SPRENDIMAS</w:t>
          </w:r>
        </w:p>
        <w:p w14:paraId="54D3DBB5" w14:textId="13C0CD4A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kern w:val="1"/>
              <w:szCs w:val="24"/>
              <w:lang w:eastAsia="ar-SA"/>
            </w:rPr>
            <w:t>DĖL PATALPŲ VILNIAUS G. 100-44, ŠIAULIUOSE, PERDAVIMO ŠIAULIŲ PRAMONININKŲ ASOCIACIJAI PANAUDOS SUTARTIMI</w:t>
          </w:r>
        </w:p>
        <w:p w14:paraId="11032EC5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 w:val="16"/>
              <w:szCs w:val="16"/>
              <w:lang w:eastAsia="ar-SA"/>
            </w:rPr>
          </w:pPr>
        </w:p>
        <w:p w14:paraId="11032EC6" w14:textId="044A2EF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ar-SA"/>
            </w:rPr>
          </w:pPr>
          <w:r>
            <w:rPr>
              <w:rFonts w:eastAsia="Lucida Sans Unicode"/>
              <w:kern w:val="1"/>
              <w:szCs w:val="24"/>
              <w:lang w:eastAsia="ar-SA"/>
            </w:rPr>
            <w:t xml:space="preserve">2025 m.                                            d. Nr. T-</w:t>
          </w:r>
        </w:p>
        <w:p w14:paraId="11032EC7" w14:textId="2ECC3A08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ar-SA"/>
            </w:rPr>
          </w:pPr>
          <w:r>
            <w:rPr>
              <w:rFonts w:eastAsia="Lucida Sans Unicode"/>
              <w:kern w:val="1"/>
              <w:szCs w:val="24"/>
              <w:lang w:eastAsia="ar-SA"/>
            </w:rPr>
            <w:t>Šiauliai</w:t>
          </w:r>
        </w:p>
        <w:p w14:paraId="6BDB06C4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ar-SA"/>
            </w:rPr>
          </w:pPr>
        </w:p>
        <w:p w14:paraId="11032EC8" w14:textId="16AD7FEC">
          <w:pPr>
            <w:widowControl w:val="0"/>
            <w:suppressAutoHyphens/>
            <w:rPr>
              <w:rFonts w:eastAsia="Lucida Sans Unicode"/>
              <w:kern w:val="1"/>
              <w:sz w:val="16"/>
              <w:szCs w:val="16"/>
              <w:lang w:eastAsia="ar-SA"/>
            </w:rPr>
          </w:pPr>
        </w:p>
        <w:p w14:paraId="19113A9F" w14:textId="77777777">
          <w:pPr>
            <w:widowControl w:val="0"/>
            <w:suppressAutoHyphens/>
            <w:rPr>
              <w:rFonts w:eastAsia="Lucida Sans Unicode"/>
              <w:kern w:val="1"/>
              <w:sz w:val="16"/>
              <w:szCs w:val="16"/>
              <w:lang w:eastAsia="ar-SA"/>
            </w:rPr>
          </w:pPr>
        </w:p>
        <w:p w14:paraId="11032EC9" w14:textId="77777777">
          <w:pPr>
            <w:widowControl w:val="0"/>
            <w:suppressAutoHyphens/>
            <w:jc w:val="both"/>
            <w:rPr>
              <w:rFonts w:eastAsia="Lucida Sans Unicode"/>
              <w:kern w:val="1"/>
              <w:szCs w:val="24"/>
              <w:lang w:eastAsia="ar-SA"/>
            </w:rPr>
          </w:pPr>
        </w:p>
        <w:sdt>
          <w:sdtPr>
            <w:alias w:val="preambule"/>
            <w:tag w:val="part_d6348e9f057740e28a4f05cf42dc957d"/>
            <w:lock w:val="sdtLocked"/>
            <w:richText/>
          </w:sdtPr>
          <w:sdtContent>
            <w:p w14:paraId="71D792E0" w14:textId="405CE00C">
              <w:pPr>
                <w:widowControl w:val="0"/>
                <w:tabs>
                  <w:tab w:val="left" w:pos="0"/>
                </w:tabs>
                <w:suppressAutoHyphens/>
                <w:ind w:firstLine="720"/>
                <w:jc w:val="both"/>
                <w:rPr>
                  <w:rFonts w:eastAsia="Lucida Sans Unicode"/>
                  <w:spacing w:val="40"/>
                  <w:kern w:val="1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kern w:val="1"/>
                  <w:szCs w:val="24"/>
                  <w:lang w:eastAsia="de-DE" w:bidi="de-DE"/>
                </w:rPr>
                <w:t>Vadovaudamasi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 Lietuvos Respublikos vietos savivaldos įstatymo 15 straipsnio 2 dalies 19 punktu, Lietuvos Respublikos valstybės ir savivaldybių turto valdymo, naudojimo ir disponavimo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 juo įstatymo 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14 straipsnio 1 dalies 3 punktu, įgyvendindama </w:t>
              </w:r>
              <w:r>
                <w:rPr>
                  <w:rFonts w:eastAsia="Lucida Sans Unicode"/>
                  <w:color w:val="000000"/>
                  <w:kern w:val="1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>, 6 punktą, atsižvelgdama į Šiaulių pramonininkų asociacijos 2025-09-30 prašymą Nr. G-8165 ir į Negyvenamųjų pastatų, patalpų ir statinių skirstymo komisijos posėdžio 2025-10-10 protokolą Nr. VM-357, Šiaulių miesto savivaldybės tary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ba </w:t>
              </w:r>
              <w:r>
                <w:rPr>
                  <w:rFonts w:eastAsia="Lucida Sans Unicode"/>
                  <w:spacing w:val="40"/>
                  <w:kern w:val="24"/>
                  <w:szCs w:val="24"/>
                  <w:shd w:val="clear" w:color="auto" w:fill="FFFFFF"/>
                  <w:lang w:eastAsia="ar-SA"/>
                </w:rPr>
                <w:t>n</w:t>
              </w:r>
              <w:r>
                <w:rPr>
                  <w:rFonts w:eastAsia="Lucida Sans Unicode"/>
                  <w:spacing w:val="40"/>
                  <w:kern w:val="24"/>
                  <w:szCs w:val="24"/>
                  <w:lang w:eastAsia="ar-SA"/>
                </w:rPr>
                <w:t>usprendži</w:t>
              </w:r>
              <w:r>
                <w:rPr>
                  <w:rFonts w:eastAsia="Lucida Sans Unicode"/>
                  <w:spacing w:val="40"/>
                  <w:kern w:val="1"/>
                  <w:szCs w:val="24"/>
                  <w:shd w:val="clear" w:color="auto" w:fill="FFFFFF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82c1fde4423b4dcc93c44b753808e0bc"/>
            <w:lock w:val="sdtLocked"/>
            <w:richText/>
          </w:sdtPr>
          <w:sdtContent>
            <w:p w14:paraId="06EF805E" w14:textId="1D47A2E6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82c1fde4423b4dcc93c44b753808e0b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. Perduoti pagal panaudos </w:t>
              </w:r>
              <w:r>
                <w:rPr>
                  <w:color w:val="000000"/>
                  <w:kern w:val="1"/>
                  <w:szCs w:val="24"/>
                  <w:shd w:val="clear" w:color="auto" w:fill="FFFFFF"/>
                  <w:lang w:eastAsia="ar-SA"/>
                </w:rPr>
                <w:t xml:space="preserve">sutartį dešimčiai metų 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Šiaulių pramonininkų </w:t>
              </w:r>
              <w:r>
                <w:rPr>
                  <w:color w:val="000000"/>
                  <w:kern w:val="1"/>
                  <w:szCs w:val="24"/>
                  <w:shd w:val="clear" w:color="auto" w:fill="FFFFFF"/>
                  <w:lang w:eastAsia="ar-SA"/>
                </w:rPr>
                <w:t xml:space="preserve">asociacijai </w:t>
              </w:r>
              <w:r>
                <w:rPr>
                  <w:kern w:val="1"/>
                  <w:szCs w:val="24"/>
                  <w:lang w:eastAsia="ar-SA"/>
                </w:rPr>
                <w:t xml:space="preserve">Šiaulių miesto savivaldybei nuosavybės teise priklausančias 73,70 kv. m ploto negyvenamąsias patalpas, esančias Vilniaus g. 100-44, Šiauliuose, (patalpos unikalus numeris 2995-7018-9013:0045, patalpų pirmame aukšte indeksai ir plotai: 44-5 – 26,34 kv. m, 44-12 – 13,45 kv. m, 44-13 – 18,13 kv. m, bendras plotas ‒ 57,92 kv. m; bendro naudojimo patalpų indeksai: 44-1, 44-2, 44-4, 44-6, 44-7, 44-8, bendras plotas ‒ 15,78 kv. m) 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>asociacijos įstatuose numatytai veiklai vykdyti</w:t>
              </w:r>
              <w:r>
                <w:rPr>
                  <w:kern w:val="1"/>
                  <w:szCs w:val="24"/>
                  <w:lang w:eastAsia="ar-SA"/>
                </w:rPr>
                <w:t xml:space="preserve">. </w:t>
              </w:r>
            </w:p>
          </w:sdtContent>
        </w:sdt>
        <w:sdt>
          <w:sdtPr>
            <w:alias w:val="2 p."/>
            <w:tag w:val="part_3a89aecb508a4d09a7959fecf2fccecd"/>
            <w:lock w:val="sdtLocked"/>
            <w:richText/>
          </w:sdtPr>
          <w:sdtContent>
            <w:p w14:paraId="41E767D8" w14:textId="680037A7">
              <w:pPr>
                <w:widowControl w:val="0"/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rFonts w:cs="Mangal"/>
                  <w:lang w:eastAsia="ar-SA" w:bidi="hi-IN"/>
                </w:rPr>
              </w:pPr>
              <w:sdt>
                <w:sdtPr>
                  <w:alias w:val="Numeris"/>
                  <w:tag w:val="nr_3a89aecb508a4d09a7959fecf2fccecd"/>
                  <w:lock w:val="sdtLocked"/>
                  <w:richText/>
                </w:sdtPr>
                <w:sdtContent>
                  <w:r>
                    <w:rPr>
                      <w:rFonts w:eastAsia="Lucida Sans Unicode" w:cs="Mangal"/>
                      <w:kern w:val="2"/>
                      <w:szCs w:val="21"/>
                      <w:lang w:eastAsia="hi-IN" w:bidi="hi-IN"/>
                    </w:rPr>
                    <w:t>2</w:t>
                  </w:r>
                </w:sdtContent>
              </w:sdt>
              <w:r>
                <w:rPr>
                  <w:rFonts w:eastAsia="Lucida Sans Unicode" w:cs="Mangal"/>
                  <w:kern w:val="2"/>
                  <w:szCs w:val="21"/>
                  <w:lang w:eastAsia="hi-IN" w:bidi="hi-IN"/>
                </w:rPr>
                <w:t>. Įgalioti Šiaulių miesto savivaldybės merą pasirašyti šio sprendimo 1 punkte nurodyto turto perdavimo ir priėmimo aktą ir turto panaudos sutartį.</w:t>
              </w:r>
            </w:p>
            <w:p w14:paraId="1CDC1E8B" w14:textId="3C440744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kern w:val="1"/>
                  <w:szCs w:val="24"/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 g. 81, Šiauliai, arba bet kuriuose Regionų administracinio teismo rūmuose.</w:t>
              </w:r>
            </w:p>
            <w:p w14:paraId="11032ED1" w14:textId="0830D502">
              <w:pPr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416350B6" w14:textId="77777777">
              <w:pPr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7bbce60057304afd931e6ec74cd4cb55"/>
            <w:lock w:val="sdtLocked"/>
            <w:richText/>
          </w:sdtPr>
          <w:sdtContent>
            <w:p w14:paraId="11032EDE" w14:textId="03EA176D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Savivaldybės meras </w:t>
              </w:r>
            </w:p>
          </w:sdtContent>
        </w:sdt>
      </w:sdtContent>
    </w:sdt>
    <w:sectPr>
      <w:headerReference w:type="default" r:id="rId7"/>
      <w:pgSz w:w="11906" w:h="16838"/>
      <w:pgMar w:top="1134" w:right="567" w:bottom="1134" w:left="1701" w:header="0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5B5C62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separator/>
      </w:r>
    </w:p>
  </w:endnote>
  <w:endnote w:type="continuationSeparator" w:id="0">
    <w:p w14:paraId="28C80E74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642775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separator/>
      </w:r>
    </w:p>
  </w:footnote>
  <w:footnote w:type="continuationSeparator" w:id="0">
    <w:p w14:paraId="566FE8D9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032EE3" w14:textId="77777777">
    <w:pPr>
      <w:widowControl w:val="0"/>
      <w:suppressLineNumbers/>
      <w:tabs>
        <w:tab w:val="center" w:pos="4818"/>
        <w:tab w:val="right" w:pos="9637"/>
      </w:tabs>
      <w:suppressAutoHyphens/>
      <w:rPr>
        <w:rFonts w:eastAsia="Lucida Sans Unicode"/>
        <w:b/>
        <w:bCs/>
        <w:kern w:val="1"/>
        <w:szCs w:val="24"/>
        <w:lang w:eastAsia="ar-SA"/>
      </w:rPr>
    </w:pPr>
    <w:r>
      <w:rPr>
        <w:rFonts w:eastAsia="Lucida Sans Unicode"/>
        <w:b/>
        <w:bCs/>
        <w:kern w:val="1"/>
        <w:szCs w:val="24"/>
        <w:lang w:eastAsia="ar-SA"/>
      </w:rPr>
      <w:tab/>
      <w:tab/>
    </w:r>
  </w:p>
  <w:p w14:paraId="11032EE4" w14:textId="77777777">
    <w:pPr>
      <w:widowControl w:val="0"/>
      <w:suppressLineNumbers/>
      <w:tabs>
        <w:tab w:val="center" w:pos="4818"/>
        <w:tab w:val="right" w:pos="9637"/>
      </w:tabs>
      <w:suppressAutoHyphens/>
      <w:jc w:val="right"/>
      <w:rPr>
        <w:rFonts w:eastAsia="Lucida Sans Unicode"/>
        <w:b/>
        <w:bCs/>
        <w:kern w:val="1"/>
        <w:szCs w:val="24"/>
        <w:lang w:eastAsia="ar-SA"/>
      </w:rPr>
    </w:pPr>
  </w:p>
  <w:p w14:paraId="11032EE5" w14:textId="77777777">
    <w:pPr>
      <w:widowControl w:val="0"/>
      <w:suppressLineNumbers/>
      <w:tabs>
        <w:tab w:val="center" w:pos="4818"/>
        <w:tab w:val="right" w:pos="9637"/>
      </w:tabs>
      <w:suppressAutoHyphens/>
      <w:jc w:val="right"/>
      <w:rPr>
        <w:rFonts w:eastAsia="Lucida Sans Unicode"/>
        <w:b/>
        <w:bCs/>
        <w:kern w:val="1"/>
        <w:szCs w:val="24"/>
        <w:shd w:val="clear" w:color="auto" w:fill="FFFFFF"/>
        <w:lang w:eastAsia="ar-SA"/>
      </w:rPr>
    </w:pPr>
    <w:r>
      <w:rPr>
        <w:rFonts w:eastAsia="Lucida Sans Unicode"/>
        <w:b/>
        <w:bCs/>
        <w:kern w:val="1"/>
        <w:szCs w:val="24"/>
        <w:shd w:val="clear" w:color="auto" w:fill="FFFFFF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1032EC1"/>
  <w15:docId w15:val="{27AA21BA-B496-46BD-B658-D8C3C4D3DA9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963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17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64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606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71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2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62886411b754fa5884305c9b7c84a3d" PartId="f008a38851544cd7a9dee93652d6be10">
    <Part Type="preambule" DocPartId="13722aa6626a4fe9ac5981c075dad964" PartId="d6348e9f057740e28a4f05cf42dc957d"/>
    <Part Type="punktas" Nr="1" Abbr="1 p." DocPartId="7c6017b3e3d64b6bbc1d096446143f39" PartId="82c1fde4423b4dcc93c44b753808e0bc"/>
    <Part Type="punktas" Nr="2" Abbr="2 p." DocPartId="04ec2ccd132346f98af9694a7ba086fd" PartId="3a89aecb508a4d09a7959fecf2fccecd"/>
    <Part Type="signatura" DocPartId="d25967568e9d4eac9432f8ad794a4d0b" PartId="7bbce60057304afd931e6ec74cd4cb55"/>
  </Part>
</Parts>
</file>

<file path=customXml/itemProps1.xml><?xml version="1.0" encoding="utf-8"?>
<ds:datastoreItem xmlns:ds="http://schemas.openxmlformats.org/officeDocument/2006/customXml" ds:itemID="{443F89F1-175E-431F-8153-EA361ED1B81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065F675-665D-42A2-B94A-B285FA13F7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282</Words>
  <Characters>1899</Characters>
  <Application>Microsoft Office Word</Application>
  <DocSecurity>4</DocSecurity>
  <Lines>37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SMs</Company>
  <LinksUpToDate>false</LinksUpToDate>
  <CharactersWithSpaces>2170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2025-10-24T10:12:00Z</dcterms:created>
  <dc:creator>a.rinkeviciene</dc:creator>
  <lastModifiedBy>adlibuser</lastModifiedBy>
  <lastPrinted>2018-10-11T12:20:00Z</lastPrinted>
  <dcterms:modified xsi:type="dcterms:W3CDTF">2025-10-24T10:12:00Z</dcterms:modified>
  <revision>2</revision>
</coreProperties>
</file>