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d136e976244b22a4bd244de5ad929a"/>
        <w:lock w:val="sdtLocked"/>
        <w:richText/>
      </w:sdtPr>
      <w:sdtContent>
        <w:p>
          <w:pPr>
            <w:tabs>
              <w:tab w:val="left" w:pos="7655"/>
            </w:tabs>
            <w:ind w:firstLine="7655"/>
            <w:jc w:val="both"/>
            <w:rPr>
              <w:b/>
              <w:bCs/>
              <w:szCs w:val="24"/>
              <w:lang w:eastAsia="lt-LT"/>
            </w:rPr>
          </w:pPr>
          <w:r>
            <w:rPr>
              <w:b/>
              <w:bCs/>
              <w:szCs w:val="24"/>
              <w:lang w:eastAsia="lt-LT"/>
            </w:rPr>
            <w:t>Projektas</w:t>
          </w:r>
        </w:p>
        <w:p>
          <w:pPr>
            <w:tabs>
              <w:tab w:val="left" w:pos="7655"/>
            </w:tabs>
            <w:ind w:firstLine="7655"/>
            <w:jc w:val="both"/>
            <w:rPr>
              <w:szCs w:val="24"/>
              <w:lang w:eastAsia="lt-LT"/>
            </w:rPr>
          </w:pPr>
          <w:r>
            <w:rPr>
              <w:szCs w:val="24"/>
              <w:lang w:eastAsia="lt-LT"/>
            </w:rPr>
            <w:t xml:space="preserve">Nr. TSP-299 (1.2 E)   </w:t>
          </w:r>
        </w:p>
        <w:p>
          <w:pPr>
            <w:ind w:left="720"/>
            <w:jc w:val="center"/>
            <w:rPr>
              <w:b/>
              <w:bCs/>
              <w:szCs w:val="24"/>
              <w:lang w:eastAsia="lt-LT"/>
            </w:rPr>
          </w:pPr>
        </w:p>
        <w:p>
          <w:pPr>
            <w:jc w:val="center"/>
            <w:rPr>
              <w:b/>
              <w:bCs/>
              <w:szCs w:val="24"/>
              <w:lang w:val="x-none" w:eastAsia="x-none"/>
            </w:rPr>
          </w:pPr>
          <w:r>
            <w:rPr>
              <w:b/>
              <w:bCs/>
              <w:szCs w:val="24"/>
              <w:lang w:val="x-none" w:eastAsia="x-none"/>
            </w:rPr>
            <w:t>RADVILIŠKIO RAJONO SAVIVALDYBĖS TARYBA</w:t>
          </w:r>
        </w:p>
        <w:p>
          <w:pPr>
            <w:jc w:val="center"/>
            <w:rPr>
              <w:b/>
              <w:szCs w:val="24"/>
              <w:lang w:eastAsia="x-none"/>
            </w:rPr>
          </w:pPr>
        </w:p>
        <w:p>
          <w:pPr>
            <w:jc w:val="center"/>
            <w:rPr>
              <w:b/>
              <w:szCs w:val="24"/>
              <w:lang w:eastAsia="x-none"/>
            </w:rPr>
          </w:pPr>
          <w:r>
            <w:rPr>
              <w:b/>
              <w:szCs w:val="24"/>
              <w:lang w:eastAsia="x-none"/>
            </w:rPr>
            <w:t>SPRENDIMAS</w:t>
          </w:r>
        </w:p>
        <w:p>
          <w:pPr>
            <w:jc w:val="center"/>
            <w:rPr>
              <w:b/>
              <w:bCs/>
              <w:szCs w:val="24"/>
              <w:lang w:eastAsia="lt-LT"/>
            </w:rPr>
          </w:pPr>
          <w:r>
            <w:rPr>
              <w:b/>
              <w:bCs/>
              <w:szCs w:val="24"/>
              <w:lang w:eastAsia="lt-LT"/>
            </w:rPr>
            <w:t>DĖL PRITARIMO JUNGTINĖS VEIKLOS SUTARTIES „DĖL VIEŠOJO KELEIVINIO TRANSPORTO SISTEMOS EFEKTYVUMO PADIDINIMO RADVILIŠKIO R. SAV., ŠIAULIŲ R. SAV. IR ŠIAULIŲ M. SAV. GYVENTOJAMS“ PASIRAŠYMUI</w:t>
          </w:r>
        </w:p>
        <w:p>
          <w:pPr>
            <w:jc w:val="center"/>
            <w:rPr>
              <w:szCs w:val="24"/>
              <w:lang w:eastAsia="lt-LT"/>
            </w:rPr>
          </w:pPr>
        </w:p>
        <w:p>
          <w:pPr>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keepNext/>
            <w:jc w:val="center"/>
            <w:rPr>
              <w:color w:val="FF0000"/>
              <w:szCs w:val="24"/>
              <w:lang w:eastAsia="lt-LT"/>
            </w:rPr>
          </w:pPr>
        </w:p>
        <w:sdt>
          <w:sdtPr>
            <w:alias w:val="preambule"/>
            <w:tag w:val="part_5e49c47591564c749c0faaf513ef0e8f"/>
            <w:lock w:val="sdtLocked"/>
            <w:richText/>
          </w:sdtPr>
          <w:sdtContent>
            <w:p>
              <w:pPr>
                <w:ind w:firstLine="709"/>
                <w:jc w:val="both"/>
                <w:rPr>
                  <w:szCs w:val="24"/>
                  <w:lang w:eastAsia="lt-LT"/>
                </w:rPr>
              </w:pPr>
              <w:r>
                <w:rPr>
                  <w:szCs w:val="24"/>
                  <w:lang w:eastAsia="lt-LT"/>
                </w:rPr>
                <w:t xml:space="preserve">Vadovaudamasi Lietuvos Respublikos vietos savivaldos įstatymo 5 straipsnio 3 dalimi ir 15 straipsnio 4 dalimi, 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48.2 papunkčiu,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5.2 papunkčiu, atsižvelgdama į Šiaulių regiono plėtros tarybos 2024 m. lapkričio 7 d. raštą Nr. D-164 „Dėl įgaliojimo suteikimo pasirašyti jungtinės veiklos sutartis“, Radviliškio rajono savivaldybės taryba </w:t>
              </w:r>
              <w:r>
                <w:rPr>
                  <w:spacing w:val="40"/>
                  <w:szCs w:val="24"/>
                  <w:lang w:eastAsia="lt-LT"/>
                </w:rPr>
                <w:t>nusprendžia</w:t>
              </w:r>
              <w:r>
                <w:rPr>
                  <w:szCs w:val="24"/>
                  <w:lang w:eastAsia="lt-LT"/>
                </w:rPr>
                <w:t>:</w:t>
              </w:r>
            </w:p>
          </w:sdtContent>
        </w:sdt>
        <w:sdt>
          <w:sdtPr>
            <w:alias w:val="1 p."/>
            <w:tag w:val="part_5d160a5fc3a74fdca0e1f8cd78840da3"/>
            <w:lock w:val="sdtLocked"/>
            <w:richText/>
          </w:sdtPr>
          <w:sdtContent>
            <w:p>
              <w:pPr>
                <w:tabs>
                  <w:tab w:val="left" w:pos="567"/>
                  <w:tab w:val="left" w:pos="993"/>
                </w:tabs>
                <w:suppressAutoHyphens/>
                <w:ind w:firstLine="709"/>
                <w:jc w:val="both"/>
                <w:rPr>
                  <w:szCs w:val="24"/>
                  <w:lang w:eastAsia="lt-LT"/>
                </w:rPr>
              </w:pPr>
              <w:sdt>
                <w:sdtPr>
                  <w:alias w:val="Numeris"/>
                  <w:tag w:val="nr_5d160a5fc3a74fdca0e1f8cd78840da3"/>
                  <w:lock w:val="sdtLocked"/>
                  <w:richText/>
                </w:sdtPr>
                <w:sdtContent>
                  <w:r>
                    <w:rPr>
                      <w:szCs w:val="24"/>
                      <w:lang w:eastAsia="lt-LT"/>
                    </w:rPr>
                    <w:t>1</w:t>
                  </w:r>
                </w:sdtContent>
              </w:sdt>
              <w:r>
                <w:rPr>
                  <w:szCs w:val="24"/>
                  <w:lang w:eastAsia="lt-LT"/>
                </w:rPr>
                <w:t xml:space="preserve">. Pritarti jungtinės veiklos sutarties „Dėl viešojo keleivinio transporto sistemos efektyvumo padidinimo Radviliškio r. sav., Šiaulių r. sav.  ir Šiaulių m. sav. gyventojams“ sudarymui (pridedama).</w:t>
              </w:r>
            </w:p>
          </w:sdtContent>
        </w:sdt>
        <w:sdt>
          <w:sdtPr>
            <w:alias w:val="2 p."/>
            <w:tag w:val="part_47a453aa2e614670bdabb74ad54dab06"/>
            <w:lock w:val="sdtLocked"/>
            <w:richText/>
          </w:sdtPr>
          <w:sdtContent>
            <w:p>
              <w:pPr>
                <w:tabs>
                  <w:tab w:val="left" w:pos="567"/>
                  <w:tab w:val="left" w:pos="993"/>
                </w:tabs>
                <w:suppressAutoHyphens/>
                <w:ind w:firstLine="709"/>
                <w:jc w:val="both"/>
                <w:rPr>
                  <w:szCs w:val="24"/>
                  <w:lang w:eastAsia="lt-LT"/>
                </w:rPr>
              </w:pPr>
              <w:sdt>
                <w:sdtPr>
                  <w:alias w:val="Numeris"/>
                  <w:tag w:val="nr_47a453aa2e614670bdabb74ad54dab06"/>
                  <w:lock w:val="sdtLocked"/>
                  <w:richText/>
                </w:sdtPr>
                <w:sdtContent>
                  <w:r>
                    <w:rPr>
                      <w:szCs w:val="24"/>
                      <w:lang w:eastAsia="lt-LT"/>
                    </w:rPr>
                    <w:t>2</w:t>
                  </w:r>
                </w:sdtContent>
              </w:sdt>
              <w:r>
                <w:rPr>
                  <w:szCs w:val="24"/>
                  <w:lang w:eastAsia="lt-LT"/>
                </w:rPr>
                <w:t>. Įgalioti Radviliškio rajono savivaldybės merą pasirašyti šio sprendimo 1 punkte nurodytą jungtinės veiklos sutartį.</w:t>
              </w:r>
            </w:p>
          </w:sdtContent>
        </w:sdt>
        <w:sdt>
          <w:sdtPr>
            <w:alias w:val="3 p."/>
            <w:tag w:val="part_48eb32d4ba6e4de4ba1fc8b328d52fa4"/>
            <w:lock w:val="sdtLocked"/>
            <w:richText/>
          </w:sdtPr>
          <w:sdtContent>
            <w:p>
              <w:pPr>
                <w:tabs>
                  <w:tab w:val="left" w:pos="851"/>
                  <w:tab w:val="left" w:pos="993"/>
                </w:tabs>
                <w:suppressAutoHyphens/>
                <w:ind w:firstLine="709"/>
                <w:jc w:val="both"/>
                <w:rPr>
                  <w:szCs w:val="24"/>
                  <w:lang w:eastAsia="lt-LT"/>
                </w:rPr>
              </w:pPr>
              <w:sdt>
                <w:sdtPr>
                  <w:alias w:val="Numeris"/>
                  <w:tag w:val="nr_48eb32d4ba6e4de4ba1fc8b328d52fa4"/>
                  <w:lock w:val="sdtLocked"/>
                  <w:richText/>
                </w:sdtPr>
                <w:sdtContent>
                  <w:r>
                    <w:rPr>
                      <w:szCs w:val="24"/>
                      <w:lang w:eastAsia="lt-LT"/>
                    </w:rPr>
                    <w:t>3</w:t>
                  </w:r>
                </w:sdtContent>
              </w:sdt>
              <w:r>
                <w:rPr>
                  <w:szCs w:val="24"/>
                  <w:lang w:eastAsia="lt-LT"/>
                </w:rPr>
                <w:t>.</w:t>
                <w:tab/>
              </w:r>
              <w:r>
                <w:rPr>
                  <w:color w:val="262121"/>
                  <w:szCs w:val="24"/>
                  <w:lang w:eastAsia="lt-LT"/>
                </w:rPr>
                <w:t>Nurodyti, kad šis</w:t>
              </w:r>
              <w:r>
                <w:rPr>
                  <w:szCs w:val="24"/>
                  <w:lang w:eastAsia="lt-LT"/>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jc w:val="both"/>
                <w:rPr>
                  <w:szCs w:val="24"/>
                  <w:lang w:eastAsia="lt-LT"/>
                </w:rPr>
              </w:pPr>
            </w:p>
            <w:p>
              <w:pPr>
                <w:rPr>
                  <w:b/>
                  <w:szCs w:val="24"/>
                  <w:lang w:eastAsia="x-none"/>
                </w:rPr>
              </w:pPr>
            </w:p>
            <w:p>
              <w:pPr>
                <w:rPr>
                  <w:b/>
                  <w:szCs w:val="24"/>
                  <w:lang w:eastAsia="x-none"/>
                </w:rPr>
              </w:pPr>
            </w:p>
            <w:p>
              <w:pPr>
                <w:tabs>
                  <w:tab w:val="left" w:pos="7371"/>
                </w:tabs>
                <w:jc w:val="both"/>
                <w:rPr>
                  <w:szCs w:val="24"/>
                  <w:lang w:eastAsia="lt-LT"/>
                </w:rPr>
              </w:pPr>
              <w:r>
                <w:rPr>
                  <w:szCs w:val="24"/>
                  <w:lang w:eastAsia="lt-LT"/>
                </w:rPr>
                <w:t xml:space="preserve">Savivaldybės meras </w:t>
                <w:tab/>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
          <w:sdtPr>
            <w:alias w:val="skirsnis"/>
            <w:tag w:val="part_f3b04b9ae8e44d5e8488eacf5694a39f"/>
            <w:lock w:val="sdtLocked"/>
            <w:richText/>
          </w:sdtPr>
          <w:sdtContent>
            <w:sdt>
              <w:sdtPr>
                <w:alias w:val="Pavadinimas"/>
                <w:tag w:val="title_f3b04b9ae8e44d5e8488eacf5694a39f"/>
                <w:lock w:val="sdtLocked"/>
                <w:richText/>
              </w:sdtPr>
              <w:sdtContent>
                <w:p>
                  <w:pPr>
                    <w:jc w:val="center"/>
                    <w:rPr>
                      <w:b/>
                      <w:szCs w:val="24"/>
                      <w:lang w:eastAsia="lt-LT"/>
                    </w:rPr>
                  </w:pPr>
                  <w:r>
                    <w:rPr>
                      <w:b/>
                      <w:szCs w:val="24"/>
                      <w:lang w:eastAsia="lt-LT"/>
                    </w:rPr>
                    <w:t>RADVILIŠKIO RAJONO SAVIVALDYBĖS TARYBOS SPRENDIMO PROJEKTO</w:t>
                  </w:r>
                </w:p>
                <w:p>
                  <w:pPr>
                    <w:jc w:val="center"/>
                    <w:rPr>
                      <w:b/>
                      <w:bCs/>
                      <w:szCs w:val="24"/>
                      <w:lang w:eastAsia="lt-LT"/>
                    </w:rPr>
                  </w:pPr>
                  <w:r>
                    <w:rPr>
                      <w:b/>
                      <w:bCs/>
                      <w:szCs w:val="24"/>
                      <w:lang w:eastAsia="lt-LT"/>
                    </w:rPr>
                    <w:t xml:space="preserve">„DĖL PRITARIMO JUNGTINĖS VEIKLOS SUTARTIES „DĖL VIEŠOJO KELEIVINIO TRANSPORTO SISTEMOS EFEKTYVUMO PADIDINIMO RADVILIŠKIO R. SAV., ŠIAULIŲ R. SAV. IR ŠIAULIŲ M. SAV. GYVENTOJAMS“ PASIRAŠYMUI“ </w:t>
                  </w:r>
                </w:p>
                <w:p>
                  <w:pPr>
                    <w:jc w:val="center"/>
                    <w:rPr>
                      <w:b/>
                      <w:szCs w:val="24"/>
                      <w:lang w:eastAsia="lt-LT"/>
                    </w:rPr>
                  </w:pPr>
                  <w:r>
                    <w:rPr>
                      <w:b/>
                      <w:szCs w:val="24"/>
                      <w:lang w:eastAsia="lt-LT"/>
                    </w:rPr>
                    <w:t>AIŠKINAMASIS RAŠTAS</w:t>
                  </w:r>
                </w:p>
              </w:sdtContent>
            </w:sdt>
            <w:p>
              <w:pPr>
                <w:jc w:val="center"/>
                <w:rPr>
                  <w:szCs w:val="24"/>
                  <w:lang w:eastAsia="lt-LT"/>
                </w:rPr>
              </w:pPr>
            </w:p>
            <w:p>
              <w:pPr>
                <w:jc w:val="center"/>
                <w:rPr>
                  <w:szCs w:val="24"/>
                  <w:lang w:eastAsia="lt-LT"/>
                </w:rPr>
              </w:pPr>
              <w:r>
                <w:rPr>
                  <w:szCs w:val="24"/>
                  <w:lang w:eastAsia="lt-LT"/>
                </w:rPr>
                <w:t>2024-11-21</w:t>
              </w:r>
            </w:p>
            <w:p>
              <w:pPr>
                <w:jc w:val="center"/>
                <w:rPr>
                  <w:szCs w:val="24"/>
                  <w:lang w:eastAsia="lt-LT"/>
                </w:rPr>
              </w:pPr>
              <w:r>
                <w:rPr>
                  <w:szCs w:val="24"/>
                  <w:lang w:eastAsia="lt-LT"/>
                </w:rPr>
                <w:t>Radviliškis</w:t>
              </w:r>
            </w:p>
            <w:p>
              <w:pPr>
                <w:jc w:val="both"/>
                <w:rPr>
                  <w:color w:val="FF0000"/>
                  <w:szCs w:val="24"/>
                  <w:lang w:eastAsia="lt-LT"/>
                </w:rPr>
              </w:pPr>
            </w:p>
            <w:sdt>
              <w:sdtPr>
                <w:alias w:val="1 p."/>
                <w:tag w:val="part_c51d7fba2e434378a0258b0221a1fab0"/>
                <w:lock w:val="sdtLocked"/>
                <w:richText/>
              </w:sdtPr>
              <w:sdtContent>
                <w:p>
                  <w:pPr>
                    <w:tabs>
                      <w:tab w:val="left" w:pos="855"/>
                      <w:tab w:val="left" w:pos="1134"/>
                    </w:tabs>
                    <w:suppressAutoHyphens/>
                    <w:ind w:firstLine="567"/>
                    <w:jc w:val="both"/>
                    <w:rPr>
                      <w:szCs w:val="24"/>
                      <w:shd w:val="clear" w:color="auto" w:fill="FFFFFF"/>
                      <w:lang w:eastAsia="lt-LT"/>
                    </w:rPr>
                  </w:pPr>
                  <w:sdt>
                    <w:sdtPr>
                      <w:alias w:val="Numeris"/>
                      <w:tag w:val="nr_c51d7fba2e434378a0258b0221a1fab0"/>
                      <w:lock w:val="sdtLocked"/>
                      <w:richText/>
                    </w:sdtPr>
                    <w:sdtContent>
                      <w:r>
                        <w:rPr>
                          <w:b/>
                          <w:szCs w:val="24"/>
                          <w:lang w:eastAsia="lt-LT"/>
                        </w:rPr>
                        <w:t>1</w:t>
                      </w:r>
                    </w:sdtContent>
                  </w:sdt>
                  <w:r>
                    <w:rPr>
                      <w:b/>
                      <w:szCs w:val="24"/>
                      <w:lang w:eastAsia="lt-LT"/>
                    </w:rPr>
                    <w:t>.</w:t>
                    <w:tab/>
                  </w:r>
                  <w:r>
                    <w:rPr>
                      <w:b/>
                      <w:szCs w:val="24"/>
                      <w:lang w:eastAsia="lt-LT" w:bidi="he-IL"/>
                    </w:rPr>
                    <w:t>Projekto rengimą paskatinusios priežastys, parengto sprendimo projekto tikslai ir uždaviniai</w:t>
                  </w:r>
                  <w:r>
                    <w:rPr>
                      <w:b/>
                      <w:szCs w:val="24"/>
                      <w:lang w:eastAsia="lt-LT"/>
                    </w:rPr>
                    <w:t>.</w:t>
                  </w:r>
                </w:p>
                <w:p>
                  <w:pPr>
                    <w:tabs>
                      <w:tab w:val="left" w:pos="855"/>
                      <w:tab w:val="left" w:pos="1134"/>
                    </w:tabs>
                    <w:ind w:firstLine="567"/>
                    <w:jc w:val="both"/>
                    <w:rPr>
                      <w:szCs w:val="24"/>
                      <w:lang w:eastAsia="lt-LT"/>
                    </w:rPr>
                  </w:pPr>
                  <w:r>
                    <w:rPr>
                      <w:szCs w:val="24"/>
                      <w:lang w:eastAsia="lt-LT"/>
                    </w:rPr>
                    <w:t xml:space="preserve">Parengto tarybos sprendimo projekto tikslas – pritarti jungtinės veiklos sutarties „Dėl viešojo keleivinio transporto sistemos efektyvumo padidinimo Radviliškio r. sav., Šiaulių r. sav.  ir Šiaulių m. sav. gyventojams“ sudarymui (pridedama) ir įgalioti Radviliškio rajono savivaldybės merą pasirašyti šio sprendimo 1 punkte nurodytas jungtinės veiklos sutartis.</w:t>
                  </w:r>
                </w:p>
              </w:sdtContent>
            </w:sdt>
            <w:sdt>
              <w:sdtPr>
                <w:alias w:val="2 p."/>
                <w:tag w:val="part_eb4f6ca00e604aea9fd4730e35bc0436"/>
                <w:lock w:val="sdtLocked"/>
                <w:richText/>
              </w:sdtPr>
              <w:sdtContent>
                <w:p>
                  <w:pPr>
                    <w:tabs>
                      <w:tab w:val="left" w:pos="855"/>
                      <w:tab w:val="left" w:pos="993"/>
                      <w:tab w:val="left" w:pos="1276"/>
                    </w:tabs>
                    <w:suppressAutoHyphens/>
                    <w:ind w:firstLine="567"/>
                    <w:jc w:val="both"/>
                    <w:rPr>
                      <w:szCs w:val="24"/>
                      <w:lang w:eastAsia="lt-LT"/>
                    </w:rPr>
                  </w:pPr>
                  <w:sdt>
                    <w:sdtPr>
                      <w:alias w:val="Numeris"/>
                      <w:tag w:val="nr_eb4f6ca00e604aea9fd4730e35bc0436"/>
                      <w:lock w:val="sdtLocked"/>
                      <w:richText/>
                    </w:sdtPr>
                    <w:sdtContent>
                      <w:r>
                        <w:rPr>
                          <w:b/>
                          <w:szCs w:val="24"/>
                          <w:lang w:eastAsia="lt-LT"/>
                        </w:rPr>
                        <w:t>2</w:t>
                      </w:r>
                    </w:sdtContent>
                  </w:sdt>
                  <w:r>
                    <w:rPr>
                      <w:b/>
                      <w:szCs w:val="24"/>
                      <w:lang w:eastAsia="lt-LT"/>
                    </w:rPr>
                    <w:t>.</w:t>
                    <w:tab/>
                  </w:r>
                  <w:r>
                    <w:rPr>
                      <w:b/>
                      <w:bCs/>
                      <w:szCs w:val="24"/>
                      <w:lang w:eastAsia="lt-LT"/>
                    </w:rPr>
                    <w:t>Projekto iniciatoriai (institucija, asmenys ar piliečių atstovai) ir rengėjai.</w:t>
                  </w:r>
                </w:p>
                <w:p>
                  <w:pPr>
                    <w:tabs>
                      <w:tab w:val="left" w:pos="855"/>
                    </w:tabs>
                    <w:ind w:firstLine="567"/>
                    <w:jc w:val="both"/>
                    <w:rPr>
                      <w:szCs w:val="24"/>
                      <w:lang w:eastAsia="lt-LT"/>
                    </w:rPr>
                  </w:pPr>
                  <w:r>
                    <w:rPr>
                      <w:szCs w:val="24"/>
                      <w:lang w:eastAsia="lt-LT"/>
                    </w:rPr>
                    <w:t>Projekto iniciatorius ir rengėjas – Radviliškio rajono savivaldybės administracijos Investicijų ir turto valdymo skyrius.</w:t>
                  </w:r>
                </w:p>
              </w:sdtContent>
            </w:sdt>
            <w:sdt>
              <w:sdtPr>
                <w:alias w:val="3 p."/>
                <w:tag w:val="part_0053c4b2a2874ccdb91d3c1657e6fa79"/>
                <w:lock w:val="sdtLocked"/>
                <w:richText/>
              </w:sdtPr>
              <w:sdtContent>
                <w:p>
                  <w:pPr>
                    <w:tabs>
                      <w:tab w:val="left" w:pos="855"/>
                      <w:tab w:val="left" w:pos="993"/>
                    </w:tabs>
                    <w:suppressAutoHyphens/>
                    <w:ind w:firstLine="567"/>
                    <w:jc w:val="both"/>
                    <w:rPr>
                      <w:szCs w:val="24"/>
                      <w:lang w:eastAsia="lt-LT"/>
                    </w:rPr>
                  </w:pPr>
                  <w:sdt>
                    <w:sdtPr>
                      <w:alias w:val="Numeris"/>
                      <w:tag w:val="nr_0053c4b2a2874ccdb91d3c1657e6fa79"/>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tabs>
                      <w:tab w:val="left" w:pos="855"/>
                    </w:tabs>
                    <w:ind w:firstLine="567"/>
                    <w:jc w:val="both"/>
                    <w:rPr>
                      <w:iCs/>
                      <w:szCs w:val="24"/>
                      <w:lang w:eastAsia="lt-LT"/>
                    </w:rPr>
                  </w:pPr>
                  <w:r>
                    <w:rPr>
                      <w:iCs/>
                      <w:szCs w:val="24"/>
                      <w:lang w:eastAsia="lt-LT"/>
                    </w:rPr>
                    <w:t xml:space="preserve">Tarybos sprendimo projektas parengtas vadovaujantis: </w:t>
                  </w:r>
                </w:p>
              </w:sdtContent>
            </w:sdt>
            <w:sdt>
              <w:sdtPr>
                <w:alias w:val="1 p."/>
                <w:tag w:val="part_c6b855719033407589d7af4170c34988"/>
                <w:lock w:val="sdtLocked"/>
                <w:richText/>
              </w:sdtPr>
              <w:sdtContent>
                <w:p>
                  <w:pPr>
                    <w:tabs>
                      <w:tab w:val="left" w:pos="855"/>
                    </w:tabs>
                    <w:ind w:firstLine="567"/>
                    <w:jc w:val="both"/>
                    <w:rPr>
                      <w:iCs/>
                      <w:szCs w:val="24"/>
                      <w:lang w:eastAsia="lt-LT"/>
                    </w:rPr>
                  </w:pPr>
                  <w:sdt>
                    <w:sdtPr>
                      <w:alias w:val="Numeris"/>
                      <w:tag w:val="nr_c6b855719033407589d7af4170c34988"/>
                      <w:lock w:val="sdtLocked"/>
                      <w:richText/>
                    </w:sdtPr>
                    <w:sdtContent>
                      <w:r>
                        <w:rPr>
                          <w:iCs/>
                          <w:szCs w:val="24"/>
                          <w:lang w:eastAsia="lt-LT"/>
                        </w:rPr>
                        <w:t>1</w:t>
                      </w:r>
                    </w:sdtContent>
                  </w:sdt>
                  <w:r>
                    <w:rPr>
                      <w:iCs/>
                      <w:szCs w:val="24"/>
                      <w:lang w:eastAsia="lt-LT"/>
                    </w:rPr>
                    <w:t>. Lietuvos Respublikos vietos savivaldos įstatymu;</w:t>
                  </w:r>
                </w:p>
              </w:sdtContent>
            </w:sdt>
            <w:sdt>
              <w:sdtPr>
                <w:alias w:val="2 p."/>
                <w:tag w:val="part_3b69cfd4ff424b009fe10a3aeb0f3520"/>
                <w:lock w:val="sdtLocked"/>
                <w:richText/>
              </w:sdtPr>
              <w:sdtContent>
                <w:p>
                  <w:pPr>
                    <w:tabs>
                      <w:tab w:val="left" w:pos="855"/>
                    </w:tabs>
                    <w:ind w:firstLine="567"/>
                    <w:jc w:val="both"/>
                    <w:rPr>
                      <w:iCs/>
                      <w:szCs w:val="24"/>
                      <w:lang w:eastAsia="lt-LT"/>
                    </w:rPr>
                  </w:pPr>
                  <w:sdt>
                    <w:sdtPr>
                      <w:alias w:val="Numeris"/>
                      <w:tag w:val="nr_3b69cfd4ff424b009fe10a3aeb0f3520"/>
                      <w:lock w:val="sdtLocked"/>
                      <w:richText/>
                    </w:sdtPr>
                    <w:sdtContent>
                      <w:r>
                        <w:rPr>
                          <w:iCs/>
                          <w:szCs w:val="24"/>
                          <w:lang w:eastAsia="lt-LT"/>
                        </w:rPr>
                        <w:t>2</w:t>
                      </w:r>
                    </w:sdtContent>
                  </w:sdt>
                  <w:r>
                    <w:rPr>
                      <w:iCs/>
                      <w:szCs w:val="24"/>
                      <w:lang w:eastAsia="lt-LT"/>
                    </w:rPr>
                    <w:t>. 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48.2 papunkčiu;</w:t>
                  </w:r>
                </w:p>
              </w:sdtContent>
            </w:sdt>
            <w:sdt>
              <w:sdtPr>
                <w:alias w:val="3 p."/>
                <w:tag w:val="part_a0f7ad5f348843679ea7e346a854a0c4"/>
                <w:lock w:val="sdtLocked"/>
                <w:richText/>
              </w:sdtPr>
              <w:sdtContent>
                <w:p>
                  <w:pPr>
                    <w:tabs>
                      <w:tab w:val="left" w:pos="855"/>
                    </w:tabs>
                    <w:ind w:firstLine="567"/>
                    <w:jc w:val="both"/>
                    <w:rPr>
                      <w:iCs/>
                      <w:szCs w:val="24"/>
                      <w:lang w:eastAsia="lt-LT"/>
                    </w:rPr>
                  </w:pPr>
                  <w:sdt>
                    <w:sdtPr>
                      <w:alias w:val="Numeris"/>
                      <w:tag w:val="nr_a0f7ad5f348843679ea7e346a854a0c4"/>
                      <w:lock w:val="sdtLocked"/>
                      <w:richText/>
                    </w:sdtPr>
                    <w:sdtContent>
                      <w:r>
                        <w:rPr>
                          <w:iCs/>
                          <w:szCs w:val="24"/>
                          <w:lang w:eastAsia="lt-LT"/>
                        </w:rPr>
                        <w:t>3</w:t>
                      </w:r>
                    </w:sdtContent>
                  </w:sdt>
                  <w:r>
                    <w:rPr>
                      <w:iCs/>
                      <w:szCs w:val="24"/>
                      <w:lang w:eastAsia="lt-LT"/>
                    </w:rPr>
                    <w:t xml:space="preserve">. </w:t>
                  </w:r>
                  <w:r>
                    <w:rPr>
                      <w:szCs w:val="24"/>
                      <w:lang w:eastAsia="lt-LT"/>
                    </w:rPr>
                    <w:t>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5.2 papunkčiu</w:t>
                  </w:r>
                  <w:r>
                    <w:rPr>
                      <w:iCs/>
                      <w:szCs w:val="24"/>
                      <w:lang w:eastAsia="lt-LT"/>
                    </w:rPr>
                    <w:t>.</w:t>
                  </w:r>
                </w:p>
              </w:sdtContent>
            </w:sdt>
            <w:sdt>
              <w:sdtPr>
                <w:alias w:val="4 p."/>
                <w:tag w:val="part_1073e36da3784029a9ed9e9678548a38"/>
                <w:lock w:val="sdtLocked"/>
                <w:richText/>
              </w:sdtPr>
              <w:sdtContent>
                <w:p>
                  <w:pPr>
                    <w:tabs>
                      <w:tab w:val="left" w:pos="855"/>
                    </w:tabs>
                    <w:ind w:firstLine="567"/>
                    <w:jc w:val="both"/>
                    <w:rPr>
                      <w:iCs/>
                      <w:szCs w:val="24"/>
                      <w:lang w:eastAsia="lt-LT"/>
                    </w:rPr>
                  </w:pPr>
                  <w:sdt>
                    <w:sdtPr>
                      <w:alias w:val="Numeris"/>
                      <w:tag w:val="nr_1073e36da3784029a9ed9e9678548a38"/>
                      <w:lock w:val="sdtLocked"/>
                      <w:richText/>
                    </w:sdtPr>
                    <w:sdtContent>
                      <w:r>
                        <w:rPr>
                          <w:b/>
                          <w:iCs/>
                          <w:szCs w:val="24"/>
                          <w:lang w:eastAsia="lt-LT"/>
                        </w:rPr>
                        <w:t>4</w:t>
                      </w:r>
                    </w:sdtContent>
                  </w:sdt>
                  <w:r>
                    <w:rPr>
                      <w:b/>
                      <w:iCs/>
                      <w:szCs w:val="24"/>
                      <w:lang w:eastAsia="lt-LT"/>
                    </w:rPr>
                    <w:t>.</w:t>
                    <w:tab/>
                  </w:r>
                  <w:r>
                    <w:rPr>
                      <w:b/>
                      <w:bCs/>
                      <w:szCs w:val="24"/>
                      <w:lang w:eastAsia="lt-LT"/>
                    </w:rPr>
                    <w:t>Kokios siūlomos naujos teisinio reguliavimo nuostatos, kokių teigiamų rezultatų laukiama.</w:t>
                  </w:r>
                </w:p>
                <w:p>
                  <w:pPr>
                    <w:tabs>
                      <w:tab w:val="left" w:pos="567"/>
                      <w:tab w:val="left" w:pos="855"/>
                    </w:tabs>
                    <w:ind w:firstLine="567"/>
                    <w:jc w:val="both"/>
                    <w:rPr>
                      <w:szCs w:val="24"/>
                      <w:shd w:val="clear" w:color="auto" w:fill="FFFFFF"/>
                      <w:lang w:eastAsia="lt-LT"/>
                    </w:rPr>
                  </w:pPr>
                  <w:r>
                    <w:rPr>
                      <w:szCs w:val="24"/>
                      <w:shd w:val="clear" w:color="auto" w:fill="FFFFFF"/>
                      <w:lang w:eastAsia="lt-LT"/>
                    </w:rPr>
                    <w:t>Parengtu Savivaldybės tarybos sprendimo projektu pritariama, kad būtų pasirašoma jungtinės veiklos sutartis.</w:t>
                  </w:r>
                </w:p>
                <w:p>
                  <w:pPr>
                    <w:tabs>
                      <w:tab w:val="left" w:pos="567"/>
                      <w:tab w:val="left" w:pos="855"/>
                    </w:tabs>
                    <w:ind w:firstLine="567"/>
                    <w:jc w:val="both"/>
                    <w:rPr>
                      <w:szCs w:val="24"/>
                      <w:shd w:val="clear" w:color="auto" w:fill="FFFFFF"/>
                      <w:lang w:eastAsia="lt-LT"/>
                    </w:rPr>
                  </w:pPr>
                  <w:r>
                    <w:rPr>
                      <w:szCs w:val="24"/>
                      <w:shd w:val="clear" w:color="auto" w:fill="FFFFFF"/>
                      <w:lang w:eastAsia="lt-LT"/>
                    </w:rPr>
                    <w:t xml:space="preserve">Radviliškio rajono savivaldybė pasirašys jungtinės veiklos sutartį „Dėl viešojo keleivinio transporto sistemos efektyvumo padidinimo Radviliškio r. sav., Šiaulių r. sav.  ir Šiaulių m. sav. gyventojams“ su Šiaulių miesto savivaldybe ir Šiaulių rajono savivaldybe ir kartu įgyvendins Strategijoje numatytą tikslą „Pagerinti sąlygas tvariai regiono ekonominei ir socialinei plėtrai“, uždavinį „Padidinti viešojo keleivinio transporto sistemos efektyvumą“ ir neinvesticiniame veiksme Nr. 1.3.3 detalizuotas neinvesticines priemones. Partneriai, veikdami bendrai, keisis informacija, aktualia planuojant viešojo keleivinio transporto efektyvumo didinimą, keisis informacija apie partnerių priimtus sprendimus, susijusius su viešojo keleivinio transporto paslaugų teikimu partnerių savivaldybėse, </w:t>
                  </w:r>
                  <w:r>
                    <w:rPr>
                      <w:iCs/>
                      <w:szCs w:val="24"/>
                      <w:shd w:val="clear" w:color="auto" w:fill="FFFFFF"/>
                      <w:lang w:eastAsia="lt-LT"/>
                    </w:rPr>
                    <w:t xml:space="preserve">viešins elektroninio bilieto sistemą, vykdys gyventojų informavimą, </w:t>
                  </w:r>
                  <w:r>
                    <w:rPr>
                      <w:szCs w:val="24"/>
                      <w:shd w:val="clear" w:color="auto" w:fill="FFFFFF"/>
                      <w:lang w:eastAsia="lt-LT"/>
                    </w:rPr>
                    <w:t>įgyvendins su partnerių viešojo keleivinio transporto paslaugų teikimu susijusias komunikacijos priemones, bendradarbiaus diegiant ir eksploatuojant elektroninio bilieto sistemą partnerių viešajame transporte, organizuos, administruos, bendrafinansuos, eksploatuos ir prižiūrės elektroninio bilieto sistemą, veikiančią Šiaulių miesto, Šiaulių rajono ir Radviliškio rajono savivaldybių viešajame transporte, perduodant ją vienam, partnerių sutarimu parinktam, operatoriui (atsakingi visi partneriai), organizuos ir koordinuos elektroninio bilieto sistemos partnerių viešajame transporte diegimo paslaugos teikėjo parinkimo procesą, teiks informaciją partneriams apie elektroninio bilieto sistemos partnerių viešajame transporte sukūrimo ir diegimo reikšmingas aplinkybes, derins veiksmus su kitais partneriais (koordinuojanti įstaiga – Šiaulių miesto savivaldybė), parinks reikalingus veiksmus ir priemones įdiegtos elektroninio bilieto sistemos viešajame transporte administravimui, eksploatavimui ir priežiūros organizavimui, teiks reikalingą informaciją, rengs ataskaitas ir teiks jas partneriams (koordinuojanti įstaiga – Šiaulių miesto savivaldybė).</w:t>
                  </w:r>
                </w:p>
              </w:sdtContent>
            </w:sdt>
            <w:sdt>
              <w:sdtPr>
                <w:alias w:val="5 p."/>
                <w:tag w:val="part_011a177a0c504823a09f2bc0829ade4e"/>
                <w:lock w:val="sdtLocked"/>
                <w:richText/>
              </w:sdtPr>
              <w:sdtContent>
                <w:p>
                  <w:pPr>
                    <w:tabs>
                      <w:tab w:val="left" w:pos="855"/>
                    </w:tabs>
                    <w:ind w:firstLine="567"/>
                    <w:jc w:val="both"/>
                    <w:rPr>
                      <w:b/>
                      <w:bCs/>
                      <w:szCs w:val="24"/>
                      <w:lang w:eastAsia="lt-LT"/>
                    </w:rPr>
                  </w:pPr>
                  <w:sdt>
                    <w:sdtPr>
                      <w:alias w:val="Numeris"/>
                      <w:tag w:val="nr_011a177a0c504823a09f2bc0829ade4e"/>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pPr>
                    <w:tabs>
                      <w:tab w:val="left" w:pos="855"/>
                    </w:tabs>
                    <w:ind w:firstLine="567"/>
                    <w:jc w:val="both"/>
                    <w:rPr>
                      <w:szCs w:val="24"/>
                      <w:lang w:eastAsia="lt-LT"/>
                    </w:rPr>
                  </w:pPr>
                  <w:r>
                    <w:rPr>
                      <w:szCs w:val="24"/>
                      <w:lang w:eastAsia="lt-LT"/>
                    </w:rPr>
                    <w:t>Neigiamų pasekmių nenumatoma.</w:t>
                  </w:r>
                </w:p>
              </w:sdtContent>
            </w:sdt>
            <w:sdt>
              <w:sdtPr>
                <w:alias w:val="6 p."/>
                <w:tag w:val="part_d5298e6a952244b1a3f6778e4d10ade6"/>
                <w:lock w:val="sdtLocked"/>
                <w:richText/>
              </w:sdtPr>
              <w:sdtContent>
                <w:p>
                  <w:pPr>
                    <w:tabs>
                      <w:tab w:val="left" w:pos="855"/>
                    </w:tabs>
                    <w:ind w:firstLine="567"/>
                    <w:jc w:val="both"/>
                    <w:rPr>
                      <w:szCs w:val="24"/>
                      <w:lang w:eastAsia="lt-LT"/>
                    </w:rPr>
                  </w:pPr>
                  <w:sdt>
                    <w:sdtPr>
                      <w:alias w:val="Numeris"/>
                      <w:tag w:val="nr_d5298e6a952244b1a3f6778e4d10ade6"/>
                      <w:lock w:val="sdtLocked"/>
                      <w:richText/>
                    </w:sdtPr>
                    <w:sdtContent>
                      <w:r>
                        <w:rPr>
                          <w:b/>
                          <w:bCs/>
                          <w:szCs w:val="24"/>
                          <w:lang w:eastAsia="lt-LT"/>
                        </w:rPr>
                        <w:t>6</w:t>
                      </w:r>
                    </w:sdtContent>
                  </w:sdt>
                  <w:r>
                    <w:rPr>
                      <w:b/>
                      <w:bCs/>
                      <w:szCs w:val="24"/>
                      <w:lang w:eastAsia="lt-LT"/>
                    </w:rPr>
                    <w:t>.</w:t>
                  </w:r>
                  <w:r>
                    <w:rPr>
                      <w:szCs w:val="24"/>
                      <w:lang w:eastAsia="lt-LT"/>
                    </w:rPr>
                    <w:t xml:space="preserve"> </w:t>
                  </w:r>
                  <w:r>
                    <w:rPr>
                      <w:b/>
                      <w:bCs/>
                      <w:szCs w:val="24"/>
                      <w:lang w:eastAsia="lt-LT"/>
                    </w:rPr>
                    <w:t xml:space="preserve">Kokius teisės aktus būtina priimti, kokius galiojančius teisės aktus būtina pakeisti ar pripažinti netekusiais galios priėmus sprendimo projektą. </w:t>
                  </w:r>
                </w:p>
                <w:p>
                  <w:pPr>
                    <w:tabs>
                      <w:tab w:val="left" w:pos="855"/>
                    </w:tabs>
                    <w:ind w:firstLine="567"/>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1d9e0fac4cc742ccb12e9ef6c30cb875"/>
                <w:lock w:val="sdtLocked"/>
                <w:richText/>
              </w:sdtPr>
              <w:sdtContent>
                <w:p>
                  <w:pPr>
                    <w:tabs>
                      <w:tab w:val="left" w:pos="855"/>
                    </w:tabs>
                    <w:ind w:firstLine="567"/>
                    <w:jc w:val="both"/>
                    <w:rPr>
                      <w:szCs w:val="24"/>
                      <w:shd w:val="clear" w:color="auto" w:fill="FFFFFF"/>
                      <w:lang w:eastAsia="lt-LT"/>
                    </w:rPr>
                  </w:pPr>
                  <w:sdt>
                    <w:sdtPr>
                      <w:alias w:val="Numeris"/>
                      <w:tag w:val="nr_1d9e0fac4cc742ccb12e9ef6c30cb875"/>
                      <w:lock w:val="sdtLocked"/>
                      <w:richText/>
                    </w:sdtPr>
                    <w:sdtContent>
                      <w:r>
                        <w:rPr>
                          <w:b/>
                          <w:szCs w:val="24"/>
                          <w:lang w:eastAsia="lt-LT"/>
                        </w:rPr>
                        <w:t>7</w:t>
                      </w:r>
                    </w:sdtContent>
                  </w:sdt>
                  <w:r>
                    <w:rPr>
                      <w:b/>
                      <w:szCs w:val="24"/>
                      <w:lang w:eastAsia="lt-LT"/>
                    </w:rPr>
                    <w:t>. Sprendimo projektui įgyvendinti reikalingos lėšos, finansavimo šaltiniai</w:t>
                  </w:r>
                  <w:r>
                    <w:rPr>
                      <w:b/>
                      <w:szCs w:val="24"/>
                      <w:shd w:val="clear" w:color="auto" w:fill="FFFFFF"/>
                      <w:lang w:eastAsia="lt-LT"/>
                    </w:rPr>
                    <w:t>.</w:t>
                  </w:r>
                </w:p>
                <w:p>
                  <w:pPr>
                    <w:tabs>
                      <w:tab w:val="left" w:pos="855"/>
                    </w:tabs>
                    <w:ind w:firstLine="629"/>
                    <w:jc w:val="both"/>
                    <w:rPr>
                      <w:szCs w:val="24"/>
                      <w:lang w:eastAsia="lt-LT"/>
                    </w:rPr>
                  </w:pPr>
                  <w:r>
                    <w:rPr>
                      <w:szCs w:val="24"/>
                      <w:lang w:eastAsia="lt-LT"/>
                    </w:rPr>
                    <w:t>Nenumatoma.</w:t>
                  </w:r>
                </w:p>
              </w:sdtContent>
            </w:sdt>
            <w:sdt>
              <w:sdtPr>
                <w:alias w:val="8 p."/>
                <w:tag w:val="part_33e329d2742d4044adbf6ca15598ae13"/>
                <w:lock w:val="sdtLocked"/>
                <w:richText/>
              </w:sdtPr>
              <w:sdtContent>
                <w:p>
                  <w:pPr>
                    <w:tabs>
                      <w:tab w:val="left" w:pos="855"/>
                      <w:tab w:val="left" w:pos="1200"/>
                    </w:tabs>
                    <w:ind w:firstLine="567"/>
                    <w:jc w:val="both"/>
                    <w:rPr>
                      <w:b/>
                      <w:szCs w:val="24"/>
                      <w:lang w:eastAsia="lt-LT"/>
                    </w:rPr>
                  </w:pPr>
                  <w:sdt>
                    <w:sdtPr>
                      <w:alias w:val="Numeris"/>
                      <w:tag w:val="nr_33e329d2742d4044adbf6ca15598ae13"/>
                      <w:lock w:val="sdtLocked"/>
                      <w:richText/>
                    </w:sdtPr>
                    <w:sdtContent>
                      <w:r>
                        <w:rPr>
                          <w:b/>
                          <w:szCs w:val="24"/>
                          <w:lang w:eastAsia="lt-LT"/>
                        </w:rPr>
                        <w:t>8</w:t>
                      </w:r>
                    </w:sdtContent>
                  </w:sdt>
                  <w:r>
                    <w:rPr>
                      <w:b/>
                      <w:szCs w:val="24"/>
                      <w:lang w:eastAsia="lt-LT"/>
                    </w:rPr>
                    <w:t>. Sprendimo projekto rengimo metu gauti specialistų vertinimai ir išvados.</w:t>
                  </w:r>
                </w:p>
                <w:p>
                  <w:pPr>
                    <w:tabs>
                      <w:tab w:val="left" w:pos="855"/>
                      <w:tab w:val="left" w:pos="1200"/>
                    </w:tabs>
                    <w:ind w:firstLine="567"/>
                    <w:jc w:val="both"/>
                    <w:rPr>
                      <w:bCs/>
                      <w:szCs w:val="24"/>
                      <w:lang w:eastAsia="lt-LT"/>
                    </w:rPr>
                  </w:pPr>
                  <w:r>
                    <w:rPr>
                      <w:bCs/>
                      <w:szCs w:val="24"/>
                      <w:lang w:eastAsia="lt-LT"/>
                    </w:rPr>
                    <w:t>Nėra.</w:t>
                  </w:r>
                </w:p>
              </w:sdtContent>
            </w:sdt>
            <w:sdt>
              <w:sdtPr>
                <w:alias w:val="9 p."/>
                <w:tag w:val="part_3ffc1a9622554c9bbe708e4fe837df00"/>
                <w:lock w:val="sdtLocked"/>
                <w:richText/>
              </w:sdtPr>
              <w:sdtContent>
                <w:p>
                  <w:pPr>
                    <w:tabs>
                      <w:tab w:val="left" w:pos="855"/>
                      <w:tab w:val="left" w:pos="1200"/>
                    </w:tabs>
                    <w:ind w:firstLine="567"/>
                    <w:jc w:val="both"/>
                    <w:rPr>
                      <w:b/>
                      <w:szCs w:val="24"/>
                      <w:lang w:eastAsia="lt-LT"/>
                    </w:rPr>
                  </w:pPr>
                  <w:sdt>
                    <w:sdtPr>
                      <w:alias w:val="Numeris"/>
                      <w:tag w:val="nr_3ffc1a9622554c9bbe708e4fe837df00"/>
                      <w:lock w:val="sdtLocked"/>
                      <w:richText/>
                    </w:sdtPr>
                    <w:sdtContent>
                      <w:r>
                        <w:rPr>
                          <w:b/>
                          <w:szCs w:val="24"/>
                          <w:lang w:eastAsia="lt-LT"/>
                        </w:rPr>
                        <w:t>9</w:t>
                      </w:r>
                    </w:sdtContent>
                  </w:sdt>
                  <w:r>
                    <w:rPr>
                      <w:b/>
                      <w:szCs w:val="24"/>
                      <w:lang w:eastAsia="lt-LT"/>
                    </w:rPr>
                    <w:t>. Numatomo teisinio reguliavimo poveikio vertinimo rezultatai.</w:t>
                  </w:r>
                </w:p>
                <w:p>
                  <w:pPr>
                    <w:tabs>
                      <w:tab w:val="left" w:pos="855"/>
                    </w:tabs>
                    <w:ind w:firstLine="567"/>
                    <w:jc w:val="both"/>
                    <w:rPr>
                      <w:szCs w:val="24"/>
                      <w:shd w:val="clear" w:color="auto" w:fill="FFFFFF"/>
                      <w:lang w:eastAsia="lt-LT"/>
                    </w:rPr>
                  </w:pPr>
                  <w:r>
                    <w:rPr>
                      <w:szCs w:val="24"/>
                      <w:shd w:val="clear" w:color="auto" w:fill="FFFFFF"/>
                      <w:lang w:eastAsia="lt-LT"/>
                    </w:rPr>
                    <w:t>Neatlikta ir nenumatyta.</w:t>
                  </w:r>
                </w:p>
              </w:sdtContent>
            </w:sdt>
            <w:sdt>
              <w:sdtPr>
                <w:alias w:val="10 p."/>
                <w:tag w:val="part_82d0a5a7904c4e55b7d518cab8d5b1fe"/>
                <w:lock w:val="sdtLocked"/>
                <w:richText/>
              </w:sdtPr>
              <w:sdtContent>
                <w:p>
                  <w:pPr>
                    <w:tabs>
                      <w:tab w:val="left" w:pos="855"/>
                    </w:tabs>
                    <w:ind w:firstLine="567"/>
                    <w:jc w:val="both"/>
                    <w:rPr>
                      <w:szCs w:val="24"/>
                      <w:shd w:val="clear" w:color="auto" w:fill="FFFFFF"/>
                      <w:lang w:eastAsia="lt-LT"/>
                    </w:rPr>
                  </w:pPr>
                  <w:sdt>
                    <w:sdtPr>
                      <w:alias w:val="Numeris"/>
                      <w:tag w:val="nr_82d0a5a7904c4e55b7d518cab8d5b1f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lang w:eastAsia="lt-LT"/>
                    </w:rPr>
                    <w:t xml:space="preserve"> </w:t>
                  </w:r>
                </w:p>
                <w:p>
                  <w:pPr>
                    <w:tabs>
                      <w:tab w:val="left" w:pos="855"/>
                    </w:tabs>
                    <w:ind w:firstLine="567"/>
                    <w:jc w:val="both"/>
                    <w:rPr>
                      <w:szCs w:val="24"/>
                      <w:shd w:val="clear" w:color="auto" w:fill="FFFFFF"/>
                      <w:lang w:eastAsia="lt-LT"/>
                    </w:rPr>
                  </w:pPr>
                  <w:r>
                    <w:rPr>
                      <w:color w:val="000000"/>
                      <w:szCs w:val="24"/>
                      <w:lang w:eastAsia="lt-LT"/>
                    </w:rPr>
                    <w:t xml:space="preserve">Vadovaujantis </w:t>
                  </w:r>
                  <w:r>
                    <w:rPr>
                      <w:szCs w:val="24"/>
                      <w:lang w:eastAsia="lt-LT"/>
                    </w:rPr>
                    <w:t>Lietuvos Respublikos korupcijos prevencijos įstatymu šiam sprendimo projektui antikorupcinis vertinimas nėra taikytinas</w:t>
                  </w:r>
                  <w:r>
                    <w:rPr>
                      <w:szCs w:val="24"/>
                      <w:shd w:val="clear" w:color="auto" w:fill="FFFFFF"/>
                      <w:lang w:eastAsia="lt-LT"/>
                    </w:rPr>
                    <w:t>.</w:t>
                  </w:r>
                </w:p>
              </w:sdtContent>
            </w:sdt>
            <w:sdt>
              <w:sdtPr>
                <w:alias w:val="11 p."/>
                <w:tag w:val="part_9f54cb0b574b409494b55c231228cbf2"/>
                <w:lock w:val="sdtLocked"/>
                <w:richText/>
              </w:sdtPr>
              <w:sdtContent>
                <w:p>
                  <w:pPr>
                    <w:tabs>
                      <w:tab w:val="left" w:pos="855"/>
                      <w:tab w:val="left" w:pos="1134"/>
                    </w:tabs>
                    <w:ind w:firstLine="567"/>
                    <w:jc w:val="both"/>
                    <w:rPr>
                      <w:rFonts w:eastAsia="Calibri"/>
                      <w:b/>
                      <w:bCs/>
                      <w:szCs w:val="24"/>
                      <w:lang w:eastAsia="lt-LT"/>
                    </w:rPr>
                  </w:pPr>
                  <w:sdt>
                    <w:sdtPr>
                      <w:alias w:val="Numeris"/>
                      <w:tag w:val="nr_9f54cb0b574b409494b55c231228cbf2"/>
                      <w:lock w:val="sdtLocked"/>
                      <w:richText/>
                    </w:sdtPr>
                    <w:sdtContent>
                      <w:r>
                        <w:rPr>
                          <w:rFonts w:eastAsia="Calibri"/>
                          <w:b/>
                          <w:bCs/>
                          <w:szCs w:val="24"/>
                          <w:lang w:eastAsia="lt-LT"/>
                        </w:rPr>
                        <w:t>11</w:t>
                      </w:r>
                    </w:sdtContent>
                  </w:sdt>
                  <w:r>
                    <w:rPr>
                      <w:rFonts w:eastAsia="Calibri"/>
                      <w:b/>
                      <w:bCs/>
                      <w:szCs w:val="24"/>
                      <w:lang w:eastAsia="lt-LT"/>
                    </w:rPr>
                    <w:t>.</w:t>
                    <w:tab/>
                    <w:t xml:space="preserve">Kiti, iniciatoriaus nuomone, reikalingi pagrindimai ir paaiškinimai. </w:t>
                  </w:r>
                </w:p>
                <w:p>
                  <w:pPr>
                    <w:tabs>
                      <w:tab w:val="left" w:pos="855"/>
                    </w:tabs>
                    <w:ind w:firstLine="567"/>
                    <w:jc w:val="both"/>
                    <w:rPr>
                      <w:kern w:val="2"/>
                      <w:szCs w:val="24"/>
                      <w:shd w:val="clear" w:color="auto" w:fill="FFFFFF"/>
                      <w:lang w:eastAsia="lt-LT"/>
                    </w:rPr>
                  </w:pPr>
                  <w:r>
                    <w:rPr>
                      <w:kern w:val="2"/>
                      <w:szCs w:val="24"/>
                      <w:shd w:val="clear" w:color="auto" w:fill="FFFFFF"/>
                      <w:lang w:eastAsia="lt-LT"/>
                    </w:rPr>
                    <w:t>Nėra.</w:t>
                  </w:r>
                </w:p>
              </w:sdtContent>
            </w:sdt>
            <w:sdt>
              <w:sdtPr>
                <w:alias w:val="12 p."/>
                <w:tag w:val="part_a47768afe60b40509761ca78a70ae352"/>
                <w:lock w:val="sdtLocked"/>
                <w:richText/>
              </w:sdtPr>
              <w:sdtContent>
                <w:p>
                  <w:pPr>
                    <w:tabs>
                      <w:tab w:val="left" w:pos="855"/>
                    </w:tabs>
                    <w:ind w:firstLine="567"/>
                    <w:jc w:val="both"/>
                    <w:rPr>
                      <w:rFonts w:eastAsia="Calibri"/>
                      <w:b/>
                      <w:bCs/>
                      <w:szCs w:val="24"/>
                      <w:lang w:eastAsia="lt-LT"/>
                    </w:rPr>
                  </w:pPr>
                  <w:sdt>
                    <w:sdtPr>
                      <w:alias w:val="Numeris"/>
                      <w:tag w:val="nr_a47768afe60b40509761ca78a70ae352"/>
                      <w:lock w:val="sdtLocked"/>
                      <w:richText/>
                    </w:sdtPr>
                    <w:sdtContent>
                      <w:r>
                        <w:rPr>
                          <w:rFonts w:eastAsia="Calibri"/>
                          <w:b/>
                          <w:bCs/>
                          <w:kern w:val="2"/>
                          <w:szCs w:val="24"/>
                          <w:shd w:val="clear" w:color="auto" w:fill="FFFFFF"/>
                          <w:lang w:eastAsia="lt-LT"/>
                        </w:rPr>
                        <w:t>12</w:t>
                      </w:r>
                    </w:sdtContent>
                  </w:sdt>
                  <w:r>
                    <w:rPr>
                      <w:rFonts w:eastAsia="Calibri"/>
                      <w:b/>
                      <w:bCs/>
                      <w:kern w:val="2"/>
                      <w:szCs w:val="24"/>
                      <w:shd w:val="clear" w:color="auto" w:fill="FFFFFF"/>
                      <w:lang w:eastAsia="lt-LT"/>
                    </w:rPr>
                    <w:t>.</w:t>
                  </w:r>
                  <w:r>
                    <w:rPr>
                      <w:rFonts w:eastAsia="Calibri"/>
                      <w:b/>
                      <w:bCs/>
                      <w:szCs w:val="24"/>
                      <w:lang w:eastAsia="lt-LT"/>
                    </w:rPr>
                    <w:t xml:space="preserve"> Pridedami dokumentai.</w:t>
                  </w:r>
                </w:p>
                <w:p>
                  <w:pPr>
                    <w:tabs>
                      <w:tab w:val="left" w:pos="855"/>
                    </w:tabs>
                    <w:ind w:firstLine="567"/>
                    <w:jc w:val="both"/>
                    <w:rPr>
                      <w:kern w:val="2"/>
                      <w:szCs w:val="24"/>
                      <w:shd w:val="clear" w:color="auto" w:fill="FFFFFF"/>
                      <w:lang w:eastAsia="lt-LT"/>
                    </w:rPr>
                  </w:pPr>
                  <w:r>
                    <w:rPr>
                      <w:szCs w:val="24"/>
                      <w:lang w:eastAsia="lt-LT"/>
                    </w:rPr>
                    <w:t xml:space="preserve">Jungtinės veiklos sutartis „Dėl viešojo keleivinio transporto sistemos efektyvumo padidinimo Radviliškio r. sav., Šiaulių r. sav.  ir Šiaulių m. sav. gyventojams“.</w:t>
                  </w:r>
                </w:p>
                <w:p>
                  <w:pPr>
                    <w:tabs>
                      <w:tab w:val="left" w:pos="855"/>
                    </w:tabs>
                    <w:ind w:firstLine="567"/>
                    <w:jc w:val="both"/>
                    <w:rPr>
                      <w:b/>
                      <w:szCs w:val="24"/>
                      <w:shd w:val="clear" w:color="auto" w:fill="FFFFFF"/>
                      <w:lang w:eastAsia="lt-LT"/>
                    </w:rPr>
                  </w:pPr>
                </w:p>
                <w:p>
                  <w:pPr>
                    <w:tabs>
                      <w:tab w:val="left" w:pos="855"/>
                    </w:tabs>
                    <w:ind w:firstLine="567"/>
                    <w:jc w:val="both"/>
                    <w:rPr>
                      <w:b/>
                      <w:szCs w:val="24"/>
                      <w:shd w:val="clear" w:color="auto" w:fill="FFFFFF"/>
                      <w:lang w:eastAsia="lt-LT"/>
                    </w:rPr>
                  </w:pPr>
                </w:p>
                <w:p>
                  <w:pPr>
                    <w:tabs>
                      <w:tab w:val="left" w:pos="855"/>
                    </w:tabs>
                    <w:ind w:firstLine="567"/>
                    <w:jc w:val="both"/>
                    <w:rPr>
                      <w:b/>
                      <w:szCs w:val="24"/>
                      <w:shd w:val="clear" w:color="auto" w:fill="FFFFFF"/>
                      <w:lang w:eastAsia="lt-LT"/>
                    </w:rPr>
                  </w:pPr>
                </w:p>
              </w:sdtContent>
            </w:sdt>
          </w:sdtContent>
        </w:sdt>
        <w:sdt>
          <w:sdtPr>
            <w:alias w:val="signatura"/>
            <w:tag w:val="part_1fbe042c9dc5427584949ab0eeed00e0"/>
            <w:lock w:val="sdtLocked"/>
            <w:richText/>
          </w:sdtPr>
          <w:sdtContent>
            <w:p>
              <w:pPr>
                <w:widowControl w:val="0"/>
                <w:tabs>
                  <w:tab w:val="left" w:pos="855"/>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p>
              <w:pPr>
                <w:tabs>
                  <w:tab w:val="left" w:pos="855"/>
                </w:tabs>
                <w:ind w:firstLine="567"/>
                <w:jc w:val="both"/>
                <w:rPr>
                  <w:color w:val="FF0000"/>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69D7D6F-BF37-4977-B9BB-A6DE51CF4A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81027788">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324671963">
      <w:bodyDiv w:val="1"/>
      <w:marLeft w:val="0"/>
      <w:marRight w:val="0"/>
      <w:marTop w:val="0"/>
      <w:marBottom w:val="0"/>
      <w:divBdr>
        <w:top w:val="none" w:sz="0" w:space="0" w:color="auto"/>
        <w:left w:val="none" w:sz="0" w:space="0" w:color="auto"/>
        <w:bottom w:val="none" w:sz="0" w:space="0" w:color="auto"/>
        <w:right w:val="none" w:sz="0" w:space="0" w:color="auto"/>
      </w:divBdr>
    </w:div>
    <w:div w:id="403721192">
      <w:bodyDiv w:val="1"/>
      <w:marLeft w:val="0"/>
      <w:marRight w:val="0"/>
      <w:marTop w:val="0"/>
      <w:marBottom w:val="0"/>
      <w:divBdr>
        <w:top w:val="none" w:sz="0" w:space="0" w:color="auto"/>
        <w:left w:val="none" w:sz="0" w:space="0" w:color="auto"/>
        <w:bottom w:val="none" w:sz="0" w:space="0" w:color="auto"/>
        <w:right w:val="none" w:sz="0" w:space="0" w:color="auto"/>
      </w:divBdr>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68789441">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535823386">
      <w:bodyDiv w:val="1"/>
      <w:marLeft w:val="0"/>
      <w:marRight w:val="0"/>
      <w:marTop w:val="0"/>
      <w:marBottom w:val="0"/>
      <w:divBdr>
        <w:top w:val="none" w:sz="0" w:space="0" w:color="auto"/>
        <w:left w:val="none" w:sz="0" w:space="0" w:color="auto"/>
        <w:bottom w:val="none" w:sz="0" w:space="0" w:color="auto"/>
        <w:right w:val="none" w:sz="0" w:space="0" w:color="auto"/>
      </w:divBdr>
    </w:div>
    <w:div w:id="675770777">
      <w:bodyDiv w:val="1"/>
      <w:marLeft w:val="0"/>
      <w:marRight w:val="0"/>
      <w:marTop w:val="0"/>
      <w:marBottom w:val="0"/>
      <w:divBdr>
        <w:top w:val="none" w:sz="0" w:space="0" w:color="auto"/>
        <w:left w:val="none" w:sz="0" w:space="0" w:color="auto"/>
        <w:bottom w:val="none" w:sz="0" w:space="0" w:color="auto"/>
        <w:right w:val="none" w:sz="0" w:space="0" w:color="auto"/>
      </w:divBdr>
    </w:div>
    <w:div w:id="705566773">
      <w:bodyDiv w:val="1"/>
      <w:marLeft w:val="0"/>
      <w:marRight w:val="0"/>
      <w:marTop w:val="0"/>
      <w:marBottom w:val="0"/>
      <w:divBdr>
        <w:top w:val="none" w:sz="0" w:space="0" w:color="auto"/>
        <w:left w:val="none" w:sz="0" w:space="0" w:color="auto"/>
        <w:bottom w:val="none" w:sz="0" w:space="0" w:color="auto"/>
        <w:right w:val="none" w:sz="0" w:space="0" w:color="auto"/>
      </w:divBdr>
      <w:divsChild>
        <w:div w:id="476848538">
          <w:marLeft w:val="0"/>
          <w:marRight w:val="0"/>
          <w:marTop w:val="0"/>
          <w:marBottom w:val="0"/>
          <w:divBdr>
            <w:top w:val="none" w:sz="0" w:space="0" w:color="auto"/>
            <w:left w:val="none" w:sz="0" w:space="0" w:color="auto"/>
            <w:bottom w:val="none" w:sz="0" w:space="0" w:color="auto"/>
            <w:right w:val="none" w:sz="0" w:space="0" w:color="auto"/>
          </w:divBdr>
        </w:div>
      </w:divsChild>
    </w:div>
    <w:div w:id="770856560">
      <w:bodyDiv w:val="1"/>
      <w:marLeft w:val="0"/>
      <w:marRight w:val="0"/>
      <w:marTop w:val="0"/>
      <w:marBottom w:val="0"/>
      <w:divBdr>
        <w:top w:val="none" w:sz="0" w:space="0" w:color="auto"/>
        <w:left w:val="none" w:sz="0" w:space="0" w:color="auto"/>
        <w:bottom w:val="none" w:sz="0" w:space="0" w:color="auto"/>
        <w:right w:val="none" w:sz="0" w:space="0" w:color="auto"/>
      </w:divBdr>
    </w:div>
    <w:div w:id="855198011">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39338999">
      <w:bodyDiv w:val="1"/>
      <w:marLeft w:val="0"/>
      <w:marRight w:val="0"/>
      <w:marTop w:val="0"/>
      <w:marBottom w:val="0"/>
      <w:divBdr>
        <w:top w:val="none" w:sz="0" w:space="0" w:color="auto"/>
        <w:left w:val="none" w:sz="0" w:space="0" w:color="auto"/>
        <w:bottom w:val="none" w:sz="0" w:space="0" w:color="auto"/>
        <w:right w:val="none" w:sz="0" w:space="0" w:color="auto"/>
      </w:divBdr>
    </w:div>
    <w:div w:id="1078481569">
      <w:bodyDiv w:val="1"/>
      <w:marLeft w:val="0"/>
      <w:marRight w:val="0"/>
      <w:marTop w:val="0"/>
      <w:marBottom w:val="0"/>
      <w:divBdr>
        <w:top w:val="none" w:sz="0" w:space="0" w:color="auto"/>
        <w:left w:val="none" w:sz="0" w:space="0" w:color="auto"/>
        <w:bottom w:val="none" w:sz="0" w:space="0" w:color="auto"/>
        <w:right w:val="none" w:sz="0" w:space="0" w:color="auto"/>
      </w:divBdr>
    </w:div>
    <w:div w:id="1113981109">
      <w:bodyDiv w:val="1"/>
      <w:marLeft w:val="0"/>
      <w:marRight w:val="0"/>
      <w:marTop w:val="0"/>
      <w:marBottom w:val="0"/>
      <w:divBdr>
        <w:top w:val="none" w:sz="0" w:space="0" w:color="auto"/>
        <w:left w:val="none" w:sz="0" w:space="0" w:color="auto"/>
        <w:bottom w:val="none" w:sz="0" w:space="0" w:color="auto"/>
        <w:right w:val="none" w:sz="0" w:space="0" w:color="auto"/>
      </w:divBdr>
    </w:div>
    <w:div w:id="1161430419">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12901240">
      <w:bodyDiv w:val="1"/>
      <w:marLeft w:val="0"/>
      <w:marRight w:val="0"/>
      <w:marTop w:val="0"/>
      <w:marBottom w:val="0"/>
      <w:divBdr>
        <w:top w:val="none" w:sz="0" w:space="0" w:color="auto"/>
        <w:left w:val="none" w:sz="0" w:space="0" w:color="auto"/>
        <w:bottom w:val="none" w:sz="0" w:space="0" w:color="auto"/>
        <w:right w:val="none" w:sz="0" w:space="0" w:color="auto"/>
      </w:divBdr>
    </w:div>
    <w:div w:id="1381243359">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448506495">
      <w:bodyDiv w:val="1"/>
      <w:marLeft w:val="0"/>
      <w:marRight w:val="0"/>
      <w:marTop w:val="0"/>
      <w:marBottom w:val="0"/>
      <w:divBdr>
        <w:top w:val="none" w:sz="0" w:space="0" w:color="auto"/>
        <w:left w:val="none" w:sz="0" w:space="0" w:color="auto"/>
        <w:bottom w:val="none" w:sz="0" w:space="0" w:color="auto"/>
        <w:right w:val="none" w:sz="0" w:space="0" w:color="auto"/>
      </w:divBdr>
    </w:div>
    <w:div w:id="1466387353">
      <w:bodyDiv w:val="1"/>
      <w:marLeft w:val="0"/>
      <w:marRight w:val="0"/>
      <w:marTop w:val="0"/>
      <w:marBottom w:val="0"/>
      <w:divBdr>
        <w:top w:val="none" w:sz="0" w:space="0" w:color="auto"/>
        <w:left w:val="none" w:sz="0" w:space="0" w:color="auto"/>
        <w:bottom w:val="none" w:sz="0" w:space="0" w:color="auto"/>
        <w:right w:val="none" w:sz="0" w:space="0" w:color="auto"/>
      </w:divBdr>
    </w:div>
    <w:div w:id="1504969991">
      <w:bodyDiv w:val="1"/>
      <w:marLeft w:val="0"/>
      <w:marRight w:val="0"/>
      <w:marTop w:val="0"/>
      <w:marBottom w:val="0"/>
      <w:divBdr>
        <w:top w:val="none" w:sz="0" w:space="0" w:color="auto"/>
        <w:left w:val="none" w:sz="0" w:space="0" w:color="auto"/>
        <w:bottom w:val="none" w:sz="0" w:space="0" w:color="auto"/>
        <w:right w:val="none" w:sz="0" w:space="0" w:color="auto"/>
      </w:divBdr>
    </w:div>
    <w:div w:id="1553082076">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82266064">
      <w:bodyDiv w:val="1"/>
      <w:marLeft w:val="0"/>
      <w:marRight w:val="0"/>
      <w:marTop w:val="0"/>
      <w:marBottom w:val="0"/>
      <w:divBdr>
        <w:top w:val="none" w:sz="0" w:space="0" w:color="auto"/>
        <w:left w:val="none" w:sz="0" w:space="0" w:color="auto"/>
        <w:bottom w:val="none" w:sz="0" w:space="0" w:color="auto"/>
        <w:right w:val="none" w:sz="0" w:space="0" w:color="auto"/>
      </w:divBdr>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67670657">
      <w:bodyDiv w:val="1"/>
      <w:marLeft w:val="0"/>
      <w:marRight w:val="0"/>
      <w:marTop w:val="0"/>
      <w:marBottom w:val="0"/>
      <w:divBdr>
        <w:top w:val="none" w:sz="0" w:space="0" w:color="auto"/>
        <w:left w:val="none" w:sz="0" w:space="0" w:color="auto"/>
        <w:bottom w:val="none" w:sz="0" w:space="0" w:color="auto"/>
        <w:right w:val="none" w:sz="0" w:space="0" w:color="auto"/>
      </w:divBdr>
    </w:div>
    <w:div w:id="1909461652">
      <w:bodyDiv w:val="1"/>
      <w:marLeft w:val="0"/>
      <w:marRight w:val="0"/>
      <w:marTop w:val="0"/>
      <w:marBottom w:val="0"/>
      <w:divBdr>
        <w:top w:val="none" w:sz="0" w:space="0" w:color="auto"/>
        <w:left w:val="none" w:sz="0" w:space="0" w:color="auto"/>
        <w:bottom w:val="none" w:sz="0" w:space="0" w:color="auto"/>
        <w:right w:val="none" w:sz="0" w:space="0" w:color="auto"/>
      </w:divBdr>
    </w:div>
    <w:div w:id="2012248434">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796e68a620440ea9439e529bb3c75a9" PartId="d1d136e976244b22a4bd244de5ad929a">
    <Part Type="preambule" DocPartId="6c6f5110e0ad4a86acbf832ab2c52611" PartId="5e49c47591564c749c0faaf513ef0e8f"/>
    <Part Type="punktas" Nr="1" Abbr="1 p." DocPartId="aea9c468913843969920ace40ccab891" PartId="5d160a5fc3a74fdca0e1f8cd78840da3"/>
    <Part Type="punktas" Nr="2" Abbr="2 p." DocPartId="2df2b94f738d472999d5703fdd44c164" PartId="47a453aa2e614670bdabb74ad54dab06"/>
    <Part Type="punktas" Nr="3" Abbr="3 p." DocPartId="29978c4320fa491b8e96afc410b156a0" PartId="48eb32d4ba6e4de4ba1fc8b328d52fa4"/>
    <Part Type="skirsnis" Title="RADVILIŠKIO RAJONO SAVIVALDYBĖS TARYBOS SPRENDIMO PROJEKTO „DĖL PRITARIMO JUNGTINĖS VEIKLOS SUTARTIES „DĖL VIEŠOJO KELEIVINIO TRANSPORTO SISTEMOS EFEKTYVUMO PADIDINIMO RADVILIŠKIO R. SAV., ŠIAULIŲ R. SAV. IR ŠIAULIŲ M. SAV. GYVENTOJAMS“ PASIRAŠYMUI“ AIŠKINAMASIS RAŠTAS" DocPartId="03c5c15527944eefa32634d1c3c62337" PartId="f3b04b9ae8e44d5e8488eacf5694a39f">
      <Part Type="punktas" Nr="1" Abbr="1 p." DocPartId="7c2611bbf1884b098d046535d9f2607a" PartId="c51d7fba2e434378a0258b0221a1fab0"/>
      <Part Type="punktas" Nr="2" Abbr="2 p." DocPartId="327125cf8cc44d0f9b3a1dbafaababef" PartId="eb4f6ca00e604aea9fd4730e35bc0436"/>
      <Part Type="punktas" Nr="3" Abbr="3 p." DocPartId="9d223838148242a6b41ad2762ecf06d6" PartId="0053c4b2a2874ccdb91d3c1657e6fa79"/>
      <Part Type="punktas" Nr="1" Abbr="1 p." Notes="Numeris ne iš eilės. Trūksta dalių? [DocDalys]" DocPartId="3ab13fd397fa46c1b132e511c56f84b4" PartId="c6b855719033407589d7af4170c34988"/>
      <Part Type="punktas" Nr="2" Abbr="2 p." DocPartId="9edc77e5098a4f34aa59326d3e21c940" PartId="3b69cfd4ff424b009fe10a3aeb0f3520"/>
      <Part Type="punktas" Nr="3" Abbr="3 p." DocPartId="c7d6d3f0706b48819c1bec42f8673016" PartId="a0f7ad5f348843679ea7e346a854a0c4"/>
      <Part Type="punktas" Nr="4" Abbr="4 p." DocPartId="862d82a70f5b4542a6d0264a259f30a7" PartId="1073e36da3784029a9ed9e9678548a38"/>
      <Part Type="punktas" Nr="5" Abbr="5 p." DocPartId="c27bdf89456249b8abfc83829f39162c" PartId="011a177a0c504823a09f2bc0829ade4e"/>
      <Part Type="punktas" Nr="6" Abbr="6 p." DocPartId="b502053bd82041bd86995a298559d709" PartId="d5298e6a952244b1a3f6778e4d10ade6"/>
      <Part Type="punktas" Nr="7" Abbr="7 p." DocPartId="91fe3f2c985c4ed394bec0aaca0e32ed" PartId="1d9e0fac4cc742ccb12e9ef6c30cb875"/>
      <Part Type="punktas" Nr="8" Abbr="8 p." DocPartId="f74772a4220749a3afac4702fa0bf017" PartId="33e329d2742d4044adbf6ca15598ae13"/>
      <Part Type="punktas" Nr="9" Abbr="9 p." DocPartId="134cbbd09ae8480db9566ec5b080546a" PartId="3ffc1a9622554c9bbe708e4fe837df00"/>
      <Part Type="punktas" Nr="10" Abbr="10 p." DocPartId="d2b7594101a14985a48e48e44edfa17d" PartId="82d0a5a7904c4e55b7d518cab8d5b1fe"/>
      <Part Type="punktas" Nr="11" Abbr="11 p." DocPartId="d9d27c1aa4f2474b9f0f3dca0ec20049" PartId="9f54cb0b574b409494b55c231228cbf2"/>
      <Part Type="punktas" Nr="12" Abbr="12 p." DocPartId="2182092181af4aa59e3390c18b8ff0e7" PartId="a47768afe60b40509761ca78a70ae352"/>
    </Part>
    <Part Type="signatura" DocPartId="2b0c723e8d19427d9ee52f6ffd604adf" PartId="1fbe042c9dc5427584949ab0eeed00e0"/>
  </Part>
</Parts>
</file>

<file path=customXml/itemProps1.xml><?xml version="1.0" encoding="utf-8"?>
<ds:datastoreItem xmlns:ds="http://schemas.openxmlformats.org/officeDocument/2006/customXml" ds:itemID="{B00EBD06-2A9F-4EA7-B027-6FFBEB2C3768}">
  <ds:schemaRefs>
    <ds:schemaRef ds:uri="http://schemas.openxmlformats.org/officeDocument/2006/bibliography"/>
  </ds:schemaRefs>
</ds:datastoreItem>
</file>

<file path=customXml/itemProps2.xml><?xml version="1.0" encoding="utf-8"?>
<ds:datastoreItem xmlns:ds="http://schemas.openxmlformats.org/officeDocument/2006/customXml" ds:itemID="{D5572400-BE4F-4685-B93B-434E04BC75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6382</Characters>
  <Application>Microsoft Office Word</Application>
  <DocSecurity>4</DocSecurity>
  <Lines>135</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7185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2024-12-16T13:16:00Z</dcterms:created>
  <dc:creator>l.rinkeviciene</dc:creator>
  <lastModifiedBy>adlibuser</lastModifiedBy>
  <lastPrinted>2024-05-28T10:50:00Z</lastPrinted>
  <dcterms:modified xsi:type="dcterms:W3CDTF">2024-12-16T13:16:00Z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1731794010</vt:i4>
  </property>
</Properties>
</file>