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3ef225ea26541ad979b764263afb196"/>
        <w:lock w:val="sdtLocked"/>
        <w:richText/>
      </w:sdtPr>
      <w:sdtContent>
        <w:p w14:paraId="5BCA21F6" w14:textId="146A2A04">
          <w:pPr>
            <w:widowControl w:val="0"/>
            <w:suppressAutoHyphens/>
            <w:rPr>
              <w:rFonts w:ascii="Thorndale" w:eastAsia="HG Mincho Light J" w:hAnsi="Thorndale"/>
              <w:color w:val="000000"/>
              <w:szCs w:val="24"/>
              <w:lang w:eastAsia="lt-LT"/>
            </w:rPr>
          </w:pPr>
        </w:p>
        <w:p w14:paraId="252BC356" w14:textId="77777777">
          <w:pPr>
            <w:widowControl w:val="0"/>
            <w:suppressAutoHyphens/>
            <w:jc w:val="center"/>
            <w:rPr>
              <w:rFonts w:ascii="Thorndale" w:eastAsia="HG Mincho Light J" w:hAnsi="Thorndale"/>
              <w:color w:val="000000"/>
              <w:szCs w:val="24"/>
              <w:lang w:eastAsia="lt-LT"/>
            </w:rPr>
          </w:pPr>
        </w:p>
        <w:p w14:paraId="5A27C882" w14:textId="77777777">
          <w:pPr>
            <w:widowControl w:val="0"/>
            <w:suppressAutoHyphens/>
            <w:jc w:val="center"/>
            <w:rPr>
              <w:rFonts w:eastAsia="HG Mincho Light J"/>
              <w:b/>
              <w:bCs/>
              <w:color w:val="000000"/>
              <w:szCs w:val="24"/>
              <w:lang w:eastAsia="lt-LT"/>
            </w:rPr>
          </w:pPr>
          <w:r>
            <w:rPr>
              <w:rFonts w:eastAsia="HG Mincho Light J"/>
              <w:b/>
              <w:bCs/>
              <w:color w:val="000000"/>
              <w:szCs w:val="24"/>
              <w:lang w:eastAsia="lt-LT"/>
            </w:rPr>
            <w:t>ŠIAULIŲ MIESTO SAVIVALDYBĖS TARYBA</w:t>
          </w:r>
        </w:p>
        <w:p w14:paraId="4343FF3D" w14:textId="2DC51FE6">
          <w:pPr>
            <w:widowControl w:val="0"/>
            <w:suppressAutoHyphens/>
            <w:jc w:val="center"/>
            <w:rPr>
              <w:rFonts w:eastAsia="HG Mincho Light J"/>
              <w:b/>
              <w:bCs/>
              <w:color w:val="000000"/>
              <w:szCs w:val="24"/>
              <w:lang w:eastAsia="lt-LT"/>
            </w:rPr>
          </w:pPr>
        </w:p>
        <w:p w14:paraId="7E657DE9" w14:textId="0C3B58CD">
          <w:pPr>
            <w:widowControl w:val="0"/>
            <w:suppressAutoHyphens/>
            <w:jc w:val="center"/>
            <w:rPr>
              <w:rFonts w:eastAsia="HG Mincho Light J"/>
              <w:b/>
              <w:szCs w:val="24"/>
              <w:lang w:eastAsia="lt-LT"/>
            </w:rPr>
          </w:pPr>
          <w:r>
            <w:rPr>
              <w:rFonts w:eastAsia="HG Mincho Light J"/>
              <w:b/>
              <w:szCs w:val="24"/>
              <w:lang w:eastAsia="lt-LT"/>
            </w:rPr>
            <w:t>SPRENDIMAS</w:t>
          </w:r>
        </w:p>
        <w:p w14:paraId="22A3A319" w14:textId="7548A8D1">
          <w:pPr>
            <w:widowControl w:val="0"/>
            <w:suppressAutoHyphens/>
            <w:jc w:val="center"/>
            <w:rPr>
              <w:rFonts w:eastAsia="HG Mincho Light J"/>
              <w:b/>
              <w:bCs/>
              <w:color w:val="000000"/>
              <w:szCs w:val="24"/>
              <w:shd w:val="clear" w:color="auto" w:fill="FFFFFF"/>
              <w:lang w:eastAsia="lt-LT"/>
            </w:rPr>
          </w:pPr>
          <w:r>
            <w:rPr>
              <w:rFonts w:eastAsia="HG Mincho Light J"/>
              <w:b/>
              <w:bCs/>
              <w:color w:val="000000"/>
              <w:szCs w:val="24"/>
              <w:lang w:eastAsia="lt-LT"/>
            </w:rPr>
            <w:t xml:space="preserve">DĖL ŠIAULIŲ MIESTO SAVIVALDYBĖS TARYBOS 2018 M. GEGUŽĖS 3 D. SPRENDIMO </w:t>
          </w:r>
          <w:r>
            <w:rPr>
              <w:rFonts w:eastAsia="HG Mincho Light J"/>
              <w:b/>
              <w:bCs/>
              <w:szCs w:val="24"/>
              <w:lang w:eastAsia="lt-LT"/>
            </w:rPr>
            <w:t>NR. T-155</w:t>
          </w:r>
          <w:r>
            <w:rPr>
              <w:rFonts w:eastAsia="HG Mincho Light J"/>
              <w:b/>
              <w:bCs/>
              <w:color w:val="000000"/>
              <w:szCs w:val="24"/>
              <w:lang w:eastAsia="lt-LT"/>
            </w:rPr>
            <w:t xml:space="preserve"> „DĖL ŠIAULIŲ MIESTO SAVIVALDYBĖS GYVENTOJŲ MOKĖJIMO UŽ SOCIALINES PASLAUGAS TVARKOS APRAŠO PATVIRTINIMO“ PAKEITIMO</w:t>
          </w:r>
        </w:p>
        <w:p w14:paraId="7AB4CB0C" w14:textId="77777777">
          <w:pPr>
            <w:widowControl w:val="0"/>
            <w:suppressAutoHyphens/>
            <w:jc w:val="center"/>
            <w:rPr>
              <w:rFonts w:eastAsia="HG Mincho Light J"/>
              <w:color w:val="000000"/>
              <w:szCs w:val="24"/>
              <w:shd w:val="clear" w:color="auto" w:fill="FFFFFF"/>
              <w:lang w:eastAsia="lt-LT"/>
            </w:rPr>
          </w:pPr>
        </w:p>
        <w:p w14:paraId="04DE8AD1" w14:textId="6BF3A801">
          <w:pPr>
            <w:widowControl w:val="0"/>
            <w:suppressAutoHyphens/>
            <w:jc w:val="center"/>
            <w:rPr>
              <w:rFonts w:eastAsia="HG Mincho Light J"/>
              <w:color w:val="000000"/>
              <w:szCs w:val="24"/>
              <w:shd w:val="clear" w:color="auto" w:fill="FFFFFF"/>
              <w:lang w:eastAsia="lt-LT"/>
            </w:rPr>
          </w:pPr>
          <w:r>
            <w:rPr>
              <w:rFonts w:eastAsia="HG Mincho Light J"/>
              <w:color w:val="000000"/>
              <w:szCs w:val="24"/>
              <w:shd w:val="clear" w:color="auto" w:fill="FFFFFF"/>
              <w:lang w:eastAsia="lt-LT"/>
            </w:rPr>
            <w:t xml:space="preserve">2024 m. </w:t>
          </w:r>
          <w:r>
            <w:rPr>
              <w:rFonts w:eastAsia="HG Mincho Light J"/>
              <w:color w:val="FF0000"/>
              <w:szCs w:val="24"/>
              <w:shd w:val="clear" w:color="auto" w:fill="FFFFFF"/>
              <w:lang w:eastAsia="lt-LT"/>
            </w:rPr>
            <w:t xml:space="preserve"> </w:t>
          </w:r>
          <w:r>
            <w:rPr>
              <w:rFonts w:eastAsia="HG Mincho Light J"/>
              <w:color w:val="000000"/>
              <w:szCs w:val="24"/>
              <w:shd w:val="clear" w:color="auto" w:fill="FFFFFF"/>
              <w:lang w:eastAsia="lt-LT"/>
            </w:rPr>
            <w:t xml:space="preserve">  d. Nr. T-</w:t>
          </w:r>
        </w:p>
        <w:p w14:paraId="51472402" w14:textId="135C09F3">
          <w:pPr>
            <w:widowControl w:val="0"/>
            <w:suppressAutoHyphens/>
            <w:jc w:val="center"/>
            <w:rPr>
              <w:rFonts w:eastAsia="HG Mincho Light J"/>
              <w:color w:val="000000"/>
              <w:szCs w:val="24"/>
              <w:shd w:val="clear" w:color="auto" w:fill="FFFFFF"/>
              <w:lang w:eastAsia="lt-LT"/>
            </w:rPr>
          </w:pPr>
          <w:r>
            <w:rPr>
              <w:rFonts w:eastAsia="HG Mincho Light J"/>
              <w:color w:val="000000"/>
              <w:szCs w:val="24"/>
              <w:shd w:val="clear" w:color="auto" w:fill="FFFFFF"/>
              <w:lang w:eastAsia="lt-LT"/>
            </w:rPr>
            <w:t>Šiauliai</w:t>
          </w:r>
        </w:p>
        <w:p w14:paraId="764EBA98" w14:textId="77777777">
          <w:pPr>
            <w:widowControl w:val="0"/>
            <w:suppressAutoHyphens/>
            <w:jc w:val="both"/>
            <w:rPr>
              <w:rFonts w:eastAsia="HG Mincho Light J"/>
              <w:color w:val="000000"/>
              <w:szCs w:val="24"/>
              <w:lang w:eastAsia="lt-LT"/>
            </w:rPr>
          </w:pPr>
        </w:p>
        <w:sdt>
          <w:sdtPr>
            <w:alias w:val="preambule"/>
            <w:tag w:val="part_1df984838871461dbddd1b3747126740"/>
            <w:lock w:val="sdtLocked"/>
            <w:richText/>
          </w:sdtPr>
          <w:sdtContent>
            <w:p w14:paraId="1E314D89" w14:textId="30840976">
              <w:pPr>
                <w:widowControl w:val="0"/>
                <w:suppressAutoHyphens/>
                <w:ind w:firstLine="567"/>
                <w:jc w:val="both"/>
                <w:rPr>
                  <w:rFonts w:eastAsia="HG Mincho Light J"/>
                  <w:bCs/>
                  <w:color w:val="000000"/>
                  <w:szCs w:val="24"/>
                  <w:lang w:eastAsia="lt-LT"/>
                </w:rPr>
              </w:pPr>
              <w:r>
                <w:rPr>
                  <w:rFonts w:eastAsia="HG Mincho Light J"/>
                  <w:color w:val="000000"/>
                  <w:szCs w:val="24"/>
                  <w:lang w:eastAsia="lt-LT"/>
                </w:rPr>
                <w:t xml:space="preserve">Vadovaudamasi Lietuvos Respublikos vietos savivaldos įstatymo 6 straipsnio 12 punktu, 15 straipsnio 4 dalimi,  Lietuvos Respublikos socialinių paslaugų įstatymo 35 straipsnio 9 dalimi</w:t>
              </w:r>
              <w:r>
                <w:rPr>
                  <w:rFonts w:eastAsia="HG Mincho Light J"/>
                  <w:bCs/>
                  <w:color w:val="000000"/>
                  <w:szCs w:val="24"/>
                  <w:lang w:eastAsia="lt-LT"/>
                </w:rPr>
                <w:t xml:space="preserve">, Šiaulių miesto savivaldybės taryba </w:t>
              </w:r>
              <w:r>
                <w:rPr>
                  <w:rFonts w:eastAsia="HG Mincho Light J"/>
                  <w:bCs/>
                  <w:color w:val="000000"/>
                  <w:spacing w:val="60"/>
                  <w:szCs w:val="24"/>
                  <w:lang w:eastAsia="lt-LT"/>
                </w:rPr>
                <w:t>nusprendžia</w:t>
              </w:r>
              <w:r>
                <w:rPr>
                  <w:rFonts w:eastAsia="HG Mincho Light J"/>
                  <w:bCs/>
                  <w:color w:val="000000"/>
                  <w:szCs w:val="24"/>
                  <w:lang w:eastAsia="lt-LT"/>
                </w:rPr>
                <w:t>:</w:t>
              </w:r>
            </w:p>
          </w:sdtContent>
        </w:sdt>
        <w:sdt>
          <w:sdtPr>
            <w:alias w:val="pastraipa"/>
            <w:tag w:val="part_05b417dbb6dc4667b20fba8a5b628d76"/>
            <w:lock w:val="sdtLocked"/>
            <w:richText/>
          </w:sdtPr>
          <w:sdtContent>
            <w:p w14:paraId="187D7600" w14:textId="0DC8B90B">
              <w:pPr>
                <w:widowControl w:val="0"/>
                <w:suppressAutoHyphens/>
                <w:ind w:firstLine="567"/>
                <w:jc w:val="both"/>
                <w:rPr>
                  <w:rFonts w:eastAsia="HG Mincho Light J"/>
                  <w:bCs/>
                  <w:color w:val="000000"/>
                  <w:szCs w:val="24"/>
                  <w:lang w:eastAsia="lt-LT"/>
                </w:rPr>
              </w:pPr>
              <w:r>
                <w:rPr>
                  <w:rFonts w:eastAsia="HG Mincho Light J"/>
                  <w:bCs/>
                  <w:color w:val="000000"/>
                  <w:szCs w:val="24"/>
                  <w:lang w:eastAsia="lt-LT"/>
                </w:rPr>
                <w:t>Pakeisti Šiaulių miesto savivaldybės gyventojų mokėjimo už socialines paslaugas tvarkos aprašą, patvirtintą Šiaulių miesto savivaldybės tarybos 2018 m. gegužės 3 d. sprendimo </w:t>
              </w:r>
              <w:r>
                <w:rPr>
                  <w:rFonts w:eastAsia="HG Mincho Light J"/>
                  <w:bCs/>
                  <w:szCs w:val="24"/>
                  <w:lang w:eastAsia="lt-LT"/>
                </w:rPr>
                <w:t>Nr. T-155</w:t>
              </w:r>
              <w:r>
                <w:rPr>
                  <w:rFonts w:eastAsia="HG Mincho Light J"/>
                  <w:bCs/>
                  <w:szCs w:val="24"/>
                  <w:lang w:eastAsia="lt-LT"/>
                </w:rPr>
                <w:t> </w:t>
              </w:r>
              <w:r>
                <w:rPr>
                  <w:rFonts w:eastAsia="HG Mincho Light J"/>
                  <w:bCs/>
                  <w:color w:val="000000"/>
                  <w:szCs w:val="24"/>
                  <w:lang w:eastAsia="lt-LT"/>
                </w:rPr>
                <w:t>„Dėl Šiaulių miesto savivaldybės gyventojų mokėjimo už socialines paslaugas tvarkos aprašo patvirtinimo“ 1 punktu:</w:t>
              </w:r>
            </w:p>
          </w:sdtContent>
        </w:sdt>
        <w:sdt>
          <w:sdtPr>
            <w:alias w:val="1 p."/>
            <w:tag w:val="part_d2e8423b92144c92ac0e1c6adbbe23f2"/>
            <w:lock w:val="sdtLocked"/>
            <w:richText/>
          </w:sdtPr>
          <w:sdtContent>
            <w:p w14:paraId="35C816E5" w14:textId="23BD0C7B">
              <w:pPr>
                <w:widowControl w:val="0"/>
                <w:shd w:val="clear" w:color="auto" w:fill="FFFFFF"/>
                <w:suppressAutoHyphens/>
                <w:ind w:firstLine="567"/>
                <w:jc w:val="both"/>
                <w:rPr>
                  <w:rFonts w:eastAsia="HG Mincho Light J"/>
                  <w:bCs/>
                  <w:color w:val="000000"/>
                  <w:szCs w:val="24"/>
                  <w:lang w:eastAsia="lt-LT" w:bidi="he-IL"/>
                </w:rPr>
              </w:pPr>
              <w:sdt>
                <w:sdtPr>
                  <w:alias w:val="Numeris"/>
                  <w:tag w:val="nr_d2e8423b92144c92ac0e1c6adbbe23f2"/>
                  <w:lock w:val="sdtLocked"/>
                  <w:richText/>
                </w:sdtPr>
                <w:sdtContent>
                  <w:r>
                    <w:rPr>
                      <w:rFonts w:eastAsia="Batang"/>
                      <w:bCs/>
                      <w:color w:val="000000"/>
                      <w:szCs w:val="24"/>
                    </w:rPr>
                    <w:t>1</w:t>
                  </w:r>
                </w:sdtContent>
              </w:sdt>
              <w:r>
                <w:rPr>
                  <w:rFonts w:eastAsia="Batang"/>
                  <w:bCs/>
                  <w:color w:val="000000"/>
                  <w:szCs w:val="24"/>
                </w:rPr>
                <w:t xml:space="preserve">. </w:t>
              </w:r>
              <w:r>
                <w:rPr>
                  <w:rFonts w:eastAsia="HG Mincho Light J"/>
                  <w:bCs/>
                  <w:color w:val="000000"/>
                  <w:szCs w:val="24"/>
                  <w:lang w:eastAsia="lt-LT"/>
                </w:rPr>
                <w:t xml:space="preserve">Pakeisti 45 punktą ir </w:t>
              </w:r>
              <w:r>
                <w:rPr>
                  <w:rFonts w:eastAsia="HG Mincho Light J"/>
                  <w:bCs/>
                  <w:color w:val="000000"/>
                  <w:szCs w:val="24"/>
                  <w:lang w:eastAsia="lt-LT" w:bidi="he-IL"/>
                </w:rPr>
                <w:t>jį išdėstyti taip:</w:t>
              </w:r>
            </w:p>
            <w:sdt>
              <w:sdtPr>
                <w:alias w:val="citata"/>
                <w:tag w:val="part_8e0f6796e2ba454a97c2f0b3d4e0d700"/>
                <w:lock w:val="sdtLocked"/>
                <w:richText/>
              </w:sdtPr>
              <w:sdtContent>
                <w:sdt>
                  <w:sdtPr>
                    <w:alias w:val="45 p."/>
                    <w:tag w:val="part_6f41ea54988e4d6a9b9221ed2580d777"/>
                    <w:lock w:val="sdtLocked"/>
                    <w:richText/>
                  </w:sdtPr>
                  <w:sdtContent>
                    <w:p w14:paraId="62DA544B" w14:textId="17A949B2">
                      <w:pPr>
                        <w:ind w:firstLine="567"/>
                        <w:jc w:val="both"/>
                        <w:rPr>
                          <w:rFonts w:eastAsia="HG Mincho Light J"/>
                          <w:bCs/>
                          <w:color w:val="000000"/>
                          <w:szCs w:val="24"/>
                          <w:lang w:eastAsia="lt-LT" w:bidi="he-IL"/>
                        </w:rPr>
                      </w:pPr>
                      <w:r>
                        <w:rPr>
                          <w:rFonts w:eastAsia="HG Mincho Light J"/>
                          <w:bCs/>
                          <w:color w:val="000000"/>
                          <w:szCs w:val="24"/>
                          <w:lang w:eastAsia="lt-LT" w:bidi="he-IL"/>
                        </w:rPr>
                        <w:t>„</w:t>
                      </w:r>
                      <w:sdt>
                        <w:sdtPr>
                          <w:alias w:val="Numeris"/>
                          <w:tag w:val="nr_6f41ea54988e4d6a9b9221ed2580d777"/>
                          <w:lock w:val="sdtLocked"/>
                          <w:richText/>
                        </w:sdtPr>
                        <w:sdtContent>
                          <w:r>
                            <w:rPr>
                              <w:bCs/>
                              <w:szCs w:val="24"/>
                            </w:rPr>
                            <w:t>45</w:t>
                          </w:r>
                        </w:sdtContent>
                      </w:sdt>
                      <w:r>
                        <w:rPr>
                          <w:bCs/>
                          <w:szCs w:val="24"/>
                        </w:rPr>
                        <w:t xml:space="preserve">. Mokėjimo už laikino atokvėpio paslaugą dydis nustatomas atsižvelgiant į </w:t>
                      </w:r>
                      <w:r>
                        <w:rPr>
                          <w:bCs/>
                          <w:szCs w:val="24"/>
                          <w:lang w:eastAsia="lt-LT"/>
                        </w:rPr>
                        <w:t>individualios pagalbos teikimo išlaidų kompensaciją ar iki 2023 m. gruodžio 31 d. nustatyta tvarka paskirtą slaugos ar priežiūros (pagalbos) išlaidų tikslinę kompensaciją, mokamą pagal Tikslinių kompensacijų įstatymą laikino atokvėpio paslaugos gavėjo prižiūrimam asmeniui.</w:t>
                      </w:r>
                      <w:r>
                        <w:rPr>
                          <w:rFonts w:eastAsia="HG Mincho Light J"/>
                          <w:bCs/>
                          <w:color w:val="000000"/>
                          <w:szCs w:val="24"/>
                          <w:lang w:eastAsia="lt-LT" w:bidi="he-IL"/>
                        </w:rPr>
                        <w:t>“</w:t>
                      </w:r>
                    </w:p>
                  </w:sdtContent>
                </w:sdt>
              </w:sdtContent>
            </w:sdt>
          </w:sdtContent>
        </w:sdt>
        <w:sdt>
          <w:sdtPr>
            <w:alias w:val="2 p."/>
            <w:tag w:val="part_52b7fc5389794effb05ccc79249df193"/>
            <w:lock w:val="sdtLocked"/>
            <w:richText/>
          </w:sdtPr>
          <w:sdtContent>
            <w:p w14:paraId="55657378" w14:textId="04D07CBD">
              <w:pPr>
                <w:widowControl w:val="0"/>
                <w:shd w:val="clear" w:color="auto" w:fill="FFFFFF"/>
                <w:suppressAutoHyphens/>
                <w:ind w:firstLine="567"/>
                <w:jc w:val="both"/>
                <w:rPr>
                  <w:rFonts w:eastAsia="HG Mincho Light J"/>
                  <w:bCs/>
                  <w:color w:val="000000"/>
                  <w:szCs w:val="24"/>
                  <w:lang w:eastAsia="lt-LT" w:bidi="he-IL"/>
                </w:rPr>
              </w:pPr>
              <w:sdt>
                <w:sdtPr>
                  <w:alias w:val="Numeris"/>
                  <w:tag w:val="nr_52b7fc5389794effb05ccc79249df193"/>
                  <w:lock w:val="sdtLocked"/>
                  <w:richText/>
                </w:sdtPr>
                <w:sdtContent>
                  <w:r>
                    <w:rPr>
                      <w:rFonts w:eastAsia="HG Mincho Light J"/>
                      <w:bCs/>
                      <w:color w:val="000000"/>
                      <w:szCs w:val="24"/>
                      <w:lang w:eastAsia="lt-LT" w:bidi="he-IL"/>
                    </w:rPr>
                    <w:t>2</w:t>
                  </w:r>
                </w:sdtContent>
              </w:sdt>
              <w:r>
                <w:rPr>
                  <w:rFonts w:eastAsia="HG Mincho Light J"/>
                  <w:bCs/>
                  <w:color w:val="000000"/>
                  <w:szCs w:val="24"/>
                  <w:lang w:eastAsia="lt-LT" w:bidi="he-IL"/>
                </w:rPr>
                <w:t xml:space="preserve">. </w:t>
              </w:r>
              <w:r>
                <w:rPr>
                  <w:rFonts w:eastAsia="HG Mincho Light J"/>
                  <w:bCs/>
                  <w:color w:val="000000"/>
                  <w:szCs w:val="24"/>
                  <w:lang w:eastAsia="lt-LT"/>
                </w:rPr>
                <w:t xml:space="preserve">Pakeisti 46 </w:t>
              </w:r>
              <w:r>
                <w:rPr>
                  <w:rFonts w:eastAsia="HG Mincho Light J"/>
                  <w:bCs/>
                  <w:szCs w:val="24"/>
                  <w:lang w:eastAsia="lt-LT"/>
                </w:rPr>
                <w:t xml:space="preserve">punktą iki dvitaškio ir </w:t>
              </w:r>
              <w:r>
                <w:rPr>
                  <w:rFonts w:eastAsia="HG Mincho Light J"/>
                  <w:bCs/>
                  <w:szCs w:val="24"/>
                  <w:lang w:eastAsia="lt-LT" w:bidi="he-IL"/>
                </w:rPr>
                <w:t xml:space="preserve">jį išdėstyti </w:t>
              </w:r>
              <w:r>
                <w:rPr>
                  <w:rFonts w:eastAsia="HG Mincho Light J"/>
                  <w:bCs/>
                  <w:color w:val="000000"/>
                  <w:szCs w:val="24"/>
                  <w:lang w:eastAsia="lt-LT" w:bidi="he-IL"/>
                </w:rPr>
                <w:t>taip:</w:t>
              </w:r>
            </w:p>
            <w:sdt>
              <w:sdtPr>
                <w:alias w:val="citata"/>
                <w:tag w:val="part_44bc766899554e6aa34e9addd2f444eb"/>
                <w:lock w:val="sdtLocked"/>
                <w:richText/>
              </w:sdtPr>
              <w:sdtContent>
                <w:sdt>
                  <w:sdtPr>
                    <w:alias w:val="46 p."/>
                    <w:tag w:val="part_7654be1538774208a8324cbd62e6928c"/>
                    <w:lock w:val="sdtLocked"/>
                    <w:richText/>
                  </w:sdtPr>
                  <w:sdtContent>
                    <w:p w14:paraId="19A9C771" w14:textId="2FDF428A">
                      <w:pPr>
                        <w:ind w:firstLine="567"/>
                        <w:jc w:val="both"/>
                        <w:rPr>
                          <w:bCs/>
                          <w:color w:val="000000"/>
                          <w:szCs w:val="24"/>
                        </w:rPr>
                      </w:pPr>
                      <w:r>
                        <w:rPr>
                          <w:rFonts w:eastAsia="HG Mincho Light J"/>
                          <w:bCs/>
                          <w:color w:val="000000"/>
                          <w:szCs w:val="24"/>
                          <w:lang w:eastAsia="lt-LT" w:bidi="he-IL"/>
                        </w:rPr>
                        <w:t>„</w:t>
                      </w:r>
                      <w:sdt>
                        <w:sdtPr>
                          <w:alias w:val="Numeris"/>
                          <w:tag w:val="nr_7654be1538774208a8324cbd62e6928c"/>
                          <w:lock w:val="sdtLocked"/>
                          <w:richText/>
                        </w:sdtPr>
                        <w:sdtContent>
                          <w:r>
                            <w:rPr>
                              <w:bCs/>
                              <w:szCs w:val="24"/>
                            </w:rPr>
                            <w:t>46</w:t>
                          </w:r>
                        </w:sdtContent>
                      </w:sdt>
                      <w:r>
                        <w:rPr>
                          <w:bCs/>
                          <w:szCs w:val="24"/>
                        </w:rPr>
                        <w:t>. Mokėjimo už laikino atokvėpio paslaugą dydis asmeniui,</w:t>
                      </w:r>
                      <w:r>
                        <w:rPr>
                          <w:color w:val="000000"/>
                          <w:szCs w:val="24"/>
                        </w:rPr>
                        <w:t xml:space="preserve"> gaunančiam </w:t>
                      </w:r>
                      <w:r>
                        <w:rPr>
                          <w:bCs/>
                          <w:szCs w:val="24"/>
                        </w:rPr>
                        <w:t xml:space="preserve">individualios pagalbos teikimo išlaidų kompensaciją, mokamą pagal </w:t>
                      </w:r>
                      <w:r>
                        <w:rPr>
                          <w:bCs/>
                          <w:color w:val="000000"/>
                          <w:szCs w:val="24"/>
                        </w:rPr>
                        <w:t>Tikslinių kompensacijų įstatymą yra:“.</w:t>
                      </w:r>
                    </w:p>
                  </w:sdtContent>
                </w:sdt>
              </w:sdtContent>
            </w:sdt>
          </w:sdtContent>
        </w:sdt>
        <w:sdt>
          <w:sdtPr>
            <w:alias w:val="3 p."/>
            <w:tag w:val="part_75e770b418b04633a642ff9e6fe1d84d"/>
            <w:lock w:val="sdtLocked"/>
            <w:richText/>
          </w:sdtPr>
          <w:sdtContent>
            <w:p w14:paraId="3F1EAFFD" w14:textId="409DBFFE">
              <w:pPr>
                <w:widowControl w:val="0"/>
                <w:shd w:val="clear" w:color="auto" w:fill="FFFFFF"/>
                <w:suppressAutoHyphens/>
                <w:ind w:firstLine="567"/>
                <w:jc w:val="both"/>
                <w:rPr>
                  <w:rFonts w:eastAsia="HG Mincho Light J"/>
                  <w:bCs/>
                  <w:color w:val="000000"/>
                  <w:szCs w:val="24"/>
                  <w:lang w:eastAsia="lt-LT" w:bidi="he-IL"/>
                </w:rPr>
              </w:pPr>
              <w:sdt>
                <w:sdtPr>
                  <w:alias w:val="Numeris"/>
                  <w:tag w:val="nr_75e770b418b04633a642ff9e6fe1d84d"/>
                  <w:lock w:val="sdtLocked"/>
                  <w:richText/>
                </w:sdtPr>
                <w:sdtContent>
                  <w:r>
                    <w:rPr>
                      <w:rFonts w:eastAsia="Batang"/>
                      <w:bCs/>
                      <w:color w:val="000000"/>
                      <w:szCs w:val="24"/>
                    </w:rPr>
                    <w:t>3</w:t>
                  </w:r>
                </w:sdtContent>
              </w:sdt>
              <w:r>
                <w:rPr>
                  <w:rFonts w:eastAsia="Batang"/>
                  <w:bCs/>
                  <w:color w:val="000000"/>
                  <w:szCs w:val="24"/>
                </w:rPr>
                <w:t xml:space="preserve">. </w:t>
              </w:r>
              <w:r>
                <w:rPr>
                  <w:rFonts w:eastAsia="HG Mincho Light J"/>
                  <w:bCs/>
                  <w:color w:val="000000"/>
                  <w:szCs w:val="24"/>
                  <w:lang w:eastAsia="lt-LT"/>
                </w:rPr>
                <w:t xml:space="preserve">Pakeisti 47 punktą ir </w:t>
              </w:r>
              <w:r>
                <w:rPr>
                  <w:rFonts w:eastAsia="HG Mincho Light J"/>
                  <w:bCs/>
                  <w:color w:val="000000"/>
                  <w:szCs w:val="24"/>
                  <w:lang w:eastAsia="lt-LT" w:bidi="he-IL"/>
                </w:rPr>
                <w:t>jį išdėstyti taip:</w:t>
              </w:r>
            </w:p>
            <w:sdt>
              <w:sdtPr>
                <w:alias w:val="citata"/>
                <w:tag w:val="part_52d74eb6040c495388420cd2fb7e0a40"/>
                <w:lock w:val="sdtLocked"/>
                <w:richText/>
              </w:sdtPr>
              <w:sdtContent>
                <w:sdt>
                  <w:sdtPr>
                    <w:alias w:val="47 p."/>
                    <w:tag w:val="part_d8cda46d78944995b93dd99f022d28e8"/>
                    <w:lock w:val="sdtLocked"/>
                    <w:richText/>
                  </w:sdtPr>
                  <w:sdtContent>
                    <w:p w14:paraId="686D70F9" w14:textId="547CE9A3">
                      <w:pPr>
                        <w:ind w:firstLine="567"/>
                        <w:jc w:val="both"/>
                        <w:rPr>
                          <w:rFonts w:eastAsia="HG Mincho Light J"/>
                          <w:color w:val="000000"/>
                          <w:szCs w:val="24"/>
                          <w:lang w:eastAsia="lt-LT"/>
                        </w:rPr>
                      </w:pPr>
                      <w:r>
                        <w:rPr>
                          <w:rFonts w:eastAsia="HG Mincho Light J"/>
                          <w:bCs/>
                          <w:color w:val="000000"/>
                          <w:szCs w:val="24"/>
                          <w:lang w:eastAsia="lt-LT" w:bidi="he-IL"/>
                        </w:rPr>
                        <w:t>„</w:t>
                      </w:r>
                      <w:sdt>
                        <w:sdtPr>
                          <w:alias w:val="Numeris"/>
                          <w:tag w:val="nr_d8cda46d78944995b93dd99f022d28e8"/>
                          <w:lock w:val="sdtLocked"/>
                          <w:richText/>
                        </w:sdtPr>
                        <w:sdtContent>
                          <w:r>
                            <w:rPr>
                              <w:rFonts w:eastAsia="HG Mincho Light J"/>
                              <w:bCs/>
                              <w:color w:val="000000"/>
                              <w:szCs w:val="24"/>
                              <w:lang w:eastAsia="lt-LT" w:bidi="he-IL"/>
                            </w:rPr>
                            <w:t>47</w:t>
                          </w:r>
                        </w:sdtContent>
                      </w:sdt>
                      <w:r>
                        <w:rPr>
                          <w:rFonts w:eastAsia="HG Mincho Light J"/>
                          <w:bCs/>
                          <w:color w:val="000000"/>
                          <w:szCs w:val="24"/>
                          <w:lang w:eastAsia="lt-LT" w:bidi="he-IL"/>
                        </w:rPr>
                        <w:t xml:space="preserve">. </w:t>
                      </w:r>
                      <w:r>
                        <w:rPr>
                          <w:rFonts w:eastAsia="HG Mincho Light J"/>
                          <w:color w:val="000000"/>
                          <w:szCs w:val="24"/>
                          <w:lang w:eastAsia="lt-LT"/>
                        </w:rPr>
                        <w:t>Laikino atokvėpio paslaugos teikimo trukmė iki 720 val. per metus (dėl vieno prižiūrimo asmens).</w:t>
                      </w:r>
                      <w:r>
                        <w:rPr>
                          <w:rFonts w:eastAsia="HG Mincho Light J"/>
                          <w:color w:val="000000"/>
                          <w:szCs w:val="24"/>
                          <w:lang w:eastAsia="lt-LT" w:bidi="he-IL"/>
                        </w:rPr>
                        <w:t>“</w:t>
                      </w:r>
                    </w:p>
                  </w:sdtContent>
                </w:sdt>
              </w:sdtContent>
            </w:sdt>
          </w:sdtContent>
        </w:sdt>
        <w:sdt>
          <w:sdtPr>
            <w:alias w:val="4 p."/>
            <w:tag w:val="part_fe4e763d301847538d3cd5188aa42628"/>
            <w:lock w:val="sdtLocked"/>
            <w:richText/>
          </w:sdtPr>
          <w:sdtContent>
            <w:p w14:paraId="2688F786" w14:textId="3FEA8F08">
              <w:pPr>
                <w:widowControl w:val="0"/>
                <w:shd w:val="clear" w:color="auto" w:fill="FFFFFF"/>
                <w:suppressAutoHyphens/>
                <w:ind w:firstLine="567"/>
                <w:jc w:val="both"/>
                <w:rPr>
                  <w:rFonts w:eastAsia="HG Mincho Light J"/>
                  <w:bCs/>
                  <w:color w:val="000000"/>
                  <w:szCs w:val="24"/>
                  <w:lang w:eastAsia="lt-LT" w:bidi="he-IL"/>
                </w:rPr>
              </w:pPr>
              <w:sdt>
                <w:sdtPr>
                  <w:alias w:val="Numeris"/>
                  <w:tag w:val="nr_fe4e763d301847538d3cd5188aa42628"/>
                  <w:lock w:val="sdtLocked"/>
                  <w:richText/>
                </w:sdtPr>
                <w:sdtContent>
                  <w:r>
                    <w:rPr>
                      <w:rFonts w:eastAsia="HG Mincho Light J"/>
                      <w:bCs/>
                      <w:color w:val="000000"/>
                      <w:szCs w:val="24"/>
                      <w:lang w:eastAsia="lt-LT"/>
                    </w:rPr>
                    <w:t>4</w:t>
                  </w:r>
                </w:sdtContent>
              </w:sdt>
              <w:r>
                <w:rPr>
                  <w:rFonts w:eastAsia="HG Mincho Light J"/>
                  <w:bCs/>
                  <w:color w:val="000000"/>
                  <w:szCs w:val="24"/>
                  <w:lang w:eastAsia="lt-LT"/>
                </w:rPr>
                <w:t xml:space="preserve">. Pakeisti 49 punktą ir </w:t>
              </w:r>
              <w:r>
                <w:rPr>
                  <w:rFonts w:eastAsia="HG Mincho Light J"/>
                  <w:bCs/>
                  <w:color w:val="000000"/>
                  <w:szCs w:val="24"/>
                  <w:lang w:eastAsia="lt-LT" w:bidi="he-IL"/>
                </w:rPr>
                <w:t>jį išdėstyti taip:</w:t>
              </w:r>
            </w:p>
            <w:sdt>
              <w:sdtPr>
                <w:alias w:val="citata"/>
                <w:tag w:val="part_ff5cab6cca2f4fca9b0dc8b50278b1ab"/>
                <w:lock w:val="sdtLocked"/>
                <w:richText/>
              </w:sdtPr>
              <w:sdtContent>
                <w:sdt>
                  <w:sdtPr>
                    <w:alias w:val="49 p."/>
                    <w:tag w:val="part_c8376ffa3afb453dbad4bca865bbf67e"/>
                    <w:lock w:val="sdtLocked"/>
                    <w:richText/>
                  </w:sdtPr>
                  <w:sdtContent>
                    <w:p w14:paraId="1954850F" w14:textId="571BEB7E">
                      <w:pPr>
                        <w:ind w:firstLine="567"/>
                        <w:jc w:val="both"/>
                        <w:rPr>
                          <w:bCs/>
                          <w:szCs w:val="24"/>
                        </w:rPr>
                      </w:pPr>
                      <w:r>
                        <w:rPr>
                          <w:rFonts w:eastAsia="HG Mincho Light J"/>
                          <w:bCs/>
                          <w:color w:val="000000"/>
                          <w:szCs w:val="24"/>
                          <w:lang w:eastAsia="lt-LT" w:bidi="he-IL"/>
                        </w:rPr>
                        <w:t>„</w:t>
                      </w:r>
                      <w:sdt>
                        <w:sdtPr>
                          <w:alias w:val="Numeris"/>
                          <w:tag w:val="nr_c8376ffa3afb453dbad4bca865bbf67e"/>
                          <w:lock w:val="sdtLocked"/>
                          <w:richText/>
                        </w:sdtPr>
                        <w:sdtContent>
                          <w:r>
                            <w:rPr>
                              <w:rFonts w:eastAsia="HG Mincho Light J"/>
                              <w:bCs/>
                              <w:color w:val="000000"/>
                              <w:szCs w:val="24"/>
                              <w:lang w:eastAsia="lt-LT" w:bidi="he-IL"/>
                            </w:rPr>
                            <w:t>49</w:t>
                          </w:r>
                        </w:sdtContent>
                      </w:sdt>
                      <w:r>
                        <w:rPr>
                          <w:rFonts w:eastAsia="HG Mincho Light J"/>
                          <w:bCs/>
                          <w:color w:val="000000"/>
                          <w:szCs w:val="24"/>
                          <w:lang w:eastAsia="lt-LT" w:bidi="he-IL"/>
                        </w:rPr>
                        <w:t xml:space="preserve">. </w:t>
                      </w:r>
                      <w:r>
                        <w:rPr>
                          <w:szCs w:val="24"/>
                        </w:rPr>
                        <w:t>Asmens mokėjimo už asmeninę pagalbą dydis negali viršyti 20 procentų asmeninės pagalbos teikimo išlaidų dydžio.</w:t>
                      </w:r>
                      <w:r>
                        <w:rPr>
                          <w:rFonts w:eastAsia="HG Mincho Light J"/>
                          <w:color w:val="000000"/>
                          <w:szCs w:val="24"/>
                          <w:lang w:eastAsia="lt-LT" w:bidi="he-IL"/>
                        </w:rPr>
                        <w:t>“</w:t>
                      </w:r>
                    </w:p>
                  </w:sdtContent>
                </w:sdt>
              </w:sdtContent>
            </w:sdt>
          </w:sdtContent>
        </w:sdt>
        <w:sdt>
          <w:sdtPr>
            <w:alias w:val="5 p."/>
            <w:tag w:val="part_3f44f6c4ac0a45d2a0e08b447b6042e0"/>
            <w:lock w:val="sdtLocked"/>
            <w:richText/>
          </w:sdtPr>
          <w:sdtContent>
            <w:p w14:paraId="7DC3F95D" w14:textId="6BFEBE59">
              <w:pPr>
                <w:widowControl w:val="0"/>
                <w:shd w:val="clear" w:color="auto" w:fill="FFFFFF"/>
                <w:suppressAutoHyphens/>
                <w:ind w:firstLine="567"/>
                <w:jc w:val="both"/>
                <w:rPr>
                  <w:rFonts w:eastAsia="HG Mincho Light J"/>
                  <w:bCs/>
                  <w:color w:val="000000"/>
                  <w:szCs w:val="24"/>
                  <w:lang w:eastAsia="lt-LT" w:bidi="he-IL"/>
                </w:rPr>
              </w:pPr>
              <w:sdt>
                <w:sdtPr>
                  <w:alias w:val="Numeris"/>
                  <w:tag w:val="nr_3f44f6c4ac0a45d2a0e08b447b6042e0"/>
                  <w:lock w:val="sdtLocked"/>
                  <w:richText/>
                </w:sdtPr>
                <w:sdtContent>
                  <w:r>
                    <w:rPr>
                      <w:rFonts w:eastAsia="HG Mincho Light J"/>
                      <w:bCs/>
                      <w:color w:val="000000"/>
                      <w:szCs w:val="24"/>
                      <w:lang w:eastAsia="lt-LT" w:bidi="he-IL"/>
                    </w:rPr>
                    <w:t>5</w:t>
                  </w:r>
                </w:sdtContent>
              </w:sdt>
              <w:r>
                <w:rPr>
                  <w:rFonts w:eastAsia="HG Mincho Light J"/>
                  <w:bCs/>
                  <w:color w:val="000000"/>
                  <w:szCs w:val="24"/>
                  <w:lang w:eastAsia="lt-LT" w:bidi="he-IL"/>
                </w:rPr>
                <w:t xml:space="preserve">.  </w:t>
              </w:r>
              <w:r>
                <w:rPr>
                  <w:rFonts w:eastAsia="HG Mincho Light J"/>
                  <w:bCs/>
                  <w:color w:val="000000"/>
                  <w:szCs w:val="24"/>
                  <w:lang w:eastAsia="lt-LT"/>
                </w:rPr>
                <w:t xml:space="preserve">Pakeisti 51 punktą ir jį </w:t>
              </w:r>
              <w:r>
                <w:rPr>
                  <w:rFonts w:eastAsia="HG Mincho Light J"/>
                  <w:bCs/>
                  <w:color w:val="000000"/>
                  <w:szCs w:val="24"/>
                  <w:lang w:eastAsia="lt-LT" w:bidi="he-IL"/>
                </w:rPr>
                <w:t>išdėstyti taip:</w:t>
              </w:r>
            </w:p>
            <w:sdt>
              <w:sdtPr>
                <w:alias w:val="citata"/>
                <w:tag w:val="part_69e9d3eaa5944c35aa333009453b673a"/>
                <w:lock w:val="sdtLocked"/>
                <w:richText/>
              </w:sdtPr>
              <w:sdtContent>
                <w:sdt>
                  <w:sdtPr>
                    <w:alias w:val="51 p."/>
                    <w:tag w:val="part_f4ea939116bf44bfbd4c2b3ba9c57302"/>
                    <w:lock w:val="sdtLocked"/>
                    <w:richText/>
                  </w:sdtPr>
                  <w:sdtContent>
                    <w:p w14:paraId="25543D03" w14:textId="77777777">
                      <w:pPr>
                        <w:ind w:firstLine="567"/>
                        <w:jc w:val="both"/>
                        <w:rPr>
                          <w:color w:val="000000"/>
                          <w:szCs w:val="24"/>
                          <w:lang w:eastAsia="lt-LT"/>
                        </w:rPr>
                      </w:pPr>
                      <w:r>
                        <w:rPr>
                          <w:rFonts w:eastAsia="HG Mincho Light J"/>
                          <w:bCs/>
                          <w:color w:val="000000"/>
                          <w:szCs w:val="24"/>
                          <w:lang w:eastAsia="lt-LT" w:bidi="he-IL"/>
                        </w:rPr>
                        <w:t>„</w:t>
                      </w:r>
                      <w:sdt>
                        <w:sdtPr>
                          <w:alias w:val="Numeris"/>
                          <w:tag w:val="nr_f4ea939116bf44bfbd4c2b3ba9c57302"/>
                          <w:lock w:val="sdtLocked"/>
                          <w:richText/>
                        </w:sdtPr>
                        <w:sdtContent>
                          <w:r>
                            <w:rPr>
                              <w:rFonts w:eastAsia="HG Mincho Light J"/>
                              <w:bCs/>
                              <w:color w:val="000000"/>
                              <w:szCs w:val="24"/>
                              <w:lang w:eastAsia="lt-LT" w:bidi="he-IL"/>
                            </w:rPr>
                            <w:t>51</w:t>
                          </w:r>
                        </w:sdtContent>
                      </w:sdt>
                      <w:r>
                        <w:rPr>
                          <w:rFonts w:eastAsia="HG Mincho Light J"/>
                          <w:bCs/>
                          <w:color w:val="000000"/>
                          <w:szCs w:val="24"/>
                          <w:lang w:eastAsia="lt-LT" w:bidi="he-IL"/>
                        </w:rPr>
                        <w:t xml:space="preserve">. </w:t>
                      </w:r>
                      <w:r>
                        <w:rPr>
                          <w:color w:val="000000"/>
                          <w:szCs w:val="24"/>
                          <w:lang w:eastAsia="lt-LT"/>
                        </w:rPr>
                        <w:t>Jeigu asmeniui nepaskirta ir nemokama individualios pagalbos teikimo išlaidų kompensacija, mokėjimo už asmeninę pagalbą dydis:</w:t>
                      </w:r>
                    </w:p>
                    <w:sdt>
                      <w:sdtPr>
                        <w:alias w:val="51.1 pp."/>
                        <w:tag w:val="part_57a48c89ffcf49338d751b8f2a956f8a"/>
                        <w:lock w:val="sdtLocked"/>
                        <w:richText/>
                      </w:sdtPr>
                      <w:sdtContent>
                        <w:p w14:paraId="608BA08B" w14:textId="77777777">
                          <w:pPr>
                            <w:ind w:firstLine="567"/>
                            <w:jc w:val="both"/>
                            <w:rPr>
                              <w:bCs/>
                              <w:color w:val="000000"/>
                              <w:szCs w:val="24"/>
                              <w:lang w:eastAsia="lt-LT"/>
                            </w:rPr>
                          </w:pPr>
                          <w:sdt>
                            <w:sdtPr>
                              <w:alias w:val="Numeris"/>
                              <w:tag w:val="nr_57a48c89ffcf49338d751b8f2a956f8a"/>
                              <w:lock w:val="sdtLocked"/>
                              <w:richText/>
                            </w:sdtPr>
                            <w:sdtContent>
                              <w:r>
                                <w:rPr>
                                  <w:bCs/>
                                  <w:color w:val="000000"/>
                                  <w:szCs w:val="24"/>
                                  <w:lang w:eastAsia="lt-LT"/>
                                </w:rPr>
                                <w:t>51.1</w:t>
                              </w:r>
                            </w:sdtContent>
                          </w:sdt>
                          <w:r>
                            <w:rPr>
                              <w:bCs/>
                              <w:color w:val="000000"/>
                              <w:szCs w:val="24"/>
                              <w:lang w:eastAsia="lt-LT"/>
                            </w:rPr>
                            <w:t>. negali viršyti 20 procentų asmeninės pagalbos teikimo išlaidų dydžio ir 20 procentų asmens pajamų;</w:t>
                          </w:r>
                        </w:p>
                      </w:sdtContent>
                    </w:sdt>
                    <w:sdt>
                      <w:sdtPr>
                        <w:alias w:val="51.2 pp."/>
                        <w:tag w:val="part_5b9b41c7856c45f7baaa889383dd7296"/>
                        <w:lock w:val="sdtLocked"/>
                        <w:richText/>
                      </w:sdtPr>
                      <w:sdtContent>
                        <w:p w14:paraId="3C14FEC2" w14:textId="652617B0">
                          <w:pPr>
                            <w:ind w:firstLine="567"/>
                            <w:jc w:val="both"/>
                            <w:rPr>
                              <w:color w:val="000000"/>
                              <w:szCs w:val="24"/>
                              <w:lang w:eastAsia="lt-LT"/>
                            </w:rPr>
                          </w:pPr>
                          <w:sdt>
                            <w:sdtPr>
                              <w:alias w:val="Numeris"/>
                              <w:tag w:val="nr_5b9b41c7856c45f7baaa889383dd7296"/>
                              <w:lock w:val="sdtLocked"/>
                              <w:richText/>
                            </w:sdtPr>
                            <w:sdtContent>
                              <w:r>
                                <w:rPr>
                                  <w:rFonts w:eastAsia="Calibri"/>
                                  <w:bCs/>
                                  <w:szCs w:val="24"/>
                                  <w:lang w:eastAsia="lt-LT"/>
                                </w:rPr>
                                <w:t>51.2</w:t>
                              </w:r>
                            </w:sdtContent>
                          </w:sdt>
                          <w:r>
                            <w:rPr>
                              <w:rFonts w:eastAsia="Calibri"/>
                              <w:bCs/>
                              <w:szCs w:val="24"/>
                              <w:lang w:eastAsia="lt-LT"/>
                            </w:rPr>
                            <w:t>. jei asmeniui nustatomas poreikis gauti asmeninę pagalbą ir specialiąsias socialines paslaugas, apskaičiuojamas vadovaujantis Aprašo 53 punktu, atskaičius apskaičiuotą asmens mokėjimo už specialiąsias socialines paslaugas dydį.</w:t>
                          </w:r>
                          <w:r>
                            <w:rPr>
                              <w:bCs/>
                              <w:color w:val="000000"/>
                              <w:szCs w:val="24"/>
                              <w:lang w:eastAsia="lt-LT"/>
                            </w:rPr>
                            <w:t>“</w:t>
                          </w:r>
                        </w:p>
                      </w:sdtContent>
                    </w:sdt>
                  </w:sdtContent>
                </w:sdt>
              </w:sdtContent>
            </w:sdt>
          </w:sdtContent>
        </w:sdt>
        <w:sdt>
          <w:sdtPr>
            <w:alias w:val="6 p."/>
            <w:tag w:val="part_3d0b1317ba97422dbe93581faf5ea5ab"/>
            <w:lock w:val="sdtLocked"/>
            <w:richText/>
          </w:sdtPr>
          <w:sdtContent>
            <w:p w14:paraId="2795C9EE" w14:textId="3D9C14DB">
              <w:pPr>
                <w:widowControl w:val="0"/>
                <w:shd w:val="clear" w:color="auto" w:fill="FFFFFF"/>
                <w:suppressAutoHyphens/>
                <w:ind w:firstLine="567"/>
                <w:jc w:val="both"/>
                <w:rPr>
                  <w:rFonts w:eastAsia="HG Mincho Light J"/>
                  <w:bCs/>
                  <w:color w:val="000000"/>
                  <w:szCs w:val="24"/>
                  <w:lang w:eastAsia="lt-LT" w:bidi="he-IL"/>
                </w:rPr>
              </w:pPr>
              <w:sdt>
                <w:sdtPr>
                  <w:alias w:val="Numeris"/>
                  <w:tag w:val="nr_3d0b1317ba97422dbe93581faf5ea5ab"/>
                  <w:lock w:val="sdtLocked"/>
                  <w:richText/>
                </w:sdtPr>
                <w:sdtContent>
                  <w:r>
                    <w:rPr>
                      <w:bCs/>
                      <w:color w:val="000000"/>
                      <w:szCs w:val="24"/>
                      <w:lang w:eastAsia="lt-LT"/>
                    </w:rPr>
                    <w:t>6</w:t>
                  </w:r>
                </w:sdtContent>
              </w:sdt>
              <w:r>
                <w:rPr>
                  <w:bCs/>
                  <w:color w:val="000000"/>
                  <w:szCs w:val="24"/>
                  <w:lang w:eastAsia="lt-LT"/>
                </w:rPr>
                <w:t xml:space="preserve">. </w:t>
              </w:r>
              <w:r>
                <w:rPr>
                  <w:rFonts w:eastAsia="HG Mincho Light J"/>
                  <w:bCs/>
                  <w:color w:val="000000"/>
                  <w:szCs w:val="24"/>
                  <w:lang w:eastAsia="lt-LT"/>
                </w:rPr>
                <w:t xml:space="preserve">Pakeisti 53.1 papunktį ir </w:t>
              </w:r>
              <w:r>
                <w:rPr>
                  <w:rFonts w:eastAsia="HG Mincho Light J"/>
                  <w:bCs/>
                  <w:color w:val="000000"/>
                  <w:szCs w:val="24"/>
                  <w:lang w:eastAsia="lt-LT" w:bidi="he-IL"/>
                </w:rPr>
                <w:t>jį išdėstyti taip:</w:t>
              </w:r>
            </w:p>
            <w:sdt>
              <w:sdtPr>
                <w:alias w:val="citata"/>
                <w:tag w:val="part_f839801016d54e4fb98ef4967e036dc3"/>
                <w:lock w:val="sdtLocked"/>
                <w:richText/>
              </w:sdtPr>
              <w:sdtContent>
                <w:sdt>
                  <w:sdtPr>
                    <w:alias w:val="53.1 pp."/>
                    <w:tag w:val="part_e47ecfb89e9940a8a44569b74b3a9a03"/>
                    <w:lock w:val="sdtLocked"/>
                    <w:richText/>
                  </w:sdtPr>
                  <w:sdtContent>
                    <w:p w14:paraId="32645697" w14:textId="138BAF7A">
                      <w:pPr>
                        <w:ind w:firstLine="567"/>
                        <w:jc w:val="both"/>
                        <w:rPr>
                          <w:szCs w:val="24"/>
                          <w:lang w:eastAsia="lt-LT"/>
                        </w:rPr>
                      </w:pPr>
                      <w:r>
                        <w:rPr>
                          <w:rFonts w:eastAsia="HG Mincho Light J"/>
                          <w:bCs/>
                          <w:color w:val="000000"/>
                          <w:szCs w:val="24"/>
                          <w:lang w:eastAsia="lt-LT" w:bidi="he-IL"/>
                        </w:rPr>
                        <w:t>„</w:t>
                      </w:r>
                      <w:sdt>
                        <w:sdtPr>
                          <w:alias w:val="Numeris"/>
                          <w:tag w:val="nr_e47ecfb89e9940a8a44569b74b3a9a03"/>
                          <w:lock w:val="sdtLocked"/>
                          <w:richText/>
                        </w:sdtPr>
                        <w:sdtContent>
                          <w:r>
                            <w:rPr>
                              <w:szCs w:val="24"/>
                              <w:lang w:eastAsia="lt-LT"/>
                            </w:rPr>
                            <w:t>53.1</w:t>
                          </w:r>
                        </w:sdtContent>
                      </w:sdt>
                      <w:r>
                        <w:rPr>
                          <w:szCs w:val="24"/>
                          <w:lang w:eastAsia="lt-LT"/>
                        </w:rPr>
                        <w:t>. kai pajamos yra 2 VRP dydžiai arba didesnės už juos, bet mažesnės kaip 3 VRP dydžiai, mokėjimo už asmeninę pagalbą dydis</w:t>
                      </w:r>
                      <w:r>
                        <w:rPr>
                          <w:b/>
                          <w:bCs/>
                          <w:szCs w:val="24"/>
                          <w:lang w:eastAsia="lt-LT"/>
                        </w:rPr>
                        <w:t xml:space="preserve"> </w:t>
                      </w:r>
                      <w:r>
                        <w:rPr>
                          <w:szCs w:val="24"/>
                          <w:lang w:eastAsia="lt-LT"/>
                        </w:rPr>
                        <w:t xml:space="preserve">yra  5</w:t>
                      </w:r>
                      <w:r>
                        <w:rPr>
                          <w:b/>
                          <w:bCs/>
                          <w:szCs w:val="24"/>
                          <w:lang w:eastAsia="lt-LT"/>
                        </w:rPr>
                        <w:t xml:space="preserve"> </w:t>
                      </w:r>
                      <w:r>
                        <w:rPr>
                          <w:szCs w:val="24"/>
                          <w:lang w:eastAsia="lt-LT"/>
                        </w:rPr>
                        <w:t>procentai asmens pajamų;</w:t>
                      </w:r>
                      <w:r>
                        <w:rPr>
                          <w:rFonts w:eastAsia="HG Mincho Light J"/>
                          <w:bCs/>
                          <w:color w:val="000000"/>
                          <w:szCs w:val="24"/>
                          <w:lang w:eastAsia="lt-LT" w:bidi="he-IL"/>
                        </w:rPr>
                        <w:t>“.</w:t>
                      </w:r>
                    </w:p>
                  </w:sdtContent>
                </w:sdt>
              </w:sdtContent>
            </w:sdt>
          </w:sdtContent>
        </w:sdt>
        <w:sdt>
          <w:sdtPr>
            <w:alias w:val="7 p."/>
            <w:tag w:val="part_4f56889d67584308b5ff82b730988014"/>
            <w:lock w:val="sdtLocked"/>
            <w:richText/>
          </w:sdtPr>
          <w:sdtContent>
            <w:p w14:paraId="299ECB37" w14:textId="48E36809">
              <w:pPr>
                <w:widowControl w:val="0"/>
                <w:shd w:val="clear" w:color="auto" w:fill="FFFFFF"/>
                <w:suppressAutoHyphens/>
                <w:ind w:firstLine="567"/>
                <w:jc w:val="both"/>
                <w:rPr>
                  <w:rFonts w:eastAsia="HG Mincho Light J"/>
                  <w:bCs/>
                  <w:color w:val="000000"/>
                  <w:szCs w:val="24"/>
                  <w:lang w:eastAsia="lt-LT" w:bidi="he-IL"/>
                </w:rPr>
              </w:pPr>
              <w:sdt>
                <w:sdtPr>
                  <w:alias w:val="Numeris"/>
                  <w:tag w:val="nr_4f56889d67584308b5ff82b730988014"/>
                  <w:lock w:val="sdtLocked"/>
                  <w:richText/>
                </w:sdtPr>
                <w:sdtContent>
                  <w:r>
                    <w:rPr>
                      <w:bCs/>
                      <w:color w:val="000000"/>
                      <w:szCs w:val="24"/>
                      <w:lang w:eastAsia="lt-LT"/>
                    </w:rPr>
                    <w:t>7</w:t>
                  </w:r>
                </w:sdtContent>
              </w:sdt>
              <w:r>
                <w:rPr>
                  <w:bCs/>
                  <w:color w:val="000000"/>
                  <w:szCs w:val="24"/>
                  <w:lang w:eastAsia="lt-LT"/>
                </w:rPr>
                <w:t xml:space="preserve">. </w:t>
              </w:r>
              <w:r>
                <w:rPr>
                  <w:rFonts w:eastAsia="HG Mincho Light J"/>
                  <w:bCs/>
                  <w:color w:val="000000"/>
                  <w:szCs w:val="24"/>
                  <w:lang w:eastAsia="lt-LT"/>
                </w:rPr>
                <w:t xml:space="preserve">Pakeisti 53.2 papunktį ir </w:t>
              </w:r>
              <w:r>
                <w:rPr>
                  <w:rFonts w:eastAsia="HG Mincho Light J"/>
                  <w:bCs/>
                  <w:color w:val="000000"/>
                  <w:szCs w:val="24"/>
                  <w:lang w:eastAsia="lt-LT" w:bidi="he-IL"/>
                </w:rPr>
                <w:t>jį išdėstyti taip:</w:t>
              </w:r>
            </w:p>
            <w:sdt>
              <w:sdtPr>
                <w:alias w:val="citata"/>
                <w:tag w:val="part_8835852e4b924682aceef34e27cd6b0a"/>
                <w:lock w:val="sdtLocked"/>
                <w:richText/>
              </w:sdtPr>
              <w:sdtContent>
                <w:sdt>
                  <w:sdtPr>
                    <w:alias w:val="53.2 pp."/>
                    <w:tag w:val="part_e52d8df25d41488193d05e538d12e0c5"/>
                    <w:lock w:val="sdtLocked"/>
                    <w:richText/>
                  </w:sdtPr>
                  <w:sdtContent>
                    <w:p w14:paraId="704BC95D" w14:textId="70D78D85">
                      <w:pPr>
                        <w:widowControl w:val="0"/>
                        <w:shd w:val="clear" w:color="auto" w:fill="FFFFFF"/>
                        <w:suppressAutoHyphens/>
                        <w:ind w:firstLine="567"/>
                        <w:jc w:val="both"/>
                        <w:rPr>
                          <w:bCs/>
                          <w:szCs w:val="24"/>
                          <w:lang w:eastAsia="lt-LT"/>
                        </w:rPr>
                      </w:pPr>
                      <w:r>
                        <w:rPr>
                          <w:bCs/>
                          <w:szCs w:val="24"/>
                          <w:lang w:eastAsia="lt-LT"/>
                        </w:rPr>
                        <w:t>„</w:t>
                      </w:r>
                      <w:sdt>
                        <w:sdtPr>
                          <w:alias w:val="Numeris"/>
                          <w:tag w:val="nr_e52d8df25d41488193d05e538d12e0c5"/>
                          <w:lock w:val="sdtLocked"/>
                          <w:richText/>
                        </w:sdtPr>
                        <w:sdtContent>
                          <w:r>
                            <w:rPr>
                              <w:bCs/>
                              <w:szCs w:val="24"/>
                              <w:lang w:eastAsia="lt-LT"/>
                            </w:rPr>
                            <w:t>53.2</w:t>
                          </w:r>
                        </w:sdtContent>
                      </w:sdt>
                      <w:r>
                        <w:rPr>
                          <w:bCs/>
                          <w:szCs w:val="24"/>
                          <w:lang w:eastAsia="lt-LT"/>
                        </w:rPr>
                        <w:t>. kai pajamos yra 3 VRP dydžiai arba didesnės už juos, bet mažesnės kaip 4 VRP dydžiai, mokėjimo už asmeninę pagalbą dydis yra 10 procentų asmens pajamų;“.</w:t>
                      </w:r>
                    </w:p>
                  </w:sdtContent>
                </w:sdt>
              </w:sdtContent>
            </w:sdt>
          </w:sdtContent>
        </w:sdt>
        <w:sdt>
          <w:sdtPr>
            <w:alias w:val="8 p."/>
            <w:tag w:val="part_35a1045f36944eb9b296ea3679bdc13e"/>
            <w:lock w:val="sdtLocked"/>
            <w:richText/>
          </w:sdtPr>
          <w:sdtContent>
            <w:p w14:paraId="74DB67D8" w14:textId="4426CF35">
              <w:pPr>
                <w:widowControl w:val="0"/>
                <w:shd w:val="clear" w:color="auto" w:fill="FFFFFF"/>
                <w:suppressAutoHyphens/>
                <w:ind w:firstLine="567"/>
                <w:jc w:val="both"/>
                <w:rPr>
                  <w:rFonts w:eastAsia="HG Mincho Light J"/>
                  <w:bCs/>
                  <w:color w:val="000000"/>
                  <w:szCs w:val="24"/>
                  <w:lang w:eastAsia="lt-LT" w:bidi="he-IL"/>
                </w:rPr>
              </w:pPr>
              <w:sdt>
                <w:sdtPr>
                  <w:alias w:val="Numeris"/>
                  <w:tag w:val="nr_35a1045f36944eb9b296ea3679bdc13e"/>
                  <w:lock w:val="sdtLocked"/>
                  <w:richText/>
                </w:sdtPr>
                <w:sdtContent>
                  <w:r>
                    <w:rPr>
                      <w:bCs/>
                      <w:color w:val="000000"/>
                      <w:szCs w:val="24"/>
                      <w:lang w:eastAsia="lt-LT"/>
                    </w:rPr>
                    <w:t>8</w:t>
                  </w:r>
                </w:sdtContent>
              </w:sdt>
              <w:r>
                <w:rPr>
                  <w:bCs/>
                  <w:color w:val="000000"/>
                  <w:szCs w:val="24"/>
                  <w:lang w:eastAsia="lt-LT"/>
                </w:rPr>
                <w:t xml:space="preserve">. </w:t>
              </w:r>
              <w:r>
                <w:rPr>
                  <w:rFonts w:eastAsia="HG Mincho Light J"/>
                  <w:bCs/>
                  <w:color w:val="000000"/>
                  <w:szCs w:val="24"/>
                  <w:lang w:eastAsia="lt-LT"/>
                </w:rPr>
                <w:t xml:space="preserve">Pakeisti 53.3 papunktį ir </w:t>
              </w:r>
              <w:r>
                <w:rPr>
                  <w:rFonts w:eastAsia="HG Mincho Light J"/>
                  <w:bCs/>
                  <w:color w:val="000000"/>
                  <w:szCs w:val="24"/>
                  <w:lang w:eastAsia="lt-LT" w:bidi="he-IL"/>
                </w:rPr>
                <w:t>jį išdėstyti taip:</w:t>
              </w:r>
            </w:p>
            <w:sdt>
              <w:sdtPr>
                <w:alias w:val="citata"/>
                <w:tag w:val="part_5c28d64c7dc14aec96a5d0a542fa6f91"/>
                <w:lock w:val="sdtLocked"/>
                <w:richText/>
              </w:sdtPr>
              <w:sdtContent>
                <w:sdt>
                  <w:sdtPr>
                    <w:alias w:val="53.3 pp."/>
                    <w:tag w:val="part_55db7db928ca49d7a2704ffe6e90ffa2"/>
                    <w:lock w:val="sdtLocked"/>
                    <w:richText/>
                  </w:sdtPr>
                  <w:sdtContent>
                    <w:p w14:paraId="623DA10C" w14:textId="01CE3969">
                      <w:pPr>
                        <w:widowControl w:val="0"/>
                        <w:shd w:val="clear" w:color="auto" w:fill="FFFFFF"/>
                        <w:suppressAutoHyphens/>
                        <w:ind w:firstLine="567"/>
                        <w:jc w:val="both"/>
                        <w:rPr>
                          <w:rFonts w:eastAsia="HG Mincho Light J"/>
                          <w:bCs/>
                          <w:szCs w:val="24"/>
                          <w:lang w:eastAsia="lt-LT" w:bidi="he-IL"/>
                        </w:rPr>
                      </w:pPr>
                      <w:r>
                        <w:rPr>
                          <w:rFonts w:eastAsia="HG Mincho Light J"/>
                          <w:bCs/>
                          <w:szCs w:val="24"/>
                          <w:lang w:eastAsia="lt-LT" w:bidi="he-IL"/>
                        </w:rPr>
                        <w:t>„</w:t>
                      </w:r>
                      <w:sdt>
                        <w:sdtPr>
                          <w:alias w:val="Numeris"/>
                          <w:tag w:val="nr_55db7db928ca49d7a2704ffe6e90ffa2"/>
                          <w:lock w:val="sdtLocked"/>
                          <w:richText/>
                        </w:sdtPr>
                        <w:sdtContent>
                          <w:r>
                            <w:rPr>
                              <w:szCs w:val="24"/>
                              <w:lang w:eastAsia="lt-LT"/>
                            </w:rPr>
                            <w:t>53.3</w:t>
                          </w:r>
                        </w:sdtContent>
                      </w:sdt>
                      <w:r>
                        <w:rPr>
                          <w:szCs w:val="24"/>
                          <w:lang w:eastAsia="lt-LT"/>
                        </w:rPr>
                        <w:t>. kai pajamos yra 4 VRP dydžiai arba didesnės už juos, bet mažesnės kaip 5 VRP dydžiai, mokėjimo už asmeninę pagalbą dydis yra</w:t>
                      </w:r>
                      <w:r>
                        <w:rPr>
                          <w:b/>
                          <w:bCs/>
                          <w:szCs w:val="24"/>
                          <w:lang w:eastAsia="lt-LT"/>
                        </w:rPr>
                        <w:t xml:space="preserve"> </w:t>
                      </w:r>
                      <w:r>
                        <w:rPr>
                          <w:szCs w:val="24"/>
                          <w:lang w:eastAsia="lt-LT"/>
                        </w:rPr>
                        <w:t>15</w:t>
                      </w:r>
                      <w:r>
                        <w:rPr>
                          <w:b/>
                          <w:bCs/>
                          <w:szCs w:val="24"/>
                          <w:lang w:eastAsia="lt-LT"/>
                        </w:rPr>
                        <w:t xml:space="preserve"> </w:t>
                      </w:r>
                      <w:r>
                        <w:rPr>
                          <w:szCs w:val="24"/>
                          <w:lang w:eastAsia="lt-LT"/>
                        </w:rPr>
                        <w:t>procentų asmens pajamų;</w:t>
                      </w:r>
                      <w:r>
                        <w:rPr>
                          <w:rFonts w:eastAsia="HG Mincho Light J"/>
                          <w:bCs/>
                          <w:szCs w:val="24"/>
                          <w:lang w:eastAsia="lt-LT" w:bidi="he-IL"/>
                        </w:rPr>
                        <w:t>“.</w:t>
                      </w:r>
                    </w:p>
                  </w:sdtContent>
                </w:sdt>
              </w:sdtContent>
            </w:sdt>
          </w:sdtContent>
        </w:sdt>
        <w:sdt>
          <w:sdtPr>
            <w:alias w:val="9 p."/>
            <w:tag w:val="part_e37c1ee8f02b44d09b2f0e9ef04a7528"/>
            <w:lock w:val="sdtLocked"/>
            <w:richText/>
          </w:sdtPr>
          <w:sdtContent>
            <w:p w14:paraId="783F3EEB" w14:textId="004E0365">
              <w:pPr>
                <w:widowControl w:val="0"/>
                <w:shd w:val="clear" w:color="auto" w:fill="FFFFFF"/>
                <w:suppressAutoHyphens/>
                <w:ind w:firstLine="567"/>
                <w:jc w:val="both"/>
                <w:rPr>
                  <w:rFonts w:eastAsia="HG Mincho Light J"/>
                  <w:bCs/>
                  <w:color w:val="000000"/>
                  <w:szCs w:val="24"/>
                  <w:lang w:eastAsia="lt-LT" w:bidi="he-IL"/>
                </w:rPr>
              </w:pPr>
              <w:sdt>
                <w:sdtPr>
                  <w:alias w:val="Numeris"/>
                  <w:tag w:val="nr_e37c1ee8f02b44d09b2f0e9ef04a7528"/>
                  <w:lock w:val="sdtLocked"/>
                  <w:richText/>
                </w:sdtPr>
                <w:sdtContent>
                  <w:r>
                    <w:rPr>
                      <w:bCs/>
                      <w:color w:val="000000"/>
                      <w:szCs w:val="24"/>
                      <w:lang w:eastAsia="lt-LT"/>
                    </w:rPr>
                    <w:t>9</w:t>
                  </w:r>
                </w:sdtContent>
              </w:sdt>
              <w:r>
                <w:rPr>
                  <w:bCs/>
                  <w:color w:val="000000"/>
                  <w:szCs w:val="24"/>
                  <w:lang w:eastAsia="lt-LT"/>
                </w:rPr>
                <w:t xml:space="preserve">. </w:t>
              </w:r>
              <w:r>
                <w:rPr>
                  <w:rFonts w:eastAsia="HG Mincho Light J"/>
                  <w:bCs/>
                  <w:color w:val="000000"/>
                  <w:szCs w:val="24"/>
                  <w:lang w:eastAsia="lt-LT"/>
                </w:rPr>
                <w:t xml:space="preserve">Pakeisti 53.4 papunktį ir </w:t>
              </w:r>
              <w:r>
                <w:rPr>
                  <w:rFonts w:eastAsia="HG Mincho Light J"/>
                  <w:bCs/>
                  <w:color w:val="000000"/>
                  <w:szCs w:val="24"/>
                  <w:lang w:eastAsia="lt-LT" w:bidi="he-IL"/>
                </w:rPr>
                <w:t>jį išdėstyti taip:</w:t>
              </w:r>
            </w:p>
            <w:sdt>
              <w:sdtPr>
                <w:alias w:val="citata"/>
                <w:tag w:val="part_01c417eace9f421fad9afe784d9fa101"/>
                <w:lock w:val="sdtLocked"/>
                <w:richText/>
              </w:sdtPr>
              <w:sdtContent>
                <w:sdt>
                  <w:sdtPr>
                    <w:alias w:val="53.4 pp."/>
                    <w:tag w:val="part_54bcad7f3b9d4889941ca41413982cb3"/>
                    <w:lock w:val="sdtLocked"/>
                    <w:richText/>
                  </w:sdtPr>
                  <w:sdtContent>
                    <w:p w14:paraId="5C9D6053" w14:textId="60C46FFB">
                      <w:pPr>
                        <w:widowControl w:val="0"/>
                        <w:shd w:val="clear" w:color="auto" w:fill="FFFFFF"/>
                        <w:suppressAutoHyphens/>
                        <w:ind w:firstLine="567"/>
                        <w:jc w:val="both"/>
                        <w:rPr>
                          <w:rFonts w:eastAsia="HG Mincho Light J"/>
                          <w:bCs/>
                          <w:szCs w:val="24"/>
                          <w:lang w:eastAsia="lt-LT" w:bidi="he-IL"/>
                        </w:rPr>
                      </w:pPr>
                      <w:r>
                        <w:rPr>
                          <w:rFonts w:eastAsia="HG Mincho Light J"/>
                          <w:bCs/>
                          <w:szCs w:val="24"/>
                          <w:lang w:eastAsia="lt-LT" w:bidi="he-IL"/>
                        </w:rPr>
                        <w:t>„</w:t>
                      </w:r>
                      <w:sdt>
                        <w:sdtPr>
                          <w:alias w:val="Numeris"/>
                          <w:tag w:val="nr_54bcad7f3b9d4889941ca41413982cb3"/>
                          <w:lock w:val="sdtLocked"/>
                          <w:richText/>
                        </w:sdtPr>
                        <w:sdtContent>
                          <w:r>
                            <w:rPr>
                              <w:szCs w:val="24"/>
                              <w:lang w:eastAsia="lt-LT"/>
                            </w:rPr>
                            <w:t>53.4</w:t>
                          </w:r>
                        </w:sdtContent>
                      </w:sdt>
                      <w:r>
                        <w:rPr>
                          <w:szCs w:val="24"/>
                          <w:lang w:eastAsia="lt-LT"/>
                        </w:rPr>
                        <w:t xml:space="preserve">. </w:t>
                      </w:r>
                      <w:r>
                        <w:rPr>
                          <w:rFonts w:eastAsia="HG Mincho Light J"/>
                          <w:szCs w:val="24"/>
                          <w:lang w:eastAsia="lt-LT"/>
                        </w:rPr>
                        <w:t xml:space="preserve">kai pajamos </w:t>
                      </w:r>
                      <w:r>
                        <w:rPr>
                          <w:szCs w:val="24"/>
                          <w:lang w:eastAsia="lt-LT"/>
                        </w:rPr>
                        <w:t>yra 5 VRP dydžiai arba didesnės už juos, mokėjimo už asmeninę pagalbą dydis yra 20 procentų asmens pajamų.</w:t>
                      </w:r>
                      <w:r>
                        <w:rPr>
                          <w:rFonts w:eastAsia="HG Mincho Light J"/>
                          <w:bCs/>
                          <w:szCs w:val="24"/>
                          <w:lang w:eastAsia="lt-LT" w:bidi="he-IL"/>
                        </w:rPr>
                        <w:t>“</w:t>
                      </w:r>
                    </w:p>
                  </w:sdtContent>
                </w:sdt>
              </w:sdtContent>
            </w:sdt>
          </w:sdtContent>
        </w:sdt>
        <w:sdt>
          <w:sdtPr>
            <w:alias w:val="10 p."/>
            <w:tag w:val="part_d4a614fa19b44d528b591cc5295486f5"/>
            <w:lock w:val="sdtLocked"/>
            <w:richText/>
          </w:sdtPr>
          <w:sdtContent>
            <w:p w14:paraId="5BD37E33" w14:textId="37CC1972">
              <w:pPr>
                <w:widowControl w:val="0"/>
                <w:shd w:val="clear" w:color="auto" w:fill="FFFFFF"/>
                <w:suppressAutoHyphens/>
                <w:ind w:firstLine="567"/>
                <w:jc w:val="both"/>
                <w:rPr>
                  <w:rFonts w:eastAsia="HG Mincho Light J"/>
                  <w:bCs/>
                  <w:color w:val="00B0F0"/>
                  <w:szCs w:val="24"/>
                  <w:lang w:eastAsia="lt-LT" w:bidi="he-IL"/>
                </w:rPr>
              </w:pPr>
              <w:sdt>
                <w:sdtPr>
                  <w:alias w:val="Numeris"/>
                  <w:tag w:val="nr_d4a614fa19b44d528b591cc5295486f5"/>
                  <w:lock w:val="sdtLocked"/>
                  <w:richText/>
                </w:sdtPr>
                <w:sdtContent>
                  <w:r>
                    <w:rPr>
                      <w:rFonts w:eastAsia="HG Mincho Light J"/>
                      <w:bCs/>
                      <w:szCs w:val="24"/>
                      <w:lang w:eastAsia="lt-LT" w:bidi="he-IL"/>
                    </w:rPr>
                    <w:t>10</w:t>
                  </w:r>
                </w:sdtContent>
              </w:sdt>
              <w:r>
                <w:rPr>
                  <w:rFonts w:eastAsia="HG Mincho Light J"/>
                  <w:bCs/>
                  <w:szCs w:val="24"/>
                  <w:lang w:eastAsia="lt-LT" w:bidi="he-IL"/>
                </w:rPr>
                <w:t xml:space="preserve">. </w:t>
              </w:r>
              <w:r>
                <w:rPr>
                  <w:rFonts w:eastAsia="HG Mincho Light J"/>
                  <w:bCs/>
                  <w:color w:val="000000"/>
                  <w:szCs w:val="24"/>
                  <w:lang w:eastAsia="lt-LT"/>
                </w:rPr>
                <w:t>Papildyti 53</w:t>
              </w:r>
              <w:r>
                <w:rPr>
                  <w:rFonts w:eastAsia="HG Mincho Light J"/>
                  <w:bCs/>
                  <w:color w:val="000000"/>
                  <w:szCs w:val="24"/>
                  <w:vertAlign w:val="superscript"/>
                  <w:lang w:eastAsia="lt-LT"/>
                </w:rPr>
                <w:t>1</w:t>
              </w:r>
              <w:r>
                <w:rPr>
                  <w:rFonts w:eastAsia="HG Mincho Light J"/>
                  <w:bCs/>
                  <w:color w:val="000000"/>
                  <w:szCs w:val="24"/>
                  <w:lang w:eastAsia="lt-LT"/>
                </w:rPr>
                <w:t xml:space="preserve"> punktu</w:t>
              </w:r>
              <w:r>
                <w:rPr>
                  <w:rFonts w:eastAsia="HG Mincho Light J"/>
                  <w:bCs/>
                  <w:color w:val="000000"/>
                  <w:szCs w:val="24"/>
                  <w:lang w:eastAsia="lt-LT" w:bidi="he-IL"/>
                </w:rPr>
                <w:t>:</w:t>
              </w:r>
              <w:r>
                <w:rPr>
                  <w:rFonts w:eastAsia="HG Mincho Light J"/>
                  <w:bCs/>
                  <w:color w:val="00B0F0"/>
                  <w:szCs w:val="24"/>
                  <w:lang w:eastAsia="lt-LT" w:bidi="he-IL"/>
                </w:rPr>
                <w:t xml:space="preserve"> </w:t>
              </w:r>
            </w:p>
            <w:sdt>
              <w:sdtPr>
                <w:alias w:val="citata"/>
                <w:tag w:val="part_f26eb3a276bc4f37b36c6d75e30691bf"/>
                <w:lock w:val="sdtLocked"/>
                <w:richText/>
              </w:sdtPr>
              <w:sdtContent>
                <w:sdt>
                  <w:sdtPr>
                    <w:alias w:val="53-1 p."/>
                    <w:tag w:val="part_925c4860ca9845f39ad02e0dc3327269"/>
                    <w:lock w:val="sdtLocked"/>
                    <w:richText/>
                  </w:sdtPr>
                  <w:sdtContent>
                    <w:p w14:paraId="67303FFA" w14:textId="6B08D82F">
                      <w:pPr>
                        <w:widowControl w:val="0"/>
                        <w:shd w:val="clear" w:color="auto" w:fill="FFFFFF"/>
                        <w:suppressAutoHyphens/>
                        <w:ind w:firstLine="567"/>
                        <w:jc w:val="both"/>
                        <w:rPr>
                          <w:bCs/>
                          <w:szCs w:val="24"/>
                          <w:lang w:eastAsia="lt-LT"/>
                        </w:rPr>
                      </w:pPr>
                      <w:r>
                        <w:rPr>
                          <w:bCs/>
                          <w:color w:val="000000"/>
                          <w:szCs w:val="24"/>
                          <w:lang w:eastAsia="lt-LT"/>
                        </w:rPr>
                        <w:t>„</w:t>
                      </w:r>
                      <w:sdt>
                        <w:sdtPr>
                          <w:alias w:val="Numeris"/>
                          <w:tag w:val="nr_925c4860ca9845f39ad02e0dc3327269"/>
                          <w:lock w:val="sdtLocked"/>
                          <w:richText/>
                        </w:sdtPr>
                        <w:sdtContent>
                          <w:r>
                            <w:rPr>
                              <w:bCs/>
                              <w:szCs w:val="24"/>
                              <w:lang w:eastAsia="lt-LT"/>
                            </w:rPr>
                            <w:t>53</w:t>
                          </w:r>
                          <w:r>
                            <w:rPr>
                              <w:bCs/>
                              <w:szCs w:val="24"/>
                              <w:vertAlign w:val="superscript"/>
                              <w:lang w:eastAsia="lt-LT"/>
                            </w:rPr>
                            <w:t>1</w:t>
                          </w:r>
                        </w:sdtContent>
                      </w:sdt>
                      <w:r>
                        <w:rPr>
                          <w:bCs/>
                          <w:szCs w:val="24"/>
                          <w:lang w:eastAsia="lt-LT"/>
                        </w:rPr>
                        <w:t>. Aprašo 50 ir 53 punktuose nenustatytais atvejais asmens su negalia mokėjimo už asmeninės pagalbos paslaugą dydis yra nustatomas, vadovaujantis Asmens su negalia mokėjimo už asmeninę pagalbą dydžio nustatymo tvarkos aprašu, patvirtintu Lietuvos Respublikos socialinės apsaugos ir darbo ministro 2021 m. liepos 1 d. įsakymu Nr. A1-478 „Dėl Lietuvos Respublikos asmens su negalia teisių apsaugos pagrindų įstatymo 27 straipsnio įgyvendinimo.“</w:t>
                      </w:r>
                    </w:p>
                  </w:sdtContent>
                </w:sdt>
                <w:sdt>
                  <w:sdtPr>
                    <w:alias w:val="11 p."/>
                    <w:tag w:val="part_007504cacacf43538b02d04b19686d2f"/>
                    <w:lock w:val="sdtLocked"/>
                    <w:richText/>
                  </w:sdtPr>
                  <w:sdtContent>
                    <w:p w14:paraId="47A348A7" w14:textId="2200B10D">
                      <w:pPr>
                        <w:widowControl w:val="0"/>
                        <w:shd w:val="clear" w:color="auto" w:fill="FFFFFF"/>
                        <w:suppressAutoHyphens/>
                        <w:ind w:firstLine="567"/>
                        <w:jc w:val="both"/>
                        <w:rPr>
                          <w:rFonts w:eastAsia="HG Mincho Light J"/>
                          <w:bCs/>
                          <w:szCs w:val="24"/>
                          <w:lang w:eastAsia="lt-LT" w:bidi="he-IL"/>
                        </w:rPr>
                      </w:pPr>
                      <w:sdt>
                        <w:sdtPr>
                          <w:alias w:val="Numeris"/>
                          <w:tag w:val="nr_007504cacacf43538b02d04b19686d2f"/>
                          <w:lock w:val="sdtLocked"/>
                          <w:richText/>
                        </w:sdtPr>
                        <w:sdtContent>
                          <w:r>
                            <w:rPr>
                              <w:rFonts w:eastAsia="HG Mincho Light J"/>
                              <w:bCs/>
                              <w:szCs w:val="24"/>
                              <w:lang w:eastAsia="lt-LT" w:bidi="he-IL"/>
                            </w:rPr>
                            <w:t>11</w:t>
                          </w:r>
                        </w:sdtContent>
                      </w:sdt>
                      <w:r>
                        <w:rPr>
                          <w:rFonts w:eastAsia="HG Mincho Light J"/>
                          <w:bCs/>
                          <w:szCs w:val="24"/>
                          <w:lang w:eastAsia="lt-LT" w:bidi="he-IL"/>
                        </w:rPr>
                        <w:t>. Pakeisti IX skyriaus pavadinimą ir jį išdėstyti taip:</w:t>
                      </w:r>
                    </w:p>
                    <w:p w14:paraId="1F37EC39" w14:textId="12AAA42D">
                      <w:pPr>
                        <w:tabs>
                          <w:tab w:val="left" w:pos="1320"/>
                          <w:tab w:val="left" w:pos="1560"/>
                        </w:tabs>
                        <w:ind w:firstLine="567"/>
                        <w:rPr>
                          <w:b/>
                          <w:color w:val="000000"/>
                          <w:szCs w:val="24"/>
                        </w:rPr>
                      </w:pPr>
                      <w:r>
                        <w:rPr>
                          <w:rFonts w:eastAsia="HG Mincho Light J"/>
                          <w:bCs/>
                          <w:szCs w:val="24"/>
                          <w:lang w:eastAsia="lt-LT" w:bidi="he-IL"/>
                        </w:rPr>
                        <w:t>„</w:t>
                      </w:r>
                      <w:r>
                        <w:rPr>
                          <w:b/>
                          <w:szCs w:val="24"/>
                        </w:rPr>
                        <w:t>IX</w:t>
                      </w:r>
                      <w:r>
                        <w:rPr>
                          <w:b/>
                          <w:color w:val="000000"/>
                          <w:szCs w:val="24"/>
                        </w:rPr>
                        <w:t xml:space="preserve"> SKYRIUS</w:t>
                      </w:r>
                    </w:p>
                    <w:p w14:paraId="77257A1E" w14:textId="5C2F0221">
                      <w:pPr>
                        <w:tabs>
                          <w:tab w:val="left" w:pos="1320"/>
                          <w:tab w:val="left" w:pos="1560"/>
                        </w:tabs>
                        <w:ind w:firstLine="567"/>
                        <w:rPr>
                          <w:bCs/>
                          <w:color w:val="000000"/>
                          <w:szCs w:val="24"/>
                        </w:rPr>
                      </w:pPr>
                      <w:r>
                        <w:rPr>
                          <w:b/>
                          <w:color w:val="000000"/>
                          <w:szCs w:val="24"/>
                        </w:rPr>
                        <w:t>ATLEIDIMAS NUO MOKĖJIMO UŽ SOCIALI</w:t>
                      </w:r>
                      <w:r>
                        <w:rPr>
                          <w:b/>
                          <w:szCs w:val="24"/>
                        </w:rPr>
                        <w:t>NE</w:t>
                      </w:r>
                      <w:r>
                        <w:rPr>
                          <w:b/>
                          <w:color w:val="000000"/>
                          <w:szCs w:val="24"/>
                        </w:rPr>
                        <w:t xml:space="preserve">S </w:t>
                      </w:r>
                      <w:r>
                        <w:rPr>
                          <w:b/>
                          <w:szCs w:val="24"/>
                        </w:rPr>
                        <w:t>PASLAUGAS IR ASMENINĘ PAGALBĄ</w:t>
                      </w:r>
                      <w:r>
                        <w:rPr>
                          <w:rFonts w:eastAsia="HG Mincho Light J"/>
                          <w:bCs/>
                          <w:szCs w:val="24"/>
                          <w:lang w:eastAsia="lt-LT" w:bidi="he-IL"/>
                        </w:rPr>
                        <w:t>“.</w:t>
                      </w:r>
                    </w:p>
                  </w:sdtContent>
                </w:sdt>
              </w:sdtContent>
            </w:sdt>
          </w:sdtContent>
        </w:sdt>
        <w:sdt>
          <w:sdtPr>
            <w:alias w:val="12 p."/>
            <w:tag w:val="part_22fb16ba8e834fba93edd074178e358e"/>
            <w:lock w:val="sdtLocked"/>
            <w:richText/>
          </w:sdtPr>
          <w:sdtContent>
            <w:p w14:paraId="69D3F7ED" w14:textId="3869AF4D">
              <w:pPr>
                <w:widowControl w:val="0"/>
                <w:shd w:val="clear" w:color="auto" w:fill="FFFFFF"/>
                <w:suppressAutoHyphens/>
                <w:ind w:firstLine="567"/>
                <w:jc w:val="both"/>
                <w:rPr>
                  <w:rFonts w:eastAsia="HG Mincho Light J"/>
                  <w:bCs/>
                  <w:szCs w:val="24"/>
                  <w:lang w:eastAsia="lt-LT" w:bidi="he-IL"/>
                </w:rPr>
              </w:pPr>
              <w:sdt>
                <w:sdtPr>
                  <w:alias w:val="Numeris"/>
                  <w:tag w:val="nr_22fb16ba8e834fba93edd074178e358e"/>
                  <w:lock w:val="sdtLocked"/>
                  <w:richText/>
                </w:sdtPr>
                <w:sdtContent>
                  <w:r>
                    <w:rPr>
                      <w:rFonts w:eastAsia="HG Mincho Light J"/>
                      <w:bCs/>
                      <w:szCs w:val="24"/>
                      <w:lang w:eastAsia="lt-LT" w:bidi="he-IL"/>
                    </w:rPr>
                    <w:t>12</w:t>
                  </w:r>
                </w:sdtContent>
              </w:sdt>
              <w:r>
                <w:rPr>
                  <w:rFonts w:eastAsia="HG Mincho Light J"/>
                  <w:bCs/>
                  <w:szCs w:val="24"/>
                  <w:lang w:eastAsia="lt-LT" w:bidi="he-IL"/>
                </w:rPr>
                <w:t xml:space="preserve">. </w:t>
              </w:r>
              <w:r>
                <w:rPr>
                  <w:rFonts w:eastAsia="HG Mincho Light J"/>
                  <w:bCs/>
                  <w:color w:val="000000"/>
                  <w:szCs w:val="24"/>
                  <w:lang w:eastAsia="lt-LT"/>
                </w:rPr>
                <w:t xml:space="preserve">Pakeisti 54 punktą ir </w:t>
              </w:r>
              <w:r>
                <w:rPr>
                  <w:rFonts w:eastAsia="HG Mincho Light J"/>
                  <w:bCs/>
                  <w:color w:val="000000"/>
                  <w:szCs w:val="24"/>
                  <w:lang w:eastAsia="lt-LT" w:bidi="he-IL"/>
                </w:rPr>
                <w:t>jį išdėstyti taip:</w:t>
              </w:r>
            </w:p>
            <w:sdt>
              <w:sdtPr>
                <w:alias w:val="citata"/>
                <w:tag w:val="part_cd62fba61189439eb67df29ae735c49a"/>
                <w:lock w:val="sdtLocked"/>
                <w:richText/>
              </w:sdtPr>
              <w:sdtContent>
                <w:sdt>
                  <w:sdtPr>
                    <w:alias w:val="54 p."/>
                    <w:tag w:val="part_07d626ed308441bb948f5aac1bfdd3f0"/>
                    <w:lock w:val="sdtLocked"/>
                    <w:richText/>
                  </w:sdtPr>
                  <w:sdtContent>
                    <w:p w14:paraId="20EBC4B9" w14:textId="4F6D04A8">
                      <w:pPr>
                        <w:widowControl w:val="0"/>
                        <w:suppressAutoHyphens/>
                        <w:ind w:firstLine="567"/>
                        <w:jc w:val="both"/>
                        <w:rPr>
                          <w:rFonts w:eastAsia="HG Mincho Light J"/>
                          <w:bCs/>
                          <w:szCs w:val="24"/>
                          <w:lang w:eastAsia="lt-LT"/>
                        </w:rPr>
                      </w:pPr>
                      <w:r>
                        <w:rPr>
                          <w:bCs/>
                          <w:color w:val="000000"/>
                          <w:szCs w:val="24"/>
                          <w:lang w:eastAsia="lt-LT"/>
                        </w:rPr>
                        <w:t>„</w:t>
                      </w:r>
                      <w:sdt>
                        <w:sdtPr>
                          <w:alias w:val="Numeris"/>
                          <w:tag w:val="nr_07d626ed308441bb948f5aac1bfdd3f0"/>
                          <w:lock w:val="sdtLocked"/>
                          <w:richText/>
                        </w:sdtPr>
                        <w:sdtContent>
                          <w:r>
                            <w:rPr>
                              <w:bCs/>
                              <w:szCs w:val="24"/>
                            </w:rPr>
                            <w:t>54</w:t>
                          </w:r>
                        </w:sdtContent>
                      </w:sdt>
                      <w:r>
                        <w:rPr>
                          <w:bCs/>
                          <w:szCs w:val="24"/>
                        </w:rPr>
                        <w:t xml:space="preserve">. </w:t>
                      </w:r>
                      <w:r>
                        <w:rPr>
                          <w:bCs/>
                          <w:color w:val="000000"/>
                          <w:szCs w:val="24"/>
                        </w:rPr>
                        <w:t xml:space="preserve">Savivaldybės administracija turi teisę atleisti asmenį nuo mokėjimo arba sumažinti mokėjimą už socialinės globos (trumpalaikės, ilgalaikės) paslaugas </w:t>
                      </w:r>
                      <w:r>
                        <w:rPr>
                          <w:color w:val="000000"/>
                          <w:szCs w:val="24"/>
                        </w:rPr>
                        <w:t>ir asmeninę pagalbą</w:t>
                      </w:r>
                      <w:r>
                        <w:rPr>
                          <w:bCs/>
                          <w:color w:val="000000"/>
                          <w:szCs w:val="24"/>
                        </w:rPr>
                        <w:t>, gavusi asmens prašymą</w:t>
                      </w:r>
                      <w:r>
                        <w:rPr>
                          <w:rFonts w:eastAsia="HG Mincho Light J"/>
                          <w:bCs/>
                          <w:color w:val="000000"/>
                          <w:szCs w:val="24"/>
                          <w:lang w:eastAsia="lt-LT"/>
                        </w:rPr>
                        <w:t xml:space="preserve">, kurį jis turi pateikti Savivaldybės administracijos Socialinių paslaugų skyriui (toliau – Socialinių paslaugų skyrius). Kartu su prašymu reikia pateikti </w:t>
                      </w:r>
                      <w:r>
                        <w:rPr>
                          <w:bCs/>
                          <w:color w:val="000000"/>
                          <w:szCs w:val="24"/>
                        </w:rPr>
                        <w:t>Aprašo 55.1–55.3 papunkčiuose nurodytus faktus patvirtinančias pažymas ar kitus dokumentus, patvirtinančius patirtus nuostolius ar aplinkybes (pvz.: draudimo bendrovės nuostolių ar žalos aktą, patvirtinantį, kad įvykis nėra draudžiamasis</w:t>
                      </w:r>
                      <w:r>
                        <w:rPr>
                          <w:bCs/>
                          <w:szCs w:val="24"/>
                        </w:rPr>
                        <w:t>; priešgaisrinės gelbėjimo tarnybos pažymą apie gaisrą ar kitas pažymas apie ištikusias nelaimes).</w:t>
                      </w:r>
                      <w:r>
                        <w:rPr>
                          <w:bCs/>
                          <w:szCs w:val="24"/>
                          <w:lang w:eastAsia="lt-LT"/>
                        </w:rPr>
                        <w:t>“</w:t>
                      </w:r>
                    </w:p>
                  </w:sdtContent>
                </w:sdt>
              </w:sdtContent>
            </w:sdt>
          </w:sdtContent>
        </w:sdt>
        <w:sdt>
          <w:sdtPr>
            <w:alias w:val="13 p."/>
            <w:tag w:val="part_4911856c5a9942a68b92c799d6246584"/>
            <w:lock w:val="sdtLocked"/>
            <w:richText/>
          </w:sdtPr>
          <w:sdtContent>
            <w:p w14:paraId="75F905D9" w14:textId="7074E2EF">
              <w:pPr>
                <w:widowControl w:val="0"/>
                <w:shd w:val="clear" w:color="auto" w:fill="FFFFFF"/>
                <w:suppressAutoHyphens/>
                <w:ind w:firstLine="567"/>
                <w:jc w:val="both"/>
                <w:rPr>
                  <w:rFonts w:eastAsia="HG Mincho Light J"/>
                  <w:bCs/>
                  <w:szCs w:val="24"/>
                  <w:lang w:eastAsia="lt-LT" w:bidi="he-IL"/>
                </w:rPr>
              </w:pPr>
              <w:sdt>
                <w:sdtPr>
                  <w:alias w:val="Numeris"/>
                  <w:tag w:val="nr_4911856c5a9942a68b92c799d6246584"/>
                  <w:lock w:val="sdtLocked"/>
                  <w:richText/>
                </w:sdtPr>
                <w:sdtContent>
                  <w:r>
                    <w:rPr>
                      <w:bCs/>
                      <w:szCs w:val="24"/>
                      <w:lang w:eastAsia="lt-LT"/>
                    </w:rPr>
                    <w:t>13</w:t>
                  </w:r>
                </w:sdtContent>
              </w:sdt>
              <w:r>
                <w:rPr>
                  <w:bCs/>
                  <w:szCs w:val="24"/>
                  <w:lang w:eastAsia="lt-LT"/>
                </w:rPr>
                <w:t>.</w:t>
              </w:r>
              <w:r>
                <w:rPr>
                  <w:rFonts w:eastAsia="HG Mincho Light J"/>
                  <w:bCs/>
                  <w:szCs w:val="24"/>
                  <w:lang w:eastAsia="lt-LT" w:bidi="he-IL"/>
                </w:rPr>
                <w:t xml:space="preserve"> </w:t>
              </w:r>
              <w:r>
                <w:rPr>
                  <w:rFonts w:eastAsia="HG Mincho Light J"/>
                  <w:bCs/>
                  <w:szCs w:val="24"/>
                  <w:lang w:eastAsia="lt-LT"/>
                </w:rPr>
                <w:t xml:space="preserve">Pakeisti 55 punktą iki dvitaškio ir </w:t>
              </w:r>
              <w:r>
                <w:rPr>
                  <w:rFonts w:eastAsia="HG Mincho Light J"/>
                  <w:bCs/>
                  <w:szCs w:val="24"/>
                  <w:lang w:eastAsia="lt-LT" w:bidi="he-IL"/>
                </w:rPr>
                <w:t>jį išdėstyti taip:</w:t>
              </w:r>
            </w:p>
            <w:sdt>
              <w:sdtPr>
                <w:alias w:val="citata"/>
                <w:tag w:val="part_740912f5af8342a3b05faac616a79467"/>
                <w:lock w:val="sdtLocked"/>
                <w:richText/>
              </w:sdtPr>
              <w:sdtContent>
                <w:sdt>
                  <w:sdtPr>
                    <w:alias w:val="55 p."/>
                    <w:tag w:val="part_653443b34d604324a31d3e094658e2ff"/>
                    <w:lock w:val="sdtLocked"/>
                    <w:richText/>
                  </w:sdtPr>
                  <w:sdtContent>
                    <w:p w14:paraId="1EBD5F17" w14:textId="7082D949">
                      <w:pPr>
                        <w:ind w:firstLine="567"/>
                        <w:jc w:val="both"/>
                        <w:rPr>
                          <w:szCs w:val="24"/>
                        </w:rPr>
                      </w:pPr>
                      <w:r>
                        <w:rPr>
                          <w:bCs/>
                          <w:szCs w:val="24"/>
                          <w:lang w:eastAsia="lt-LT"/>
                        </w:rPr>
                        <w:t>„</w:t>
                      </w:r>
                      <w:sdt>
                        <w:sdtPr>
                          <w:alias w:val="Numeris"/>
                          <w:tag w:val="nr_653443b34d604324a31d3e094658e2ff"/>
                          <w:lock w:val="sdtLocked"/>
                          <w:richText/>
                        </w:sdtPr>
                        <w:sdtContent>
                          <w:r>
                            <w:rPr>
                              <w:bCs/>
                              <w:szCs w:val="24"/>
                            </w:rPr>
                            <w:t>55</w:t>
                          </w:r>
                        </w:sdtContent>
                      </w:sdt>
                      <w:r>
                        <w:rPr>
                          <w:bCs/>
                          <w:szCs w:val="24"/>
                        </w:rPr>
                        <w:t>.</w:t>
                      </w:r>
                      <w:r>
                        <w:rPr>
                          <w:szCs w:val="24"/>
                        </w:rPr>
                        <w:t xml:space="preserve"> Asmens prašymą atleisti nuo skirtumo tarp įstaigos nustatytos socialinės globos kainos ir asmens mokamos dalies (kai nėra nustatytas mokestis nuo turto vertės) bei Savivaldybės tarybos sprendimu nustatyto maksimalaus socialinės globos išlaidų finansavimo </w:t>
                      </w:r>
                      <w:r>
                        <w:rPr>
                          <w:color w:val="000000"/>
                          <w:szCs w:val="24"/>
                        </w:rPr>
                        <w:t xml:space="preserve">dydžio sumos </w:t>
                      </w:r>
                      <w:r>
                        <w:rPr>
                          <w:szCs w:val="24"/>
                        </w:rPr>
                        <w:t xml:space="preserve">už  </w:t>
                      </w:r>
                      <w:r>
                        <w:rPr>
                          <w:color w:val="000000"/>
                          <w:szCs w:val="24"/>
                        </w:rPr>
                        <w:t>trumpalaikės, ilgalaikės</w:t>
                      </w:r>
                      <w:r>
                        <w:rPr>
                          <w:szCs w:val="24"/>
                        </w:rPr>
                        <w:t xml:space="preserve"> socialinės  globos paslaugas nagrinėja Socialinių paslaugų skyrimo komisija, jei:</w:t>
                      </w:r>
                      <w:r>
                        <w:rPr>
                          <w:bCs/>
                          <w:color w:val="000000"/>
                          <w:szCs w:val="24"/>
                          <w:lang w:eastAsia="lt-LT"/>
                        </w:rPr>
                        <w:t>“.</w:t>
                      </w:r>
                    </w:p>
                  </w:sdtContent>
                </w:sdt>
              </w:sdtContent>
            </w:sdt>
          </w:sdtContent>
        </w:sdt>
        <w:sdt>
          <w:sdtPr>
            <w:alias w:val="14 p."/>
            <w:tag w:val="part_125e7da2a8be44c386175dabcf03b9be"/>
            <w:lock w:val="sdtLocked"/>
            <w:richText/>
          </w:sdtPr>
          <w:sdtContent>
            <w:p w14:paraId="38074D3C" w14:textId="761AB7C8">
              <w:pPr>
                <w:widowControl w:val="0"/>
                <w:shd w:val="clear" w:color="auto" w:fill="FFFFFF"/>
                <w:suppressAutoHyphens/>
                <w:ind w:firstLine="567"/>
                <w:jc w:val="both"/>
                <w:rPr>
                  <w:rFonts w:eastAsia="HG Mincho Light J"/>
                  <w:bCs/>
                  <w:szCs w:val="24"/>
                  <w:lang w:eastAsia="lt-LT" w:bidi="he-IL"/>
                </w:rPr>
              </w:pPr>
              <w:sdt>
                <w:sdtPr>
                  <w:alias w:val="Numeris"/>
                  <w:tag w:val="nr_125e7da2a8be44c386175dabcf03b9be"/>
                  <w:lock w:val="sdtLocked"/>
                  <w:richText/>
                </w:sdtPr>
                <w:sdtContent>
                  <w:r>
                    <w:rPr>
                      <w:bCs/>
                      <w:color w:val="000000"/>
                      <w:szCs w:val="24"/>
                      <w:lang w:eastAsia="lt-LT"/>
                    </w:rPr>
                    <w:t>14</w:t>
                  </w:r>
                </w:sdtContent>
              </w:sdt>
              <w:r>
                <w:rPr>
                  <w:bCs/>
                  <w:color w:val="000000"/>
                  <w:szCs w:val="24"/>
                  <w:lang w:eastAsia="lt-LT"/>
                </w:rPr>
                <w:t xml:space="preserve">. </w:t>
              </w:r>
              <w:r>
                <w:rPr>
                  <w:rFonts w:eastAsia="HG Mincho Light J"/>
                  <w:bCs/>
                  <w:color w:val="000000"/>
                  <w:szCs w:val="24"/>
                  <w:lang w:eastAsia="lt-LT"/>
                </w:rPr>
                <w:t>Papildyti 56</w:t>
              </w:r>
              <w:r>
                <w:rPr>
                  <w:rFonts w:eastAsia="HG Mincho Light J"/>
                  <w:bCs/>
                  <w:color w:val="000000"/>
                  <w:szCs w:val="24"/>
                  <w:vertAlign w:val="superscript"/>
                  <w:lang w:eastAsia="lt-LT"/>
                </w:rPr>
                <w:t>1</w:t>
              </w:r>
              <w:r>
                <w:rPr>
                  <w:rFonts w:eastAsia="HG Mincho Light J"/>
                  <w:bCs/>
                  <w:color w:val="000000"/>
                  <w:szCs w:val="24"/>
                  <w:lang w:eastAsia="lt-LT"/>
                </w:rPr>
                <w:t xml:space="preserve"> punktu</w:t>
              </w:r>
              <w:r>
                <w:rPr>
                  <w:rFonts w:eastAsia="HG Mincho Light J"/>
                  <w:bCs/>
                  <w:color w:val="000000"/>
                  <w:szCs w:val="24"/>
                  <w:lang w:eastAsia="lt-LT" w:bidi="he-IL"/>
                </w:rPr>
                <w:t>:</w:t>
              </w:r>
            </w:p>
            <w:sdt>
              <w:sdtPr>
                <w:alias w:val="citata"/>
                <w:tag w:val="part_5d591f845908444a94b7ae5747415fab"/>
                <w:lock w:val="sdtLocked"/>
                <w:richText/>
              </w:sdtPr>
              <w:sdtContent>
                <w:sdt>
                  <w:sdtPr>
                    <w:alias w:val="56-1 p."/>
                    <w:tag w:val="part_82a35d1cfaf94f55a0088e19a0e700db"/>
                    <w:lock w:val="sdtLocked"/>
                    <w:richText/>
                  </w:sdtPr>
                  <w:sdtContent>
                    <w:p w14:paraId="2B65375D" w14:textId="66D6BDED">
                      <w:pPr>
                        <w:widowControl w:val="0"/>
                        <w:shd w:val="clear" w:color="auto" w:fill="FFFFFF"/>
                        <w:suppressAutoHyphens/>
                        <w:ind w:firstLine="567"/>
                        <w:jc w:val="both"/>
                        <w:rPr>
                          <w:rFonts w:eastAsia="HG Mincho Light J"/>
                          <w:bCs/>
                          <w:szCs w:val="24"/>
                          <w:lang w:eastAsia="lt-LT" w:bidi="he-IL"/>
                        </w:rPr>
                      </w:pPr>
                      <w:r>
                        <w:rPr>
                          <w:bCs/>
                          <w:color w:val="000000"/>
                          <w:szCs w:val="24"/>
                          <w:lang w:eastAsia="lt-LT"/>
                        </w:rPr>
                        <w:t>„</w:t>
                      </w:r>
                      <w:sdt>
                        <w:sdtPr>
                          <w:alias w:val="Numeris"/>
                          <w:tag w:val="nr_82a35d1cfaf94f55a0088e19a0e700db"/>
                          <w:lock w:val="sdtLocked"/>
                          <w:richText/>
                        </w:sdtPr>
                        <w:sdtContent>
                          <w:r>
                            <w:rPr>
                              <w:bCs/>
                              <w:szCs w:val="24"/>
                            </w:rPr>
                            <w:t>56</w:t>
                          </w:r>
                          <w:r>
                            <w:rPr>
                              <w:bCs/>
                              <w:szCs w:val="24"/>
                              <w:vertAlign w:val="superscript"/>
                            </w:rPr>
                            <w:t>1</w:t>
                          </w:r>
                        </w:sdtContent>
                      </w:sdt>
                      <w:r>
                        <w:rPr>
                          <w:bCs/>
                          <w:szCs w:val="24"/>
                        </w:rPr>
                        <w:t xml:space="preserve">. </w:t>
                      </w:r>
                      <w:r>
                        <w:rPr>
                          <w:rFonts w:eastAsia="Calibri"/>
                          <w:bCs/>
                          <w:color w:val="FF0000"/>
                          <w:szCs w:val="24"/>
                          <w:lang w:eastAsia="lt-LT"/>
                        </w:rPr>
                        <w:t xml:space="preserve"> </w:t>
                      </w:r>
                      <w:r>
                        <w:rPr>
                          <w:rFonts w:eastAsia="Calibri"/>
                          <w:bCs/>
                          <w:szCs w:val="24"/>
                          <w:lang w:eastAsia="lt-LT"/>
                        </w:rPr>
                        <w:t xml:space="preserve">Asmens prašymą atleisti nuo mokėjimo už asmeninę pagalbą </w:t>
                      </w:r>
                      <w:r>
                        <w:rPr>
                          <w:bCs/>
                          <w:szCs w:val="24"/>
                        </w:rPr>
                        <w:t>nagrinėja Socialinių paslaugų skyrimo komisija, jei:</w:t>
                      </w:r>
                    </w:p>
                    <w:sdt>
                      <w:sdtPr>
                        <w:alias w:val="56-1.1 pp."/>
                        <w:tag w:val="part_6b5404cf44874b6ca1723ae4dcffa35c"/>
                        <w:lock w:val="sdtLocked"/>
                        <w:richText/>
                      </w:sdtPr>
                      <w:sdtContent>
                        <w:p w14:paraId="6509B257" w14:textId="1E5E8F30">
                          <w:pPr>
                            <w:widowControl w:val="0"/>
                            <w:suppressAutoHyphens/>
                            <w:ind w:firstLine="567"/>
                            <w:jc w:val="both"/>
                            <w:rPr>
                              <w:bCs/>
                              <w:szCs w:val="24"/>
                            </w:rPr>
                          </w:pPr>
                          <w:sdt>
                            <w:sdtPr>
                              <w:alias w:val="Numeris"/>
                              <w:tag w:val="nr_6b5404cf44874b6ca1723ae4dcffa35c"/>
                              <w:lock w:val="sdtLocked"/>
                              <w:richText/>
                            </w:sdtPr>
                            <w:sdtContent>
                              <w:r>
                                <w:rPr>
                                  <w:rFonts w:eastAsia="Calibri"/>
                                  <w:bCs/>
                                  <w:szCs w:val="24"/>
                                  <w:lang w:eastAsia="lt-LT"/>
                                </w:rPr>
                                <w:t>56</w:t>
                              </w:r>
                              <w:r>
                                <w:rPr>
                                  <w:rFonts w:eastAsia="Calibri"/>
                                  <w:bCs/>
                                  <w:szCs w:val="24"/>
                                  <w:vertAlign w:val="superscript"/>
                                  <w:lang w:eastAsia="lt-LT"/>
                                </w:rPr>
                                <w:t>1</w:t>
                              </w:r>
                              <w:r>
                                <w:rPr>
                                  <w:rFonts w:eastAsia="Calibri"/>
                                  <w:bCs/>
                                  <w:szCs w:val="24"/>
                                  <w:lang w:eastAsia="lt-LT"/>
                                </w:rPr>
                                <w:t>.1</w:t>
                              </w:r>
                            </w:sdtContent>
                          </w:sdt>
                          <w:r>
                            <w:rPr>
                              <w:rFonts w:eastAsia="Calibri"/>
                              <w:bCs/>
                              <w:szCs w:val="24"/>
                              <w:lang w:eastAsia="lt-LT"/>
                            </w:rPr>
                            <w:t xml:space="preserve">. asmuo </w:t>
                          </w:r>
                          <w:r>
                            <w:rPr>
                              <w:bCs/>
                              <w:szCs w:val="24"/>
                            </w:rPr>
                            <w:t>prarado nuosavybės teise valdomą turtą dėl stichinės nelaimės ar gaisro;</w:t>
                          </w:r>
                        </w:p>
                      </w:sdtContent>
                    </w:sdt>
                    <w:sdt>
                      <w:sdtPr>
                        <w:alias w:val="56-1.2 pp."/>
                        <w:tag w:val="part_4e19e24a30f842868f4e3c836bdbc98d"/>
                        <w:lock w:val="sdtLocked"/>
                        <w:richText/>
                      </w:sdtPr>
                      <w:sdtContent>
                        <w:p w14:paraId="400B9F5A" w14:textId="401E2625">
                          <w:pPr>
                            <w:widowControl w:val="0"/>
                            <w:suppressAutoHyphens/>
                            <w:ind w:firstLine="567"/>
                            <w:jc w:val="both"/>
                            <w:rPr>
                              <w:rFonts w:eastAsia="Calibri"/>
                              <w:bCs/>
                              <w:szCs w:val="24"/>
                              <w:lang w:eastAsia="lt-LT"/>
                            </w:rPr>
                          </w:pPr>
                          <w:sdt>
                            <w:sdtPr>
                              <w:alias w:val="Numeris"/>
                              <w:tag w:val="nr_4e19e24a30f842868f4e3c836bdbc98d"/>
                              <w:lock w:val="sdtLocked"/>
                              <w:richText/>
                            </w:sdtPr>
                            <w:sdtContent>
                              <w:r>
                                <w:rPr>
                                  <w:rFonts w:eastAsia="Calibri"/>
                                  <w:bCs/>
                                  <w:szCs w:val="24"/>
                                  <w:lang w:eastAsia="lt-LT"/>
                                </w:rPr>
                                <w:t>56</w:t>
                              </w:r>
                              <w:r>
                                <w:rPr>
                                  <w:rFonts w:eastAsia="Calibri"/>
                                  <w:bCs/>
                                  <w:szCs w:val="24"/>
                                  <w:vertAlign w:val="superscript"/>
                                  <w:lang w:eastAsia="lt-LT"/>
                                </w:rPr>
                                <w:t>1</w:t>
                              </w:r>
                              <w:r>
                                <w:rPr>
                                  <w:rFonts w:eastAsia="Calibri"/>
                                  <w:bCs/>
                                  <w:szCs w:val="24"/>
                                  <w:lang w:eastAsia="lt-LT"/>
                                </w:rPr>
                                <w:t>.2</w:t>
                              </w:r>
                            </w:sdtContent>
                          </w:sdt>
                          <w:r>
                            <w:rPr>
                              <w:rFonts w:eastAsia="Calibri"/>
                              <w:bCs/>
                              <w:szCs w:val="24"/>
                              <w:lang w:eastAsia="lt-LT"/>
                            </w:rPr>
                            <w:t>. mirė asmens šeimos narys;</w:t>
                          </w:r>
                        </w:p>
                      </w:sdtContent>
                    </w:sdt>
                    <w:sdt>
                      <w:sdtPr>
                        <w:alias w:val="56-1.3 pp."/>
                        <w:tag w:val="part_9f449ebf463a4edd934a84818009f223"/>
                        <w:lock w:val="sdtLocked"/>
                        <w:richText/>
                      </w:sdtPr>
                      <w:sdtContent>
                        <w:p w14:paraId="2D798A14" w14:textId="57412967">
                          <w:pPr>
                            <w:widowControl w:val="0"/>
                            <w:suppressAutoHyphens/>
                            <w:ind w:firstLine="567"/>
                            <w:jc w:val="both"/>
                            <w:rPr>
                              <w:bCs/>
                              <w:color w:val="000000"/>
                              <w:szCs w:val="24"/>
                              <w:lang w:eastAsia="lt-LT"/>
                            </w:rPr>
                          </w:pPr>
                          <w:sdt>
                            <w:sdtPr>
                              <w:alias w:val="Numeris"/>
                              <w:tag w:val="nr_9f449ebf463a4edd934a84818009f223"/>
                              <w:lock w:val="sdtLocked"/>
                              <w:richText/>
                            </w:sdtPr>
                            <w:sdtContent>
                              <w:r>
                                <w:rPr>
                                  <w:rFonts w:eastAsia="Calibri"/>
                                  <w:bCs/>
                                  <w:szCs w:val="24"/>
                                  <w:lang w:eastAsia="lt-LT"/>
                                </w:rPr>
                                <w:t>56</w:t>
                              </w:r>
                              <w:r>
                                <w:rPr>
                                  <w:rFonts w:eastAsia="Calibri"/>
                                  <w:bCs/>
                                  <w:szCs w:val="24"/>
                                  <w:vertAlign w:val="superscript"/>
                                  <w:lang w:eastAsia="lt-LT"/>
                                </w:rPr>
                                <w:t>1</w:t>
                              </w:r>
                              <w:r>
                                <w:rPr>
                                  <w:rFonts w:eastAsia="Calibri"/>
                                  <w:bCs/>
                                  <w:szCs w:val="24"/>
                                  <w:lang w:eastAsia="lt-LT"/>
                                </w:rPr>
                                <w:t>.3</w:t>
                              </w:r>
                            </w:sdtContent>
                          </w:sdt>
                          <w:r>
                            <w:rPr>
                              <w:rFonts w:eastAsia="Calibri"/>
                              <w:bCs/>
                              <w:szCs w:val="24"/>
                              <w:lang w:eastAsia="lt-LT"/>
                            </w:rPr>
                            <w:t xml:space="preserve">. </w:t>
                          </w:r>
                          <w:r>
                            <w:rPr>
                              <w:bCs/>
                              <w:szCs w:val="24"/>
                            </w:rPr>
                            <w:t>asmens suaugusiems vaikams ir (ar) vaikaičiams teikiama socialinė globa.</w:t>
                          </w:r>
                          <w:r>
                            <w:rPr>
                              <w:bCs/>
                              <w:color w:val="000000"/>
                              <w:szCs w:val="24"/>
                              <w:lang w:eastAsia="lt-LT"/>
                            </w:rPr>
                            <w:t>“</w:t>
                          </w:r>
                        </w:p>
                      </w:sdtContent>
                    </w:sdt>
                  </w:sdtContent>
                </w:sdt>
              </w:sdtContent>
            </w:sdt>
          </w:sdtContent>
        </w:sdt>
        <w:sdt>
          <w:sdtPr>
            <w:alias w:val="15 p."/>
            <w:tag w:val="part_d2f133515649482fa7779d6bc7b1f771"/>
            <w:lock w:val="sdtLocked"/>
            <w:richText/>
          </w:sdtPr>
          <w:sdtContent>
            <w:p w14:paraId="203160DB" w14:textId="7A0969BD">
              <w:pPr>
                <w:widowControl w:val="0"/>
                <w:shd w:val="clear" w:color="auto" w:fill="FFFFFF"/>
                <w:suppressAutoHyphens/>
                <w:ind w:firstLine="567"/>
                <w:jc w:val="both"/>
                <w:rPr>
                  <w:rFonts w:eastAsia="HG Mincho Light J"/>
                  <w:bCs/>
                  <w:szCs w:val="24"/>
                  <w:lang w:eastAsia="lt-LT" w:bidi="he-IL"/>
                </w:rPr>
              </w:pPr>
              <w:sdt>
                <w:sdtPr>
                  <w:alias w:val="Numeris"/>
                  <w:tag w:val="nr_d2f133515649482fa7779d6bc7b1f771"/>
                  <w:lock w:val="sdtLocked"/>
                  <w:richText/>
                </w:sdtPr>
                <w:sdtContent>
                  <w:r>
                    <w:rPr>
                      <w:bCs/>
                      <w:color w:val="000000"/>
                      <w:szCs w:val="24"/>
                      <w:lang w:eastAsia="lt-LT"/>
                    </w:rPr>
                    <w:t>15</w:t>
                  </w:r>
                </w:sdtContent>
              </w:sdt>
              <w:r>
                <w:rPr>
                  <w:bCs/>
                  <w:color w:val="000000"/>
                  <w:szCs w:val="24"/>
                  <w:lang w:eastAsia="lt-LT"/>
                </w:rPr>
                <w:t xml:space="preserve">. </w:t>
              </w:r>
              <w:r>
                <w:rPr>
                  <w:rFonts w:eastAsia="HG Mincho Light J"/>
                  <w:bCs/>
                  <w:color w:val="000000"/>
                  <w:szCs w:val="24"/>
                  <w:lang w:eastAsia="lt-LT"/>
                </w:rPr>
                <w:t>Papildyti 56</w:t>
              </w:r>
              <w:r>
                <w:rPr>
                  <w:rFonts w:eastAsia="HG Mincho Light J"/>
                  <w:bCs/>
                  <w:color w:val="000000"/>
                  <w:szCs w:val="24"/>
                  <w:vertAlign w:val="superscript"/>
                  <w:lang w:eastAsia="lt-LT"/>
                </w:rPr>
                <w:t>2</w:t>
              </w:r>
              <w:r>
                <w:rPr>
                  <w:rFonts w:eastAsia="HG Mincho Light J"/>
                  <w:bCs/>
                  <w:color w:val="000000"/>
                  <w:szCs w:val="24"/>
                  <w:lang w:eastAsia="lt-LT"/>
                </w:rPr>
                <w:t xml:space="preserve"> punktu</w:t>
              </w:r>
              <w:r>
                <w:rPr>
                  <w:rFonts w:eastAsia="HG Mincho Light J"/>
                  <w:bCs/>
                  <w:color w:val="000000"/>
                  <w:szCs w:val="24"/>
                  <w:lang w:eastAsia="lt-LT" w:bidi="he-IL"/>
                </w:rPr>
                <w:t>:</w:t>
              </w:r>
            </w:p>
            <w:sdt>
              <w:sdtPr>
                <w:alias w:val="citata"/>
                <w:tag w:val="part_a601c7f676034e998eb14e636e25b79c"/>
                <w:lock w:val="sdtLocked"/>
                <w:richText/>
              </w:sdtPr>
              <w:sdtContent>
                <w:sdt>
                  <w:sdtPr>
                    <w:alias w:val="56-2 p."/>
                    <w:tag w:val="part_d8053fe21ec8425ea9f4f206025054a1"/>
                    <w:lock w:val="sdtLocked"/>
                    <w:richText/>
                  </w:sdtPr>
                  <w:sdtContent>
                    <w:p w14:paraId="50F7D640" w14:textId="12CE440C">
                      <w:pPr>
                        <w:widowControl w:val="0"/>
                        <w:shd w:val="clear" w:color="auto" w:fill="FFFFFF"/>
                        <w:suppressAutoHyphens/>
                        <w:ind w:firstLine="567"/>
                        <w:jc w:val="both"/>
                        <w:rPr>
                          <w:rFonts w:eastAsia="Calibri"/>
                          <w:szCs w:val="24"/>
                          <w:lang w:eastAsia="lt-LT"/>
                        </w:rPr>
                      </w:pPr>
                      <w:r>
                        <w:rPr>
                          <w:rFonts w:eastAsia="Calibri"/>
                          <w:bCs/>
                          <w:szCs w:val="24"/>
                          <w:lang w:eastAsia="lt-LT"/>
                        </w:rPr>
                        <w:t>„</w:t>
                      </w:r>
                      <w:sdt>
                        <w:sdtPr>
                          <w:alias w:val="Numeris"/>
                          <w:tag w:val="nr_d8053fe21ec8425ea9f4f206025054a1"/>
                          <w:lock w:val="sdtLocked"/>
                          <w:richText/>
                        </w:sdtPr>
                        <w:sdtContent>
                          <w:r>
                            <w:rPr>
                              <w:rFonts w:eastAsia="Calibri"/>
                              <w:bCs/>
                              <w:szCs w:val="24"/>
                              <w:lang w:eastAsia="lt-LT"/>
                            </w:rPr>
                            <w:t>56</w:t>
                          </w:r>
                          <w:r>
                            <w:rPr>
                              <w:rFonts w:eastAsia="Calibri"/>
                              <w:bCs/>
                              <w:szCs w:val="24"/>
                              <w:vertAlign w:val="superscript"/>
                              <w:lang w:eastAsia="lt-LT"/>
                            </w:rPr>
                            <w:t>2</w:t>
                          </w:r>
                        </w:sdtContent>
                      </w:sdt>
                      <w:r>
                        <w:rPr>
                          <w:rFonts w:eastAsia="Calibri"/>
                          <w:bCs/>
                          <w:szCs w:val="24"/>
                          <w:lang w:eastAsia="lt-LT"/>
                        </w:rPr>
                        <w:t xml:space="preserve">. </w:t>
                      </w:r>
                      <w:r>
                        <w:rPr>
                          <w:rFonts w:eastAsia="Calibri"/>
                          <w:szCs w:val="24"/>
                          <w:lang w:eastAsia="lt-LT"/>
                        </w:rPr>
                        <w:t>Asmens atleidimas nuo mokėjimo už asmeninę pagalbą Aprašo 56</w:t>
                      </w:r>
                      <w:r>
                        <w:rPr>
                          <w:rFonts w:eastAsia="Calibri"/>
                          <w:szCs w:val="24"/>
                          <w:vertAlign w:val="superscript"/>
                          <w:lang w:eastAsia="lt-LT"/>
                        </w:rPr>
                        <w:t>1</w:t>
                      </w:r>
                      <w:r>
                        <w:rPr>
                          <w:rFonts w:eastAsia="Calibri"/>
                          <w:szCs w:val="24"/>
                          <w:lang w:eastAsia="lt-LT"/>
                        </w:rPr>
                        <w:t>.1–56</w:t>
                      </w:r>
                      <w:r>
                        <w:rPr>
                          <w:rFonts w:eastAsia="Calibri"/>
                          <w:szCs w:val="24"/>
                          <w:vertAlign w:val="superscript"/>
                          <w:lang w:eastAsia="lt-LT"/>
                        </w:rPr>
                        <w:t>1</w:t>
                      </w:r>
                      <w:r>
                        <w:rPr>
                          <w:rFonts w:eastAsia="Calibri"/>
                          <w:szCs w:val="24"/>
                          <w:lang w:eastAsia="lt-LT"/>
                        </w:rPr>
                        <w:t xml:space="preserve">.3 papunkčiuose nurodytais atvejais galioja 6 mėnesius nuo šio sprendimo priėmimo dienos. </w:t>
                      </w:r>
                      <w:r>
                        <w:rPr>
                          <w:szCs w:val="24"/>
                        </w:rPr>
                        <w:t xml:space="preserve">Sprendimą dėl atleidimo nuo mokėjimo priima </w:t>
                      </w:r>
                      <w:r>
                        <w:rPr>
                          <w:color w:val="000000"/>
                          <w:szCs w:val="24"/>
                        </w:rPr>
                        <w:t xml:space="preserve">Socialinių paslaugų skyriaus vedėjas </w:t>
                      </w:r>
                      <w:r>
                        <w:rPr>
                          <w:rFonts w:eastAsia="HG Mincho Light J"/>
                          <w:color w:val="000000"/>
                          <w:szCs w:val="24"/>
                          <w:lang w:eastAsia="lt-LT"/>
                        </w:rPr>
                        <w:t xml:space="preserve">Asmeninės pagalbos skyrimo Šiaulių miesto savivaldybėje komisijos, sudarytos 2024 m. sausio 18 d. Šiaulių miesto savivaldybės administracijos Socialinių paslaugų skyriaus vedėjo įsakymu  Nr. SPV-20 „Dėl asmeninės pagalbos skyrimo komisijos sudarymo“,</w:t>
                      </w:r>
                      <w:r>
                        <w:rPr>
                          <w:szCs w:val="24"/>
                        </w:rPr>
                        <w:t xml:space="preserve"> siūlymu.</w:t>
                      </w:r>
                      <w:r>
                        <w:rPr>
                          <w:rFonts w:eastAsia="Calibri"/>
                          <w:szCs w:val="24"/>
                          <w:lang w:eastAsia="lt-LT"/>
                        </w:rPr>
                        <w:t>“</w:t>
                      </w:r>
                    </w:p>
                  </w:sdtContent>
                </w:sdt>
              </w:sdtContent>
            </w:sdt>
          </w:sdtContent>
        </w:sdt>
        <w:sdt>
          <w:sdtPr>
            <w:alias w:val="16 p."/>
            <w:tag w:val="part_f4bd51b2a10d453d9d946b374a94d35f"/>
            <w:lock w:val="sdtLocked"/>
            <w:richText/>
          </w:sdtPr>
          <w:sdtContent>
            <w:p w14:paraId="10B14406" w14:textId="517D3F60">
              <w:pPr>
                <w:widowControl w:val="0"/>
                <w:shd w:val="clear" w:color="auto" w:fill="FFFFFF"/>
                <w:suppressAutoHyphens/>
                <w:ind w:firstLine="567"/>
                <w:jc w:val="both"/>
                <w:rPr>
                  <w:rFonts w:eastAsia="HG Mincho Light J"/>
                  <w:bCs/>
                  <w:color w:val="000000"/>
                  <w:szCs w:val="24"/>
                  <w:lang w:eastAsia="lt-LT" w:bidi="he-IL"/>
                </w:rPr>
              </w:pPr>
              <w:sdt>
                <w:sdtPr>
                  <w:alias w:val="Numeris"/>
                  <w:tag w:val="nr_f4bd51b2a10d453d9d946b374a94d35f"/>
                  <w:lock w:val="sdtLocked"/>
                  <w:richText/>
                </w:sdtPr>
                <w:sdtContent>
                  <w:r>
                    <w:rPr>
                      <w:rFonts w:eastAsia="Calibri"/>
                      <w:szCs w:val="24"/>
                      <w:lang w:eastAsia="lt-LT"/>
                    </w:rPr>
                    <w:t>16</w:t>
                  </w:r>
                </w:sdtContent>
              </w:sdt>
              <w:r>
                <w:rPr>
                  <w:rFonts w:eastAsia="Calibri"/>
                  <w:szCs w:val="24"/>
                  <w:lang w:eastAsia="lt-LT"/>
                </w:rPr>
                <w:t xml:space="preserve">. </w:t>
              </w:r>
              <w:r>
                <w:rPr>
                  <w:rFonts w:eastAsia="HG Mincho Light J"/>
                  <w:bCs/>
                  <w:color w:val="000000"/>
                  <w:szCs w:val="24"/>
                  <w:lang w:eastAsia="lt-LT"/>
                </w:rPr>
                <w:t xml:space="preserve">Pakeisti 61 punktą ir </w:t>
              </w:r>
              <w:r>
                <w:rPr>
                  <w:rFonts w:eastAsia="HG Mincho Light J"/>
                  <w:bCs/>
                  <w:color w:val="000000"/>
                  <w:szCs w:val="24"/>
                  <w:lang w:eastAsia="lt-LT" w:bidi="he-IL"/>
                </w:rPr>
                <w:t>jį išdėstyti taip:</w:t>
              </w:r>
            </w:p>
            <w:sdt>
              <w:sdtPr>
                <w:alias w:val="citata"/>
                <w:tag w:val="part_daa3d7ae0ca54288ae824dbe8dfa03b0"/>
                <w:lock w:val="sdtLocked"/>
                <w:richText/>
              </w:sdtPr>
              <w:sdtContent>
                <w:sdt>
                  <w:sdtPr>
                    <w:alias w:val="61 p."/>
                    <w:tag w:val="part_fb48f3e3dff248dc886891709c327204"/>
                    <w:lock w:val="sdtLocked"/>
                    <w:richText/>
                  </w:sdtPr>
                  <w:sdtContent>
                    <w:p w14:paraId="7B8B48C8" w14:textId="213050CB">
                      <w:pPr>
                        <w:ind w:firstLine="567"/>
                        <w:jc w:val="both"/>
                        <w:rPr>
                          <w:bCs/>
                          <w:szCs w:val="24"/>
                        </w:rPr>
                      </w:pPr>
                      <w:r>
                        <w:rPr>
                          <w:rFonts w:eastAsia="HG Mincho Light J"/>
                          <w:bCs/>
                          <w:color w:val="000000"/>
                          <w:szCs w:val="24"/>
                          <w:lang w:eastAsia="lt-LT" w:bidi="he-IL"/>
                        </w:rPr>
                        <w:t>„</w:t>
                      </w:r>
                      <w:sdt>
                        <w:sdtPr>
                          <w:alias w:val="Numeris"/>
                          <w:tag w:val="nr_fb48f3e3dff248dc886891709c327204"/>
                          <w:lock w:val="sdtLocked"/>
                          <w:richText/>
                        </w:sdtPr>
                        <w:sdtContent>
                          <w:r>
                            <w:rPr>
                              <w:bCs/>
                              <w:szCs w:val="24"/>
                              <w:lang w:eastAsia="lt-LT"/>
                            </w:rPr>
                            <w:t>61</w:t>
                          </w:r>
                        </w:sdtContent>
                      </w:sdt>
                      <w:r>
                        <w:rPr>
                          <w:bCs/>
                          <w:szCs w:val="24"/>
                          <w:lang w:eastAsia="lt-LT"/>
                        </w:rPr>
                        <w:t xml:space="preserve">. </w:t>
                      </w:r>
                      <w:r>
                        <w:rPr>
                          <w:bCs/>
                          <w:szCs w:val="24"/>
                        </w:rPr>
                        <w:t>Finansinių galimybių mokėti už asmeninę pagalbą vertinimas atliekamas, jei:</w:t>
                      </w:r>
                    </w:p>
                    <w:sdt>
                      <w:sdtPr>
                        <w:alias w:val="61.1 pp."/>
                        <w:tag w:val="part_c56a26b5190d4a92be7afe9f6ee0dee5"/>
                        <w:lock w:val="sdtLocked"/>
                        <w:richText/>
                      </w:sdtPr>
                      <w:sdtContent>
                        <w:p w14:paraId="2974201C" w14:textId="1CC465F5">
                          <w:pPr>
                            <w:widowControl w:val="0"/>
                            <w:suppressAutoHyphens/>
                            <w:ind w:firstLine="567"/>
                            <w:jc w:val="both"/>
                            <w:rPr>
                              <w:rFonts w:eastAsia="Calibri"/>
                              <w:bCs/>
                              <w:szCs w:val="24"/>
                              <w:lang w:eastAsia="lt-LT"/>
                            </w:rPr>
                          </w:pPr>
                          <w:sdt>
                            <w:sdtPr>
                              <w:alias w:val="Numeris"/>
                              <w:tag w:val="nr_c56a26b5190d4a92be7afe9f6ee0dee5"/>
                              <w:lock w:val="sdtLocked"/>
                              <w:richText/>
                            </w:sdtPr>
                            <w:sdtContent>
                              <w:r>
                                <w:rPr>
                                  <w:bCs/>
                                  <w:szCs w:val="24"/>
                                </w:rPr>
                                <w:t>61.1</w:t>
                              </w:r>
                            </w:sdtContent>
                          </w:sdt>
                          <w:r>
                            <w:rPr>
                              <w:bCs/>
                              <w:szCs w:val="24"/>
                            </w:rPr>
                            <w:t xml:space="preserve">. </w:t>
                          </w:r>
                          <w:r>
                            <w:rPr>
                              <w:rFonts w:eastAsia="Calibri"/>
                              <w:bCs/>
                              <w:szCs w:val="24"/>
                              <w:lang w:eastAsia="lt-LT"/>
                            </w:rPr>
                            <w:t>asmeniui neskirta ir nemokama individualios pagalbos teikimo išlaidų kompensacija ir asmens pajamos yra didesnės kaip 2 VRP dydžiai, mokėjimo už asmeninę pagalbą dydis apskaičiuojamas vadovaujantis Aprašo 53 punktu;</w:t>
                          </w:r>
                        </w:p>
                      </w:sdtContent>
                    </w:sdt>
                    <w:sdt>
                      <w:sdtPr>
                        <w:alias w:val="61.2 pp."/>
                        <w:tag w:val="part_0f926c41fcfc4a7b9920e5a417f222fc"/>
                        <w:lock w:val="sdtLocked"/>
                        <w:richText/>
                      </w:sdtPr>
                      <w:sdtContent>
                        <w:p w14:paraId="6700AAF6" w14:textId="62355F17">
                          <w:pPr>
                            <w:widowControl w:val="0"/>
                            <w:suppressAutoHyphens/>
                            <w:ind w:firstLine="567"/>
                            <w:jc w:val="both"/>
                            <w:rPr>
                              <w:bCs/>
                              <w:strike/>
                              <w:color w:val="000000"/>
                              <w:szCs w:val="24"/>
                            </w:rPr>
                          </w:pPr>
                          <w:sdt>
                            <w:sdtPr>
                              <w:alias w:val="Numeris"/>
                              <w:tag w:val="nr_0f926c41fcfc4a7b9920e5a417f222fc"/>
                              <w:lock w:val="sdtLocked"/>
                              <w:richText/>
                            </w:sdtPr>
                            <w:sdtContent>
                              <w:r>
                                <w:rPr>
                                  <w:rFonts w:eastAsia="Calibri"/>
                                  <w:bCs/>
                                  <w:szCs w:val="24"/>
                                  <w:lang w:eastAsia="lt-LT"/>
                                </w:rPr>
                                <w:t>61.2</w:t>
                              </w:r>
                            </w:sdtContent>
                          </w:sdt>
                          <w:r>
                            <w:rPr>
                              <w:rFonts w:eastAsia="Calibri"/>
                              <w:bCs/>
                              <w:szCs w:val="24"/>
                              <w:lang w:eastAsia="lt-LT"/>
                            </w:rPr>
                            <w:t xml:space="preserve">. jei asmeniui paskirtos ir mokamos individualios pagalbos teikimo išlaidų kompensacijos dydis yra mažesnis kaip 2 VRP dydžiai, tuomet vertinamos visos asmens gaunamos pajamos. Jeigu nustatoma, kad jo pajamos yra didesnės kaip 2 VRP dydžiai, mokėjimo už asmeninę pagalbą dydis apskaičiuojamas vadovaujantis </w:t>
                          </w:r>
                          <w:r>
                            <w:rPr>
                              <w:bCs/>
                              <w:color w:val="000000"/>
                              <w:szCs w:val="24"/>
                            </w:rPr>
                            <w:t xml:space="preserve">Asmens su negalia mokėjimo už asmeninę pagalbą dydžio nustatymo tvarkos aprašo, patvirtinto </w:t>
                          </w:r>
                          <w:r>
                            <w:rPr>
                              <w:bCs/>
                              <w:color w:val="000000"/>
                              <w:szCs w:val="24"/>
                              <w:lang w:eastAsia="lt-LT"/>
                            </w:rPr>
                            <w:t>Lietuvos Respublikos socialinės apsaugos ir darbo ministro 2021 m. liepos 1 d. įsakymu Nr. A1-478 (Lietuvos Respublikos socialinės apsaugos ir darbo ministro 2023 m. gruodžio 7 d. įsakymo Nr. A1-804 redakcija), nustatyta tvarka.</w:t>
                          </w:r>
                          <w:r>
                            <w:rPr>
                              <w:rFonts w:eastAsia="HG Mincho Light J"/>
                              <w:bCs/>
                              <w:color w:val="000000"/>
                              <w:szCs w:val="24"/>
                              <w:lang w:eastAsia="lt-LT" w:bidi="he-IL"/>
                            </w:rPr>
                            <w:t>“</w:t>
                          </w:r>
                        </w:p>
                        <w:p w14:paraId="7F837524" w14:textId="1FAB8293">
                          <w:pPr>
                            <w:widowControl w:val="0"/>
                            <w:shd w:val="clear" w:color="auto" w:fill="FFFFFF"/>
                            <w:suppressAutoHyphens/>
                            <w:ind w:firstLine="567"/>
                            <w:jc w:val="both"/>
                            <w:rPr>
                              <w:rFonts w:eastAsia="Calibri"/>
                              <w:szCs w:val="24"/>
                              <w:lang w:eastAsia="lt-LT"/>
                            </w:rPr>
                          </w:pPr>
                        </w:p>
                      </w:sdtContent>
                    </w:sdt>
                  </w:sdtContent>
                </w:sdt>
              </w:sdtContent>
            </w:sdt>
          </w:sdtContent>
        </w:sdt>
        <w:sdt>
          <w:sdtPr>
            <w:alias w:val="signatura"/>
            <w:tag w:val="part_a791da0115544dc8b63ea576af88c105"/>
            <w:lock w:val="sdtLocked"/>
            <w:richText/>
          </w:sdtPr>
          <w:sdtContent>
            <w:p w14:paraId="1C0B2C78" w14:textId="5DF30BF5">
              <w:pPr>
                <w:widowControl w:val="0"/>
                <w:tabs>
                  <w:tab w:val="right" w:pos="9638"/>
                </w:tabs>
                <w:suppressAutoHyphens/>
                <w:jc w:val="both"/>
                <w:rPr>
                  <w:rFonts w:eastAsia="Lucida Sans Unicode"/>
                  <w:strike/>
                  <w:color w:val="FF0000"/>
                  <w:szCs w:val="24"/>
                  <w:lang w:eastAsia="lt-LT"/>
                </w:rPr>
              </w:pPr>
              <w:r>
                <w:rPr>
                  <w:rFonts w:eastAsia="Lucida Sans Unicode"/>
                  <w:color w:val="000000"/>
                  <w:szCs w:val="24"/>
                  <w:lang w:eastAsia="lt-LT"/>
                </w:rPr>
                <w:t>Savivaldybės meras</w:t>
                <w:tab/>
              </w:r>
            </w:p>
          </w:sdtContent>
        </w:sdt>
      </w:sdtContent>
    </w:sdt>
    <w:sectPr>
      <w:headerReference w:type="even" r:id="rId8"/>
      <w:headerReference w:type="default" r:id="rId9"/>
      <w:footerReference w:type="even" r:id="rId10"/>
      <w:footerReference w:type="default" r:id="rId11"/>
      <w:headerReference w:type="first" r:id="rId12"/>
      <w:footerReference w:type="first" r:id="rId13"/>
      <w:footnotePr>
        <w:pos w:val="beneathText"/>
        <w:numRestart w:val="eachPage"/>
      </w:footnotePr>
      <w:endnotePr>
        <w:numFmt w:val="decimal"/>
      </w:endnotePr>
      <w:pgSz w:w="11906" w:h="16838" w:code="9"/>
      <w:pgMar w:top="1134" w:right="567" w:bottom="992" w:left="1701" w:header="561" w:footer="697"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5135F3"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14752C53"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Calibri"/>
    <w:charset w:val="00"/>
    <w:family w:val="auto"/>
    <w:pitch w:val="variable"/>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B0D53" w14:textId="77777777">
    <w:pPr>
      <w:widowControl w:val="0"/>
      <w:tabs>
        <w:tab w:val="center" w:pos="4819"/>
        <w:tab w:val="right" w:pos="9638"/>
      </w:tabs>
      <w:suppressAutoHyphens/>
      <w:rPr>
        <w:rFonts w:ascii="Thorndale" w:eastAsia="HG Mincho Light J" w:hAnsi="Thorndal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FAD026"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425C6" w14:textId="77777777">
    <w:pPr>
      <w:widowControl w:val="0"/>
      <w:tabs>
        <w:tab w:val="center" w:pos="4819"/>
        <w:tab w:val="right" w:pos="9638"/>
      </w:tabs>
      <w:suppressAutoHyphens/>
      <w:rPr>
        <w:rFonts w:ascii="Thorndale" w:eastAsia="HG Mincho Light J" w:hAnsi="Thorndal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0C776D"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3538AF9D"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361D8"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FA780" w14:textId="11565E8C">
    <w:pPr>
      <w:widowControl w:val="0"/>
      <w:tabs>
        <w:tab w:val="center" w:pos="4986"/>
        <w:tab w:val="right" w:pos="9972"/>
      </w:tabs>
      <w:suppressAutoHyphens/>
      <w:jc w:val="center"/>
      <w:rPr>
        <w:rFonts w:ascii="Thorndale" w:eastAsia="HG Mincho Light J" w:hAnsi="Thorndale"/>
        <w:color w:val="000000"/>
        <w:szCs w:val="24"/>
        <w:lang w:eastAsia="lt-LT"/>
      </w:rPr>
    </w:pPr>
    <w:r>
      <w:rPr>
        <w:rFonts w:ascii="Thorndale" w:eastAsia="HG Mincho Light J" w:hAnsi="Thorndale"/>
        <w:color w:val="000000"/>
        <w:szCs w:val="24"/>
        <w:lang w:eastAsia="lt-LT"/>
      </w:rPr>
      <w:fldChar w:fldCharType="begin"/>
    </w:r>
    <w:r>
      <w:rPr>
        <w:rFonts w:ascii="Thorndale" w:eastAsia="HG Mincho Light J" w:hAnsi="Thorndale"/>
        <w:color w:val="000000"/>
        <w:szCs w:val="24"/>
        <w:lang w:eastAsia="lt-LT"/>
      </w:rPr>
      <w:instrText>PAGE   \* MERGEFORMAT</w:instrText>
    </w:r>
    <w:r>
      <w:rPr>
        <w:rFonts w:ascii="Thorndale" w:eastAsia="HG Mincho Light J" w:hAnsi="Thorndale"/>
        <w:color w:val="000000"/>
        <w:szCs w:val="24"/>
        <w:lang w:eastAsia="lt-LT"/>
      </w:rPr>
      <w:fldChar w:fldCharType="separate"/>
    </w:r>
    <w:r>
      <w:rPr>
        <w:rFonts w:ascii="Thorndale" w:eastAsia="HG Mincho Light J" w:hAnsi="Thorndale"/>
        <w:color w:val="000000"/>
        <w:szCs w:val="24"/>
        <w:lang w:eastAsia="lt-LT"/>
      </w:rPr>
      <w:t>2</w:t>
    </w:r>
    <w:r>
      <w:rPr>
        <w:rFonts w:ascii="Thorndale" w:eastAsia="HG Mincho Light J" w:hAnsi="Thorndale"/>
        <w:color w:val="000000"/>
        <w:szCs w:val="24"/>
        <w:lang w:eastAsia="lt-LT"/>
      </w:rPr>
      <w:fldChar w:fldCharType="end"/>
    </w:r>
  </w:p>
  <w:p w14:paraId="3970909F"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A4C01" w14:textId="4E7CEB26">
    <w:pPr>
      <w:widowControl w:val="0"/>
      <w:tabs>
        <w:tab w:val="center" w:pos="4986"/>
        <w:tab w:val="right" w:pos="9972"/>
      </w:tabs>
      <w:suppressAutoHyphens/>
      <w:rPr>
        <w:rFonts w:ascii="Thorndale" w:eastAsia="HG Mincho Light J" w:hAnsi="Thorndal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5E2E0"/>
  <w15:chartTrackingRefBased/>
  <w15:docId w15:val="{FAE3D154-61FA-420B-8037-8CEC877BBD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4814672">
      <w:bodyDiv w:val="1"/>
      <w:marLeft w:val="0"/>
      <w:marRight w:val="0"/>
      <w:marTop w:val="0"/>
      <w:marBottom w:val="0"/>
      <w:divBdr>
        <w:top w:val="none" w:sz="0" w:space="0" w:color="auto"/>
        <w:left w:val="none" w:sz="0" w:space="0" w:color="auto"/>
        <w:bottom w:val="none" w:sz="0" w:space="0" w:color="auto"/>
        <w:right w:val="none" w:sz="0" w:space="0" w:color="auto"/>
      </w:divBdr>
    </w:div>
    <w:div w:id="1954751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b62d45cbd254ef794f5b2cbe3754f3b" PartId="13ef225ea26541ad979b764263afb196">
    <Part Type="preambule" DocPartId="7255c21c162742e3b795248d618aa31e" PartId="1df984838871461dbddd1b3747126740"/>
    <Part Type="pastraipa" DocPartId="8ca63a24c6f84e9d884d491681160cc4" PartId="05b417dbb6dc4667b20fba8a5b628d76"/>
    <Part Type="punktas" Nr="1" Abbr="1 p." DocPartId="46facceac0924210b66a74a5245df6c6" PartId="d2e8423b92144c92ac0e1c6adbbe23f2">
      <Part Type="citata" DocPartId="b36fcea36e4e4abdbe751a79c691068f" PartId="8e0f6796e2ba454a97c2f0b3d4e0d700">
        <Part Type="punktas" Nr="45" Abbr="45 p." DocPartId="a61de27cd4944e55adbeeef2fcf4838c" PartId="6f41ea54988e4d6a9b9221ed2580d777"/>
      </Part>
    </Part>
    <Part Type="punktas" Nr="2" Abbr="2 p." DocPartId="160325c77df74092a88aaad618d19067" PartId="52b7fc5389794effb05ccc79249df193">
      <Part Type="citata" DocPartId="07d2f745a90447b1a44e75f9e7ce94e3" PartId="44bc766899554e6aa34e9addd2f444eb">
        <Part Type="punktas" Nr="46" Abbr="46 p." DocPartId="4330aeb657b64bd19b88c3ef20ceedc3" PartId="7654be1538774208a8324cbd62e6928c"/>
      </Part>
    </Part>
    <Part Type="punktas" Nr="3" Abbr="3 p." DocPartId="455a1363885544aab4935e18ced5467f" PartId="75e770b418b04633a642ff9e6fe1d84d">
      <Part Type="citata" DocPartId="ba68151a5e0b42948d5a1de60701d4d4" PartId="52d74eb6040c495388420cd2fb7e0a40">
        <Part Type="punktas" Nr="47" Abbr="47 p." DocPartId="b1178f65e8ad414a8cee2ff11be5f7f1" PartId="d8cda46d78944995b93dd99f022d28e8"/>
      </Part>
    </Part>
    <Part Type="punktas" Nr="4" Abbr="4 p." DocPartId="f05ca8eccd944e078f6db86eea98bfdc" PartId="fe4e763d301847538d3cd5188aa42628">
      <Part Type="citata" DocPartId="f99b3760d4af455c871010f291a5ca52" PartId="ff5cab6cca2f4fca9b0dc8b50278b1ab">
        <Part Type="punktas" Nr="49" Abbr="49 p." DocPartId="883cedca0dac4cadb5ab5a13f8f6a585" PartId="c8376ffa3afb453dbad4bca865bbf67e"/>
      </Part>
    </Part>
    <Part Type="punktas" Nr="5" Abbr="5 p." DocPartId="73f2a163b20c42ffbc0f30bd531564cc" PartId="3f44f6c4ac0a45d2a0e08b447b6042e0">
      <Part Type="citata" DocPartId="aef99e234b44421ab929ba6d8f1348d1" PartId="69e9d3eaa5944c35aa333009453b673a">
        <Part Type="punktas" Nr="51" Abbr="51 p." DocPartId="d8946bca2a0b45119766c87db89140df" PartId="f4ea939116bf44bfbd4c2b3ba9c57302">
          <Part Type="papunktis" Nr="51.1" Abbr="51.1 pp." DocPartId="2054d7f23c2d4a9caabf30f56fdab460" PartId="57a48c89ffcf49338d751b8f2a956f8a"/>
          <Part Type="papunktis" Nr="51.2" Abbr="51.2 pp." DocPartId="28e925bb3dde4b829a1e52f1614fd219" PartId="5b9b41c7856c45f7baaa889383dd7296"/>
        </Part>
      </Part>
    </Part>
    <Part Type="punktas" Nr="6" Abbr="6 p." DocPartId="130d3f91806446c59eed3d8c63f8c9d6" PartId="3d0b1317ba97422dbe93581faf5ea5ab">
      <Part Type="citata" DocPartId="18c18d05b408492c95434992aa318c69" PartId="f839801016d54e4fb98ef4967e036dc3">
        <Part Type="papunktis" Nr="53.1" Abbr="53.1 pp." DocPartId="103fac9463ff4518a8a694dcb2492615" PartId="e47ecfb89e9940a8a44569b74b3a9a03"/>
      </Part>
    </Part>
    <Part Type="punktas" Nr="7" Abbr="7 p." DocPartId="bd9df67c556049c99d6c6d681cf677ee" PartId="4f56889d67584308b5ff82b730988014">
      <Part Type="citata" DocPartId="f29eaa4c361148e8ac97eab94715b367" PartId="8835852e4b924682aceef34e27cd6b0a">
        <Part Type="papunktis" Nr="53.2" Abbr="53.2 pp." DocPartId="a0e4fbdd8b964d00a6f30547d9bcf830" PartId="e52d8df25d41488193d05e538d12e0c5"/>
      </Part>
    </Part>
    <Part Type="punktas" Nr="8" Abbr="8 p." DocPartId="1105809b05304a8a89f429b5a48be800" PartId="35a1045f36944eb9b296ea3679bdc13e">
      <Part Type="citata" DocPartId="4ba3bce4d4184bdb88fbc364ab937681" PartId="5c28d64c7dc14aec96a5d0a542fa6f91">
        <Part Type="papunktis" Nr="53.3" Abbr="53.3 pp." DocPartId="4557a30b135340e2a65715cb89711fca" PartId="55db7db928ca49d7a2704ffe6e90ffa2"/>
      </Part>
    </Part>
    <Part Type="punktas" Nr="9" Abbr="9 p." DocPartId="3a5d6505138f4f03900c2d19644d8b6b" PartId="e37c1ee8f02b44d09b2f0e9ef04a7528">
      <Part Type="citata" DocPartId="519bf352e9994f398467ae23f9f1fedf" PartId="01c417eace9f421fad9afe784d9fa101">
        <Part Type="papunktis" Nr="53.4" Abbr="53.4 pp." DocPartId="de851bcbf0ab4837b4195a6efb6a1a27" PartId="54bcad7f3b9d4889941ca41413982cb3"/>
      </Part>
    </Part>
    <Part Type="punktas" Nr="10" Abbr="10 p." DocPartId="571a6f7f8fc942d98645d24367255427" PartId="d4a614fa19b44d528b591cc5295486f5">
      <Part Type="citata" DocPartId="b8820bcc1abf45d9833f39e9a6d2d977" PartId="f26eb3a276bc4f37b36c6d75e30691bf">
        <Part Type="punktas" Nr="53-1" Abbr="53-1 p." DocPartId="d2c656d35b184941a8784a7549823145" PartId="925c4860ca9845f39ad02e0dc3327269"/>
        <Part Type="punktas" Nr="11" Abbr="11 p." Notes="Numeris ne iš eilės. Trūksta dalių? [DocDalys]" DocPartId="b383b1d83efc4032aff955e44b40a872" PartId="007504cacacf43538b02d04b19686d2f"/>
      </Part>
    </Part>
    <Part Type="punktas" Nr="12" Abbr="12 p." Notes="Numeris ne iš eilės. Trūksta dalių? [DocDalys]" DocPartId="95caf11ba0ec42cd82c5bf08478cb9fe" PartId="22fb16ba8e834fba93edd074178e358e">
      <Part Type="citata" DocPartId="84d57f96e01f41b998ce24549b3276ef" PartId="cd62fba61189439eb67df29ae735c49a">
        <Part Type="punktas" Nr="54" Abbr="54 p." DocPartId="e9cd5db875a64a29a742e3cd548fe4d8" PartId="07d626ed308441bb948f5aac1bfdd3f0"/>
      </Part>
    </Part>
    <Part Type="punktas" Nr="13" Abbr="13 p." DocPartId="00ff91224c574a92a2b4ad58f225dbd7" PartId="4911856c5a9942a68b92c799d6246584">
      <Part Type="citata" DocPartId="b73cbc409f1648cda306766f3b733043" PartId="740912f5af8342a3b05faac616a79467">
        <Part Type="punktas" Nr="55" Abbr="55 p." DocPartId="7cad54c0fd7e45ce9beeb43376f0181c" PartId="653443b34d604324a31d3e094658e2ff"/>
      </Part>
    </Part>
    <Part Type="punktas" Nr="14" Abbr="14 p." DocPartId="e7fda5812ce94676a1396edacbcb64e4" PartId="125e7da2a8be44c386175dabcf03b9be">
      <Part Type="citata" DocPartId="696654c0e267429fb37c34c1b4de21a8" PartId="5d591f845908444a94b7ae5747415fab">
        <Part Type="punktas" Nr="56-1" Abbr="56-1 p." DocPartId="0172fc11715f499398b7357e6f5ea7d9" PartId="82a35d1cfaf94f55a0088e19a0e700db">
          <Part Type="papunktis" Nr="56-1.1" Abbr="56-1.1 pp." DocPartId="b8b56438834a49fc89f686022b3a2fe7" PartId="6b5404cf44874b6ca1723ae4dcffa35c"/>
          <Part Type="papunktis" Nr="56-1.2" Abbr="56-1.2 pp." DocPartId="9bbb5d9714dc42cdb40dede68503c676" PartId="4e19e24a30f842868f4e3c836bdbc98d"/>
          <Part Type="papunktis" Nr="56-1.3" Abbr="56-1.3 pp." DocPartId="6dcc8d0598c24a839629b0b5c7f4a8cb" PartId="9f449ebf463a4edd934a84818009f223"/>
        </Part>
      </Part>
    </Part>
    <Part Type="punktas" Nr="15" Abbr="15 p." DocPartId="9ee112c627084ec7adcdb75f589a7b7e" PartId="d2f133515649482fa7779d6bc7b1f771">
      <Part Type="citata" DocPartId="7eb2121f63a548b698816c8ac1efc718" PartId="a601c7f676034e998eb14e636e25b79c">
        <Part Type="punktas" Nr="56-2" Abbr="56-2 p." DocPartId="b0cf5c6e9e4f4607bc58c6b7dac459aa" PartId="d8053fe21ec8425ea9f4f206025054a1"/>
      </Part>
    </Part>
    <Part Type="punktas" Nr="16" Abbr="16 p." DocPartId="2817a72fd62548ffb1426594a34a2e93" PartId="f4bd51b2a10d453d9d946b374a94d35f">
      <Part Type="citata" DocPartId="9e89fee89ae84e479151f8699e046e35" PartId="daa3d7ae0ca54288ae824dbe8dfa03b0">
        <Part Type="punktas" Nr="61" Abbr="61 p." DocPartId="f0db34c244f1451783ab4698033174b1" PartId="fb48f3e3dff248dc886891709c327204">
          <Part Type="papunktis" Nr="61.1" Abbr="61.1 pp." DocPartId="57768e0567294b87af8a2c8374495c7c" PartId="c56a26b5190d4a92be7afe9f6ee0dee5"/>
          <Part Type="papunktis" Nr="61.2" Abbr="61.2 pp." DocPartId="913848298a60436fa1826e1718404f30" PartId="0f926c41fcfc4a7b9920e5a417f222fc"/>
        </Part>
      </Part>
    </Part>
    <Part Type="signatura" DocPartId="169c4928b1804117a1eb3e1db7622481" PartId="a791da0115544dc8b63ea576af88c105"/>
  </Part>
</Parts>
</file>

<file path=customXml/itemProps1.xml><?xml version="1.0" encoding="utf-8"?>
<ds:datastoreItem xmlns:ds="http://schemas.openxmlformats.org/officeDocument/2006/customXml" ds:itemID="{9542CDAF-1823-4A47-96C1-62FBB3241D2C}">
  <ds:schemaRefs>
    <ds:schemaRef ds:uri="http://schemas.openxmlformats.org/officeDocument/2006/bibliography"/>
  </ds:schemaRefs>
</ds:datastoreItem>
</file>

<file path=customXml/itemProps2.xml><?xml version="1.0" encoding="utf-8"?>
<ds:datastoreItem xmlns:ds="http://schemas.openxmlformats.org/officeDocument/2006/customXml" ds:itemID="{C2321578-291F-4B68-9664-3DF884C672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921</Words>
  <Characters>5876</Characters>
  <Application>Microsoft Office Word</Application>
  <DocSecurity>4</DocSecurity>
  <Lines>108</Lines>
  <Paragraphs>55</Paragraphs>
  <ScaleCrop>false</ScaleCrop>
  <HeadingPairs>
    <vt:vector size="2" baseType="variant">
      <vt:variant>
        <vt:lpstr>Pavadinimas</vt:lpstr>
      </vt:variant>
      <vt:variant>
        <vt:i4>1</vt:i4>
      </vt:variant>
    </vt:vector>
  </HeadingPairs>
  <TitlesOfParts>
    <vt:vector size="1" baseType="lpstr">
      <vt:lpstr>DĖL ŠIAULIŲ MIESTO SAVIVALDYBĖS TARYBOS 2018 M. GEGUŽĖS 3 D. SPRENDIMO NR. T-155 „DĖL ŠIAULIŲ MIESTO SAVIVALDYBĖS GYVENTOJŲ MOKĖJIMO UŽ SOCIALINES PASLAUGAS TVARKOS APRAŠO PATVIRTINIMO“ PAKEITIMO</vt:lpstr>
    </vt:vector>
  </TitlesOfParts>
  <Manager>2024-07-04</Manager>
  <Company/>
  <LinksUpToDate>false</LinksUpToDate>
  <CharactersWithSpaces>6742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2024-11-14T11:35:00Z</dcterms:created>
  <dc:creator>ŠIAULIŲ MIESTO SAVIVALDYBĖS TARYBA</dc:creator>
  <lastModifiedBy>adlibuser</lastModifiedBy>
  <lastPrinted>2024-06-14T10:37:00Z</lastPrinted>
  <dcterms:modified xsi:type="dcterms:W3CDTF">2024-11-14T11:35:00Z</dcterms:modified>
  <revision>2</revision>
  <dc:subject>T-290</dc:subject>
  <dc:title>DĖL ŠIAULIŲ MIESTO SAVIVALDYBĖS TARYBOS 2018 M. GEGUŽĖS 3 D. SPRENDIMO NR. T-155 „DĖL ŠIAULIŲ MIESTO SAVIVALDYBĖS GYVENTOJŲ MOKĖJIMO UŽ SOCIALINES PASLAUGAS TVARKOS APRAŠO PATVIRTINIMO“ PAKEITIMO</dc:title>
</coreProperties>
</file>