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microsoft.com/office/2011/relationships/webextensiontaskpanes" Target="word/webextensions/taskpanes.xml"/>
  <Relationship Id="rId4" Type="http://schemas.openxmlformats.org/officeDocument/2006/relationships/extended-properties" Target="docProps/app.xml"/>
  <Relationship Id="rId5" Type="http://schemas.openxmlformats.org/package/2006/relationships/metadata/core-properties" Target="docProps/core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taisx="http://lrs.lt/TAIS/DocPartXmlMarks" mc:Ignorable="w14 w15 w16se wp14">
  <w:background w:color="FFFFFF"/>
  <w:body>
    <w:sdt>
      <w:sdtPr>
        <w:alias w:val="pagrindine"/>
        <w:tag w:val="part_6eb613685a83404a958f1b1fd2339d37"/>
        <w:lock w:val="sdtLocked"/>
        <w:richText/>
      </w:sdtPr>
      <w:sdtContent>
        <w:p>
          <w:pPr>
            <w:tabs>
              <w:tab w:val="center" w:pos="4819"/>
              <w:tab w:val="right" w:pos="9638"/>
            </w:tabs>
          </w:pPr>
        </w:p>
        <w:p>
          <w:pPr>
            <w:ind w:left="7200" w:firstLine="720"/>
            <w:jc w:val="both"/>
            <w:rPr>
              <w:b/>
              <w:bCs/>
              <w:szCs w:val="24"/>
              <w:lang w:eastAsia="lt-LT"/>
            </w:rPr>
          </w:pPr>
          <w:r>
            <w:rPr>
              <w:b/>
              <w:bCs/>
              <w:szCs w:val="24"/>
              <w:lang w:eastAsia="lt-LT"/>
            </w:rPr>
            <w:t>Projektas</w:t>
          </w:r>
        </w:p>
        <w:p>
          <w:pPr>
            <w:ind w:left="852" w:firstLine="7068"/>
            <w:jc w:val="both"/>
            <w:rPr>
              <w:szCs w:val="24"/>
              <w:lang w:eastAsia="lt-LT"/>
            </w:rPr>
          </w:pPr>
          <w:r>
            <w:rPr>
              <w:szCs w:val="24"/>
              <w:lang w:eastAsia="lt-LT"/>
            </w:rPr>
            <w:t>Nr. TSP-</w:t>
          </w:r>
        </w:p>
        <w:p>
          <w:pPr>
            <w:jc w:val="center"/>
            <w:rPr>
              <w:szCs w:val="24"/>
            </w:rPr>
          </w:pPr>
        </w:p>
        <w:p>
          <w:pPr>
            <w:keepNext/>
            <w:jc w:val="center"/>
            <w:rPr>
              <w:b/>
              <w:bCs/>
              <w:szCs w:val="24"/>
            </w:rPr>
          </w:pPr>
          <w:r>
            <w:rPr>
              <w:b/>
              <w:bCs/>
              <w:szCs w:val="24"/>
            </w:rPr>
            <w:t>RADVILIŠKIO RAJONO SAVIVALDYBĖS TARYBA</w:t>
          </w:r>
        </w:p>
        <w:p>
          <w:pPr>
            <w:jc w:val="center"/>
            <w:rPr>
              <w:b/>
              <w:bCs/>
              <w:szCs w:val="24"/>
            </w:rPr>
          </w:pPr>
        </w:p>
        <w:p>
          <w:pPr>
            <w:jc w:val="center"/>
            <w:rPr>
              <w:b/>
              <w:bCs/>
              <w:szCs w:val="24"/>
            </w:rPr>
          </w:pPr>
          <w:r>
            <w:rPr>
              <w:b/>
              <w:bCs/>
              <w:szCs w:val="24"/>
            </w:rPr>
            <w:t>SPRENDIMAS</w:t>
          </w:r>
        </w:p>
        <w:p>
          <w:pPr>
            <w:jc w:val="center"/>
            <w:rPr>
              <w:b/>
              <w:bCs/>
              <w:color w:val="000000"/>
              <w:szCs w:val="24"/>
            </w:rPr>
          </w:pPr>
          <w:r>
            <w:rPr>
              <w:b/>
              <w:bCs/>
              <w:color w:val="000000"/>
              <w:szCs w:val="24"/>
              <w:lang w:eastAsia="lt-LT"/>
            </w:rPr>
            <w:t xml:space="preserve">DĖL </w:t>
          </w:r>
          <w:r>
            <w:rPr>
              <w:b/>
              <w:bCs/>
              <w:szCs w:val="24"/>
            </w:rPr>
            <w:t xml:space="preserve">RADVILIŠKIO RAJONO </w:t>
          </w:r>
          <w:r>
            <w:rPr>
              <w:b/>
              <w:bCs/>
              <w:color w:val="000000"/>
              <w:szCs w:val="24"/>
            </w:rPr>
            <w:t>SAVIVALDYBĖS TARYBOS SPRENDIMO </w:t>
          </w:r>
        </w:p>
        <w:p>
          <w:pPr>
            <w:jc w:val="center"/>
            <w:rPr>
              <w:b/>
              <w:bCs/>
              <w:szCs w:val="24"/>
            </w:rPr>
          </w:pPr>
          <w:r>
            <w:rPr>
              <w:b/>
              <w:bCs/>
              <w:color w:val="000000"/>
              <w:szCs w:val="24"/>
            </w:rPr>
            <w:t>PRIPAŽINIMO NETEKUSIU GALIOS</w:t>
          </w:r>
        </w:p>
        <w:p>
          <w:pPr>
            <w:jc w:val="center"/>
            <w:rPr>
              <w:szCs w:val="24"/>
            </w:rPr>
          </w:pPr>
        </w:p>
        <w:p>
          <w:pPr>
            <w:ind w:firstLine="62"/>
            <w:jc w:val="center"/>
            <w:rPr>
              <w:szCs w:val="24"/>
            </w:rPr>
          </w:pPr>
          <w:r>
            <w:rPr>
              <w:szCs w:val="24"/>
            </w:rPr>
            <w:t xml:space="preserve">2025 m.                   d. Nr. T-</w:t>
          </w:r>
        </w:p>
        <w:p>
          <w:pPr>
            <w:jc w:val="center"/>
            <w:rPr>
              <w:szCs w:val="24"/>
            </w:rPr>
          </w:pPr>
          <w:r>
            <w:rPr>
              <w:szCs w:val="24"/>
            </w:rPr>
            <w:t>Radviliškis</w:t>
          </w:r>
        </w:p>
        <w:p>
          <w:pPr>
            <w:jc w:val="center"/>
            <w:rPr>
              <w:szCs w:val="24"/>
            </w:rPr>
          </w:pPr>
        </w:p>
        <w:sdt>
          <w:sdtPr>
            <w:alias w:val="preambule"/>
            <w:tag w:val="part_d561930bed8d4d689dfa514c451167c9"/>
            <w:lock w:val="sdtLocked"/>
            <w:richText/>
          </w:sdtPr>
          <w:sdtContent>
            <w:p>
              <w:pPr>
                <w:ind w:firstLine="709"/>
                <w:jc w:val="both"/>
                <w:textAlignment w:val="baseline"/>
                <w:rPr>
                  <w:szCs w:val="24"/>
                  <w:lang w:eastAsia="lt-LT"/>
                </w:rPr>
              </w:pPr>
              <w:r>
                <w:rPr>
                  <w:szCs w:val="24"/>
                  <w:lang w:eastAsia="lt-LT"/>
                </w:rPr>
                <w:t xml:space="preserve">Vadovaudamasi Lietuvos Respublikos Vietos savivaldos įstatymo 16 straipsnio 1 dalimi, atsižvelgdama į </w:t>
              </w:r>
              <w:r>
                <w:rPr>
                  <w:szCs w:val="24"/>
                </w:rPr>
                <w:t>Lietuvos Respublikos Specialiųjų tyrimų tarnybos išvadą</w:t>
              </w:r>
              <w:r>
                <w:rPr>
                  <w:szCs w:val="24"/>
                  <w:lang w:eastAsia="lt-LT"/>
                </w:rPr>
                <w:t xml:space="preserve"> </w:t>
              </w:r>
              <w:r>
                <w:rPr>
                  <w:szCs w:val="24"/>
                </w:rPr>
                <w:t>2024-12-04 „</w:t>
              </w:r>
              <w:r>
                <w:rPr>
                  <w:szCs w:val="24"/>
                  <w:lang w:eastAsia="lt-LT"/>
                </w:rPr>
                <w:t xml:space="preserve">Antikorupcinio vertinimo išvada </w:t>
              </w:r>
              <w:r>
                <w:rPr>
                  <w:szCs w:val="24"/>
                </w:rPr>
                <w:t>dėl stichinės nelaimės (gaisro, potvynio, audros, liūties ir pan.) padarytiems nuostoliams iš dalies padengti vienkartinės išmokos skyrimo ir mokėjimo tvarkos aprašo“</w:t>
              </w:r>
              <w:r>
                <w:rPr>
                  <w:szCs w:val="24"/>
                  <w:lang w:eastAsia="lt-LT"/>
                </w:rPr>
                <w:t xml:space="preserve"> </w:t>
              </w:r>
              <w:r>
                <w:rPr>
                  <w:szCs w:val="24"/>
                </w:rPr>
                <w:t xml:space="preserve">Nr. 4-01-10669, </w:t>
              </w:r>
              <w:r>
                <w:rPr>
                  <w:szCs w:val="24"/>
                  <w:lang w:eastAsia="lt-LT"/>
                </w:rPr>
                <w:t xml:space="preserve">Radviliškio rajono savivaldybės taryba </w:t>
              </w:r>
              <w:r>
                <w:rPr>
                  <w:spacing w:val="50"/>
                  <w:szCs w:val="24"/>
                  <w:lang w:eastAsia="lt-LT"/>
                </w:rPr>
                <w:t>nusprendži</w:t>
              </w:r>
              <w:r>
                <w:rPr>
                  <w:szCs w:val="24"/>
                  <w:lang w:eastAsia="lt-LT"/>
                </w:rPr>
                <w:t>a:</w:t>
              </w:r>
            </w:p>
          </w:sdtContent>
        </w:sdt>
        <w:sdt>
          <w:sdtPr>
            <w:alias w:val="pastraipa"/>
            <w:tag w:val="part_6be143d4f97042cea30047838710565b"/>
            <w:lock w:val="sdtLocked"/>
            <w:richText/>
          </w:sdtPr>
          <w:sdtContent>
            <w:p>
              <w:pPr>
                <w:ind w:firstLine="709"/>
                <w:jc w:val="both"/>
                <w:textAlignment w:val="baseline"/>
                <w:rPr>
                  <w:szCs w:val="24"/>
                  <w:lang w:eastAsia="lt-LT"/>
                </w:rPr>
              </w:pPr>
              <w:r>
                <w:rPr>
                  <w:szCs w:val="24"/>
                </w:rPr>
                <w:t xml:space="preserve">Pripažinti netekusiu galios Radviliškio rajono savivaldybės tarybos 2021 m. gegužės 27 d. sprendimą Nr. T-524 „Dėl </w:t>
              </w:r>
              <w:r>
                <w:rPr>
                  <w:color w:val="000000"/>
                  <w:szCs w:val="24"/>
                </w:rPr>
                <w:t xml:space="preserve">stichinės nelaimės (gaisro, potvynio, audros, liūties ir pan.) </w:t>
              </w:r>
              <w:r>
                <w:rPr>
                  <w:color w:val="000000"/>
                  <w:szCs w:val="24"/>
                  <w:lang w:val="pt-BR"/>
                </w:rPr>
                <w:t>padarytiems nuostoliams iš dalies padengti vienkartinės išmokos</w:t>
              </w:r>
              <w:r>
                <w:rPr>
                  <w:color w:val="000000"/>
                  <w:szCs w:val="24"/>
                </w:rPr>
                <w:t xml:space="preserve"> skyrimo ir mokėjimo tvarkos aprašo patvirtinimo</w:t>
              </w:r>
              <w:r>
                <w:rPr>
                  <w:szCs w:val="24"/>
                </w:rPr>
                <w:t>“.</w:t>
              </w:r>
            </w:p>
            <w:p>
              <w:pPr>
                <w:tabs>
                  <w:tab w:val="left" w:pos="709"/>
                </w:tabs>
                <w:rPr>
                  <w:szCs w:val="24"/>
                </w:rPr>
              </w:pPr>
            </w:p>
            <w:p>
              <w:pPr>
                <w:tabs>
                  <w:tab w:val="left" w:pos="709"/>
                </w:tabs>
                <w:rPr>
                  <w:szCs w:val="24"/>
                </w:rPr>
              </w:pPr>
            </w:p>
            <w:p>
              <w:pPr>
                <w:ind w:firstLine="709"/>
                <w:jc w:val="both"/>
                <w:rPr>
                  <w:color w:val="000000"/>
                  <w:szCs w:val="24"/>
                  <w:lang w:eastAsia="lt-LT"/>
                </w:rPr>
              </w:pPr>
            </w:p>
            <w:p>
              <w:pPr>
                <w:rPr>
                  <w:szCs w:val="24"/>
                </w:rPr>
              </w:pPr>
              <w:r>
                <w:rPr>
                  <w:szCs w:val="24"/>
                </w:rPr>
                <w:t xml:space="preserve">Savivaldybės meras </w:t>
                <w:tab/>
                <w:tab/>
                <w:tab/>
                <w:t xml:space="preserve">                                    </w:t>
                <w:tab/>
                <w:tab/>
                <w:tab/>
                <w:tab/>
                <w:t xml:space="preserve">               </w:t>
              </w:r>
            </w:p>
            <w:p>
              <w:pPr>
                <w:rPr>
                  <w:szCs w:val="24"/>
                  <w:lang w:eastAsia="lt-LT"/>
                </w:rPr>
              </w:pPr>
            </w:p>
            <w:p>
              <w:pPr>
                <w:tabs>
                  <w:tab w:val="left" w:pos="315"/>
                </w:tabs>
                <w:rPr>
                  <w:b/>
                  <w:bCs/>
                  <w:szCs w:val="24"/>
                </w:rPr>
              </w:pPr>
            </w:p>
            <w:p>
              <w:pPr>
                <w:jc w:val="center"/>
                <w:rPr>
                  <w:b/>
                  <w:bCs/>
                  <w:szCs w:val="24"/>
                </w:rPr>
              </w:pPr>
            </w:p>
            <w:p>
              <w:pPr>
                <w:jc w:val="center"/>
                <w:rPr>
                  <w:b/>
                  <w:bCs/>
                  <w:szCs w:val="24"/>
                </w:rPr>
              </w:pPr>
            </w:p>
            <w:p>
              <w:pPr>
                <w:jc w:val="center"/>
                <w:rPr>
                  <w:b/>
                  <w:bCs/>
                  <w:szCs w:val="24"/>
                </w:rPr>
              </w:pPr>
            </w:p>
            <w:p>
              <w:pPr>
                <w:rPr>
                  <w:b/>
                  <w:bCs/>
                  <w:szCs w:val="24"/>
                </w:rPr>
              </w:pPr>
            </w:p>
            <w:p>
              <w:pPr>
                <w:rPr>
                  <w:b/>
                  <w:bCs/>
                  <w:szCs w:val="24"/>
                </w:rPr>
              </w:pPr>
            </w:p>
            <w:p>
              <w:pPr>
                <w:rPr>
                  <w:b/>
                  <w:bCs/>
                  <w:szCs w:val="24"/>
                </w:rPr>
              </w:pPr>
            </w:p>
            <w:p>
              <w:pPr>
                <w:rPr>
                  <w:b/>
                  <w:bCs/>
                  <w:szCs w:val="24"/>
                </w:rPr>
                <w:sectPr>
                  <w:headerReference w:type="even" r:id="rId7"/>
                  <w:headerReference w:type="default" r:id="rId8"/>
                  <w:footerReference w:type="even" r:id="rId9"/>
                  <w:footerReference w:type="default" r:id="rId10"/>
                  <w:headerReference w:type="first" r:id="rId11"/>
                  <w:footerReference w:type="first" r:id="rId12"/>
                  <w:pgSz w:w="11906" w:h="16838" w:code="9"/>
                  <w:pgMar w:top="1134" w:right="567" w:bottom="1701" w:left="1701" w:header="709" w:footer="709" w:gutter="0"/>
                  <w:cols w:space="708"/>
                  <w:titlePg/>
                  <w:docGrid w:linePitch="360"/>
                </w:sectPr>
              </w:pPr>
            </w:p>
            <w:p>
              <w:pPr>
                <w:tabs>
                  <w:tab w:val="center" w:pos="4986"/>
                  <w:tab w:val="right" w:pos="9972"/>
                </w:tabs>
              </w:pPr>
            </w:p>
          </w:sdtContent>
        </w:sdt>
        <w:sdt>
          <w:sdtPr>
            <w:alias w:val="skirsnis"/>
            <w:tag w:val="part_6aa88d6f2c45489682b8b99b08621460"/>
            <w:lock w:val="sdtLocked"/>
            <w:richText/>
          </w:sdtPr>
          <w:sdtContent>
            <w:sdt>
              <w:sdtPr>
                <w:alias w:val="Pavadinimas"/>
                <w:tag w:val="title_6aa88d6f2c45489682b8b99b08621460"/>
                <w:lock w:val="sdtLocked"/>
                <w:richText/>
              </w:sdtPr>
              <w:sdtContent>
                <w:p>
                  <w:pPr>
                    <w:ind w:right="278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RADVILIŠKIO RAJONO SAVIVALDYBĖS TARYBOS SPRENDIMO PROJEKTO</w:t>
                  </w:r>
                </w:p>
                <w:p>
                  <w:pPr>
                    <w:jc w:val="center"/>
                    <w:rPr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„</w:t>
                  </w:r>
                  <w:r>
                    <w:rPr>
                      <w:b/>
                      <w:bCs/>
                      <w:color w:val="000000"/>
                      <w:szCs w:val="24"/>
                      <w:lang w:eastAsia="lt-LT"/>
                    </w:rPr>
                    <w:t xml:space="preserve">DĖL </w:t>
                  </w:r>
                  <w:r>
                    <w:rPr>
                      <w:b/>
                      <w:bCs/>
                      <w:szCs w:val="24"/>
                    </w:rPr>
                    <w:t xml:space="preserve">RADVILIŠKIO RAJONO </w:t>
                  </w:r>
                  <w:r>
                    <w:rPr>
                      <w:b/>
                      <w:bCs/>
                      <w:color w:val="000000"/>
                      <w:szCs w:val="24"/>
                    </w:rPr>
                    <w:t>SAVIVALDYBĖS TARYBOS SPRENDIMO </w:t>
                  </w:r>
                </w:p>
                <w:p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  <w:szCs w:val="24"/>
                    </w:rPr>
                    <w:t>PRIPAŽINIMO NETEKUSIU GALIOS</w:t>
                  </w:r>
                  <w:r>
                    <w:rPr>
                      <w:b/>
                      <w:szCs w:val="24"/>
                    </w:rPr>
                    <w:t>”</w:t>
                  </w:r>
                </w:p>
                <w:p>
                  <w:pPr>
                    <w:ind w:right="278"/>
                    <w:jc w:val="center"/>
                    <w:rPr>
                      <w:b/>
                      <w:bCs/>
                      <w:szCs w:val="24"/>
                    </w:rPr>
                  </w:pPr>
                  <w:r>
                    <w:rPr>
                      <w:b/>
                      <w:bCs/>
                      <w:szCs w:val="24"/>
                    </w:rPr>
                    <w:t>AIŠKINAMASIS RAŠTAS</w:t>
                  </w:r>
                </w:p>
              </w:sdtContent>
            </w:sdt>
            <w:p>
              <w:pPr>
                <w:ind w:right="177" w:firstLine="4925"/>
                <w:rPr>
                  <w:szCs w:val="24"/>
                </w:rPr>
              </w:pPr>
            </w:p>
            <w:p>
              <w:pPr>
                <w:ind w:right="177"/>
                <w:jc w:val="center"/>
                <w:rPr>
                  <w:szCs w:val="24"/>
                </w:rPr>
              </w:pPr>
              <w:r>
                <w:rPr>
                  <w:szCs w:val="24"/>
                </w:rPr>
                <w:t>2025 m. gegužės 8 d.</w:t>
              </w:r>
            </w:p>
            <w:p>
              <w:pPr>
                <w:ind w:right="177"/>
                <w:jc w:val="center"/>
                <w:rPr>
                  <w:szCs w:val="24"/>
                </w:rPr>
              </w:pPr>
              <w:r>
                <w:rPr>
                  <w:szCs w:val="24"/>
                </w:rPr>
                <w:t>Radviliškis</w:t>
              </w:r>
            </w:p>
            <w:p>
              <w:pPr>
                <w:ind w:left="-120"/>
                <w:rPr>
                  <w:szCs w:val="24"/>
                </w:rPr>
              </w:pPr>
            </w:p>
            <w:sdt>
              <w:sdtPr>
                <w:alias w:val="1 p."/>
                <w:tag w:val="part_d07d4e1a4b984e8796ac5dd38b54916b"/>
                <w:lock w:val="sdtLocked"/>
                <w:richText/>
              </w:sdtPr>
              <w:sdtContent>
                <w:p>
                  <w:pPr>
                    <w:tabs>
                      <w:tab w:val="left" w:pos="993"/>
                    </w:tabs>
                    <w:ind w:firstLine="709"/>
                    <w:jc w:val="both"/>
                    <w:rPr>
                      <w:b/>
                      <w:bCs/>
                      <w:szCs w:val="24"/>
                    </w:rPr>
                  </w:pPr>
                  <w:sdt>
                    <w:sdtPr>
                      <w:alias w:val="Numeris"/>
                      <w:tag w:val="nr_d07d4e1a4b984e8796ac5dd38b54916b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</w:rPr>
                        <w:t>1</w:t>
                      </w:r>
                    </w:sdtContent>
                  </w:sdt>
                  <w:r>
                    <w:rPr>
                      <w:b/>
                      <w:bCs/>
                      <w:szCs w:val="24"/>
                    </w:rPr>
                    <w:t>.</w:t>
                    <w:tab/>
                    <w:t>Parengto sprendimo rengimą paskatinusios priežastys, parengto projekto tikslai, sprendimo projekto tikslai ir uždaviniai.</w:t>
                  </w:r>
                </w:p>
                <w:p>
                  <w:pPr>
                    <w:tabs>
                      <w:tab w:val="left" w:pos="993"/>
                    </w:tabs>
                    <w:ind w:firstLine="709"/>
                    <w:jc w:val="both"/>
                    <w:rPr>
                      <w:bCs/>
                      <w:iCs/>
                      <w:kern w:val="2"/>
                      <w:szCs w:val="24"/>
                    </w:rPr>
                  </w:pPr>
                  <w:r>
                    <w:rPr>
                      <w:bCs/>
                      <w:iCs/>
                      <w:kern w:val="2"/>
                      <w:szCs w:val="24"/>
                    </w:rPr>
                    <w:t xml:space="preserve">Vienkartinė piniginė parama nukentėjus nuo stichinės nelaimės iki šiol buvo skiriama vadovaujantis </w:t>
                  </w:r>
                  <w:r>
                    <w:rPr>
                      <w:color w:val="000000"/>
                      <w:szCs w:val="24"/>
                    </w:rPr>
                    <w:t>Stichinės nelaimės (gaisro, potvynio, audros, liūties ir pan.) padarytiems nuostoliams iš dalies padengti vienkartinės išmokos skyrimo ir mokėjimo tvarkos aprašu (toliau – Aprašas), patvirtintu Radviliškio rajono savivaldybės tarybos 2021 m. gegužės 27 d. sprendimu Nr. T-524.</w:t>
                  </w:r>
                  <w:r>
                    <w:rPr>
                      <w:bCs/>
                      <w:iCs/>
                      <w:kern w:val="2"/>
                      <w:szCs w:val="24"/>
                    </w:rPr>
                    <w:t xml:space="preserve">              </w:t>
                  </w:r>
                </w:p>
                <w:p>
                  <w:pPr>
                    <w:tabs>
                      <w:tab w:val="left" w:pos="993"/>
                    </w:tabs>
                    <w:ind w:firstLine="709"/>
                    <w:jc w:val="both"/>
                    <w:rPr>
                      <w:b/>
                      <w:bCs/>
                      <w:szCs w:val="24"/>
                    </w:rPr>
                  </w:pPr>
                  <w:r>
                    <w:rPr>
                      <w:szCs w:val="24"/>
                    </w:rPr>
                    <w:t>Lietuvos Respublikos Specialiųjų tyrimų tarnybos 2024-12-04 išvadoje</w:t>
                  </w:r>
                  <w:r>
                    <w:rPr>
                      <w:szCs w:val="24"/>
                      <w:lang w:eastAsia="lt-LT"/>
                    </w:rPr>
                    <w:t xml:space="preserve"> </w:t>
                  </w:r>
                  <w:r>
                    <w:rPr>
                      <w:szCs w:val="24"/>
                    </w:rPr>
                    <w:t>„</w:t>
                  </w:r>
                  <w:r>
                    <w:rPr>
                      <w:szCs w:val="24"/>
                      <w:lang w:eastAsia="lt-LT"/>
                    </w:rPr>
                    <w:t xml:space="preserve">Antikorupcinio vertinimo išvada </w:t>
                  </w:r>
                  <w:r>
                    <w:rPr>
                      <w:szCs w:val="24"/>
                    </w:rPr>
                    <w:t>dėl stichinės nelaimės (gaisro, potvynio, audros, liūties ir pan.) padarytiems nuostoliams iš dalies padengti vienkartinės išmokos skyrimo ir mokėjimo tvarkos aprašo“</w:t>
                  </w:r>
                  <w:r>
                    <w:rPr>
                      <w:szCs w:val="24"/>
                      <w:lang w:eastAsia="lt-LT"/>
                    </w:rPr>
                    <w:t xml:space="preserve"> </w:t>
                  </w:r>
                  <w:r>
                    <w:rPr>
                      <w:szCs w:val="24"/>
                    </w:rPr>
                    <w:t xml:space="preserve">Nr. 4-01-10669 nurodoma kad, </w:t>
                  </w:r>
                  <w:r>
                    <w:rPr>
                      <w:bCs/>
                      <w:szCs w:val="24"/>
                    </w:rPr>
                    <w:t>atlikus Aprašo antikorupcinį vertinimą darytina išvada, kad juo nustatytas teisinis reglamentavimas yra ydingas antikorupciniu požiūriu, kadangi:</w:t>
                  </w:r>
                </w:p>
                <w:sdt>
                  <w:sdtPr>
                    <w:alias w:val="1 p. a pp."/>
                    <w:tag w:val="part_2a7e093ce93c420db33332a0a06da2ae"/>
                    <w:lock w:val="sdtLocked"/>
                    <w:richText/>
                  </w:sdtPr>
                  <w:sdtContent>
                    <w:p>
                      <w:pPr>
                        <w:tabs>
                          <w:tab w:val="left" w:pos="993"/>
                        </w:tabs>
                        <w:suppressAutoHyphens/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2a7e093ce93c420db33332a0a06da2ae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a</w:t>
                          </w:r>
                        </w:sdtContent>
                      </w:sdt>
                      <w:r>
                        <w:rPr>
                          <w:szCs w:val="24"/>
                        </w:rPr>
                        <w:t>)</w:t>
                        <w:tab/>
                        <w:t>Aprašą įgyvendinantiems subjektams suteikiama diskrecija spręsti kokius kitus (Aprašu neapibrėžtus) reiškinius laikyti „stichine nelaime“, o tai sudaro sąlygas neobjektyvių ir nepagrįstų sprendimų priėmimui;</w:t>
                      </w:r>
                    </w:p>
                  </w:sdtContent>
                </w:sdt>
                <w:sdt>
                  <w:sdtPr>
                    <w:alias w:val="1 p. b pp."/>
                    <w:tag w:val="part_188ffe6977e649ae854702f00d9b4c7a"/>
                    <w:lock w:val="sdtLocked"/>
                    <w:richText/>
                  </w:sdtPr>
                  <w:sdtContent>
                    <w:p>
                      <w:pPr>
                        <w:tabs>
                          <w:tab w:val="left" w:pos="993"/>
                        </w:tabs>
                        <w:suppressAutoHyphens/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188ffe6977e649ae854702f00d9b4c7a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b</w:t>
                          </w:r>
                        </w:sdtContent>
                      </w:sdt>
                      <w:r>
                        <w:rPr>
                          <w:szCs w:val="24"/>
                        </w:rPr>
                        <w:t>)</w:t>
                        <w:tab/>
                        <w:t xml:space="preserve">Nepakankamas teisinis reglamentavimas sudaro sąlygas išmokas siekiančių gauti ir sprendimus priimančių asmenų nesąžiningam elgesiui, nepagrįstam bei netikslingam savivaldybės lėšų panaudojimui; </w:t>
                      </w:r>
                    </w:p>
                  </w:sdtContent>
                </w:sdt>
                <w:sdt>
                  <w:sdtPr>
                    <w:alias w:val="1 p. c pp."/>
                    <w:tag w:val="part_dd160718cac246a48c7db36d370bc1b2"/>
                    <w:lock w:val="sdtLocked"/>
                    <w:richText/>
                  </w:sdtPr>
                  <w:sdtContent>
                    <w:p>
                      <w:pPr>
                        <w:tabs>
                          <w:tab w:val="left" w:pos="993"/>
                        </w:tabs>
                        <w:suppressAutoHyphens/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dd160718cac246a48c7db36d370bc1b2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c</w:t>
                          </w:r>
                        </w:sdtContent>
                      </w:sdt>
                      <w:r>
                        <w:rPr>
                          <w:szCs w:val="24"/>
                        </w:rPr>
                        <w:t>)</w:t>
                        <w:tab/>
                        <w:t>Neaiškus Aprašo santykis su Lietuvos Respublikos krizių valdymo ir civilinės saugos įstatyme nustatytu teisiniu reglamentavimu;</w:t>
                      </w:r>
                    </w:p>
                  </w:sdtContent>
                </w:sdt>
                <w:sdt>
                  <w:sdtPr>
                    <w:alias w:val="1 p. d pp."/>
                    <w:tag w:val="part_e3c8b6d507194133ad1ff355155736b6"/>
                    <w:lock w:val="sdtLocked"/>
                    <w:richText/>
                  </w:sdtPr>
                  <w:sdtContent>
                    <w:p>
                      <w:pPr>
                        <w:tabs>
                          <w:tab w:val="left" w:pos="993"/>
                        </w:tabs>
                        <w:suppressAutoHyphens/>
                        <w:ind w:firstLine="709"/>
                        <w:jc w:val="both"/>
                        <w:rPr>
                          <w:szCs w:val="24"/>
                        </w:rPr>
                      </w:pPr>
                      <w:sdt>
                        <w:sdtPr>
                          <w:alias w:val="Numeris"/>
                          <w:tag w:val="nr_e3c8b6d507194133ad1ff355155736b6"/>
                          <w:lock w:val="sdtLocked"/>
                          <w:richText/>
                        </w:sdtPr>
                        <w:sdtContent>
                          <w:r>
                            <w:rPr>
                              <w:szCs w:val="24"/>
                            </w:rPr>
                            <w:t>d</w:t>
                          </w:r>
                        </w:sdtContent>
                      </w:sdt>
                      <w:r>
                        <w:rPr>
                          <w:szCs w:val="24"/>
                        </w:rPr>
                        <w:t>)</w:t>
                        <w:tab/>
                        <w:t>Aprašo nuostatos sudaro sąlygas dviprasmiškumams, todėl yra svarstytinos teisinio aiškumo požiūriu.</w:t>
                      </w:r>
                    </w:p>
                  </w:sdtContent>
                </w:sdt>
              </w:sdtContent>
            </w:sdt>
            <w:sdt>
              <w:sdtPr>
                <w:alias w:val="2 p."/>
                <w:tag w:val="part_9957aaadf0844dff9e3d70eb49498de4"/>
                <w:lock w:val="sdtLocked"/>
                <w:richText/>
              </w:sdtPr>
              <w:sdtContent>
                <w:p>
                  <w:pPr>
                    <w:tabs>
                      <w:tab w:val="left" w:pos="993"/>
                    </w:tabs>
                    <w:suppressAutoHyphens/>
                    <w:ind w:left="1069" w:hanging="360"/>
                    <w:jc w:val="both"/>
                    <w:rPr>
                      <w:b/>
                      <w:bCs/>
                      <w:szCs w:val="24"/>
                    </w:rPr>
                  </w:pPr>
                  <w:sdt>
                    <w:sdtPr>
                      <w:alias w:val="Numeris"/>
                      <w:tag w:val="nr_9957aaadf0844dff9e3d70eb49498de4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</w:rPr>
                        <w:t>2</w:t>
                      </w:r>
                    </w:sdtContent>
                  </w:sdt>
                  <w:r>
                    <w:rPr>
                      <w:b/>
                      <w:bCs/>
                      <w:szCs w:val="24"/>
                    </w:rPr>
                    <w:t>.</w:t>
                    <w:tab/>
                    <w:t>Projekto iniciatoriai (institucija, asmenys ar piliečių atstovai) ir rengėjai.</w:t>
                  </w:r>
                </w:p>
                <w:p>
                  <w:pPr>
                    <w:tabs>
                      <w:tab w:val="left" w:pos="993"/>
                    </w:tabs>
                    <w:suppressAutoHyphens/>
                    <w:ind w:left="709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Socialinės paramos skyriaus vedėja Rasa Miškinienė, vyriausioji specialistė Sonata Dekker.</w:t>
                  </w:r>
                </w:p>
              </w:sdtContent>
            </w:sdt>
            <w:sdt>
              <w:sdtPr>
                <w:alias w:val="3 p."/>
                <w:tag w:val="part_4abd1d7265f34e83a95b149f86c79991"/>
                <w:lock w:val="sdtLocked"/>
                <w:richText/>
              </w:sdtPr>
              <w:sdtContent>
                <w:p>
                  <w:pPr>
                    <w:tabs>
                      <w:tab w:val="left" w:pos="993"/>
                    </w:tabs>
                    <w:suppressAutoHyphens/>
                    <w:ind w:left="1069" w:hanging="360"/>
                    <w:jc w:val="both"/>
                    <w:rPr>
                      <w:b/>
                      <w:szCs w:val="24"/>
                    </w:rPr>
                  </w:pPr>
                  <w:sdt>
                    <w:sdtPr>
                      <w:alias w:val="Numeris"/>
                      <w:tag w:val="nr_4abd1d7265f34e83a95b149f86c79991"/>
                      <w:lock w:val="sdtLocked"/>
                      <w:richText/>
                    </w:sdtPr>
                    <w:sdtContent>
                      <w:r>
                        <w:rPr>
                          <w:b/>
                          <w:szCs w:val="24"/>
                        </w:rPr>
                        <w:t>3</w:t>
                      </w:r>
                    </w:sdtContent>
                  </w:sdt>
                  <w:r>
                    <w:rPr>
                      <w:b/>
                      <w:szCs w:val="24"/>
                    </w:rPr>
                    <w:t>.</w:t>
                    <w:tab/>
                    <w:t>Kaip šiuo metu yra reguliuojami sprendimo projekte aptarti teisiniai santykiai.</w:t>
                  </w:r>
                </w:p>
                <w:p>
                  <w:pPr>
                    <w:suppressAutoHyphens/>
                    <w:ind w:firstLine="709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Radviliškio rajono savivaldybės tarybos 2021 m. gegužės 27 d. sprendimu Nr. T-524 „Dėl </w:t>
                  </w:r>
                  <w:r>
                    <w:rPr>
                      <w:color w:val="000000"/>
                      <w:szCs w:val="24"/>
                    </w:rPr>
                    <w:t xml:space="preserve">stichinės nelaimės (gaisro, potvynio, audros, liūties ir pan.) </w:t>
                  </w:r>
                  <w:r>
                    <w:rPr>
                      <w:color w:val="000000"/>
                      <w:szCs w:val="24"/>
                      <w:lang w:val="pt-BR"/>
                    </w:rPr>
                    <w:t>padarytiems nuostoliams iš dalies padengti vienkartinės išmokos</w:t>
                  </w:r>
                  <w:r>
                    <w:rPr>
                      <w:color w:val="000000"/>
                      <w:szCs w:val="24"/>
                    </w:rPr>
                    <w:t xml:space="preserve"> skyrimo ir mokėjimo tvarkos aprašo parvirtinimo</w:t>
                  </w:r>
                  <w:r>
                    <w:rPr>
                      <w:szCs w:val="24"/>
                    </w:rPr>
                    <w:t>“ (su vėlesniais pakeitimais).</w:t>
                  </w:r>
                </w:p>
              </w:sdtContent>
            </w:sdt>
            <w:sdt>
              <w:sdtPr>
                <w:alias w:val="4 p."/>
                <w:tag w:val="part_bc85e38ca41c4b5b94642a65ae504152"/>
                <w:lock w:val="sdtLocked"/>
                <w:richText/>
              </w:sdtPr>
              <w:sdtContent>
                <w:p>
                  <w:pPr>
                    <w:tabs>
                      <w:tab w:val="left" w:pos="993"/>
                    </w:tabs>
                    <w:suppressAutoHyphens/>
                    <w:ind w:firstLine="709"/>
                    <w:jc w:val="both"/>
                    <w:rPr>
                      <w:b/>
                      <w:bCs/>
                      <w:szCs w:val="24"/>
                    </w:rPr>
                  </w:pPr>
                  <w:sdt>
                    <w:sdtPr>
                      <w:alias w:val="Numeris"/>
                      <w:tag w:val="nr_bc85e38ca41c4b5b94642a65ae504152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</w:rPr>
                        <w:t>4</w:t>
                      </w:r>
                    </w:sdtContent>
                  </w:sdt>
                  <w:r>
                    <w:rPr>
                      <w:b/>
                      <w:bCs/>
                      <w:szCs w:val="24"/>
                    </w:rPr>
                    <w:t>.</w:t>
                    <w:tab/>
                    <w:t xml:space="preserve">Kokios siūlomos naujos teisinio reguliavimo nuostatos, kokių teigiamų rezultatų laukiama. </w:t>
                  </w:r>
                </w:p>
                <w:p>
                  <w:pPr>
                    <w:suppressAutoHyphens/>
                    <w:ind w:firstLine="709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Parama gaisro atveju bus skiriama vadovaujantis nauju </w:t>
                  </w:r>
                  <w:r>
                    <w:rPr>
                      <w:color w:val="000000"/>
                      <w:szCs w:val="24"/>
                    </w:rPr>
                    <w:t xml:space="preserve">Piniginės socialinės paramos nepasiturintiems gyventojams teikimo </w:t>
                  </w:r>
                  <w:r>
                    <w:rPr>
                      <w:color w:val="000000"/>
                      <w:spacing w:val="-6"/>
                      <w:szCs w:val="24"/>
                    </w:rPr>
                    <w:t>Radviliškio</w:t>
                  </w:r>
                  <w:r>
                    <w:rPr>
                      <w:color w:val="000000"/>
                      <w:szCs w:val="24"/>
                    </w:rPr>
                    <w:t xml:space="preserve"> rajono savivaldybėje tvarkos aprašu.</w:t>
                  </w:r>
                </w:p>
              </w:sdtContent>
            </w:sdt>
            <w:sdt>
              <w:sdtPr>
                <w:alias w:val="5 p."/>
                <w:tag w:val="part_5dfe8d69efba46b5a469be6ddee26f30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szCs w:val="24"/>
                    </w:rPr>
                  </w:pPr>
                  <w:sdt>
                    <w:sdtPr>
                      <w:alias w:val="Numeris"/>
                      <w:tag w:val="nr_5dfe8d69efba46b5a469be6ddee26f30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</w:rPr>
                        <w:t>5</w:t>
                      </w:r>
                    </w:sdtContent>
                  </w:sdt>
                  <w:r>
                    <w:rPr>
                      <w:b/>
                      <w:bCs/>
                      <w:szCs w:val="24"/>
                    </w:rPr>
                    <w:t xml:space="preserve">. Galimos neigiamos priimto sprendimo projekto pasekmės ir kokių priemonių reikėtų imtis, kad tokių pasekmių būtų išvengta. </w:t>
                  </w:r>
                </w:p>
                <w:p>
                  <w:pPr>
                    <w:ind w:firstLine="709"/>
                    <w:jc w:val="both"/>
                    <w:rPr>
                      <w:b/>
                      <w:bCs/>
                      <w:szCs w:val="24"/>
                    </w:rPr>
                  </w:pPr>
                  <w:r>
                    <w:rPr>
                      <w:szCs w:val="24"/>
                    </w:rPr>
                    <w:t>Neigiamų pasekmių nenumatoma.</w:t>
                  </w:r>
                </w:p>
              </w:sdtContent>
            </w:sdt>
            <w:sdt>
              <w:sdtPr>
                <w:alias w:val="6 p."/>
                <w:tag w:val="part_eeb5d9e2741948239811fd099213bb69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szCs w:val="24"/>
                    </w:rPr>
                  </w:pPr>
                  <w:sdt>
                    <w:sdtPr>
                      <w:alias w:val="Numeris"/>
                      <w:tag w:val="nr_eeb5d9e2741948239811fd099213bb69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</w:rPr>
                        <w:t>6</w:t>
                      </w:r>
                    </w:sdtContent>
                  </w:sdt>
                  <w:r>
                    <w:rPr>
                      <w:b/>
                      <w:bCs/>
                      <w:szCs w:val="24"/>
                    </w:rPr>
                    <w:t xml:space="preserve">. Kokius teisės aktus būtina priimti, kokius galiojančius teisės aktus būtina pakeisti ar pripažinti netekusiais galios priėmus sprendimo projektą. </w:t>
                  </w:r>
                </w:p>
                <w:p>
                  <w:pPr>
                    <w:ind w:firstLine="720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Būtina pripažinti netekusiu galios Radviliškio rajono savivaldybės tarybos 2021 m. gegužės 27 d. sprendimą Nr. T-524 „Dėl </w:t>
                  </w:r>
                  <w:r>
                    <w:rPr>
                      <w:color w:val="000000"/>
                      <w:szCs w:val="24"/>
                    </w:rPr>
                    <w:t xml:space="preserve">stichinės nelaimės (gaisro, potvynio, audros, liūties ir pan.) </w:t>
                  </w:r>
                  <w:r>
                    <w:rPr>
                      <w:color w:val="000000"/>
                      <w:szCs w:val="24"/>
                      <w:lang w:val="pt-BR"/>
                    </w:rPr>
                    <w:t>padarytiems nuostoliams iš dalies padengti vienkartinės išmokos</w:t>
                  </w:r>
                  <w:r>
                    <w:rPr>
                      <w:color w:val="000000"/>
                      <w:szCs w:val="24"/>
                    </w:rPr>
                    <w:t xml:space="preserve"> skyrimo ir mokėjimo tvarkos aprašo parvirtinimo</w:t>
                  </w:r>
                  <w:r>
                    <w:rPr>
                      <w:szCs w:val="24"/>
                    </w:rPr>
                    <w:t>“ (su vėlesniais pakeitimais).</w:t>
                  </w:r>
                </w:p>
              </w:sdtContent>
            </w:sdt>
            <w:sdt>
              <w:sdtPr>
                <w:alias w:val="7 p."/>
                <w:tag w:val="part_f1b7be19538c4f5baebb92752fa0dea1"/>
                <w:lock w:val="sdtLocked"/>
                <w:richText/>
              </w:sdtPr>
              <w:sdtContent>
                <w:p>
                  <w:pPr>
                    <w:ind w:firstLine="709"/>
                    <w:jc w:val="both"/>
                    <w:rPr>
                      <w:szCs w:val="24"/>
                    </w:rPr>
                  </w:pPr>
                  <w:sdt>
                    <w:sdtPr>
                      <w:alias w:val="Numeris"/>
                      <w:tag w:val="nr_f1b7be19538c4f5baebb92752fa0dea1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</w:rPr>
                        <w:t>7</w:t>
                      </w:r>
                    </w:sdtContent>
                  </w:sdt>
                  <w:r>
                    <w:rPr>
                      <w:b/>
                      <w:bCs/>
                      <w:szCs w:val="24"/>
                    </w:rPr>
                    <w:t xml:space="preserve">. </w:t>
                  </w:r>
                  <w:r>
                    <w:rPr>
                      <w:b/>
                      <w:szCs w:val="24"/>
                    </w:rPr>
                    <w:t xml:space="preserve">Sprendimo projektui įgyvendinti reikalingos lėšos, finansavimo šaltiniai. </w:t>
                  </w:r>
                </w:p>
                <w:p>
                  <w:pPr>
                    <w:ind w:firstLine="709"/>
                    <w:jc w:val="both"/>
                    <w:rPr>
                      <w:b/>
                      <w:szCs w:val="24"/>
                    </w:rPr>
                  </w:pPr>
                  <w:r>
                    <w:rPr>
                      <w:szCs w:val="24"/>
                    </w:rPr>
                    <w:t xml:space="preserve">Sprendimo projektui įgyvendinti papildomų lėšų nereikės.  </w:t>
                  </w:r>
                </w:p>
              </w:sdtContent>
            </w:sdt>
            <w:sdt>
              <w:sdtPr>
                <w:alias w:val="8 p."/>
                <w:tag w:val="part_a06caa2ea1e9416a85f67b4e300c84cc"/>
                <w:lock w:val="sdtLocked"/>
                <w:richText/>
              </w:sdtPr>
              <w:sdtContent>
                <w:p>
                  <w:pPr>
                    <w:tabs>
                      <w:tab w:val="left" w:pos="1418"/>
                    </w:tabs>
                    <w:ind w:left="709"/>
                    <w:jc w:val="both"/>
                    <w:rPr>
                      <w:b/>
                      <w:bCs/>
                      <w:szCs w:val="24"/>
                    </w:rPr>
                  </w:pPr>
                  <w:sdt>
                    <w:sdtPr>
                      <w:alias w:val="Numeris"/>
                      <w:tag w:val="nr_a06caa2ea1e9416a85f67b4e300c84cc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</w:rPr>
                        <w:t>8</w:t>
                      </w:r>
                    </w:sdtContent>
                  </w:sdt>
                  <w:r>
                    <w:rPr>
                      <w:b/>
                      <w:bCs/>
                      <w:szCs w:val="24"/>
                    </w:rPr>
                    <w:t xml:space="preserve">. Sprendimo projekto rengimo metu gauti specialistų vertinimai ir išvados. </w:t>
                  </w:r>
                </w:p>
                <w:p>
                  <w:pPr>
                    <w:ind w:left="709"/>
                    <w:jc w:val="both"/>
                    <w:rPr>
                      <w:b/>
                      <w:bCs/>
                      <w:szCs w:val="24"/>
                    </w:rPr>
                  </w:pPr>
                  <w:r>
                    <w:rPr>
                      <w:szCs w:val="24"/>
                    </w:rPr>
                    <w:t xml:space="preserve">– </w:t>
                  </w:r>
                </w:p>
              </w:sdtContent>
            </w:sdt>
            <w:sdt>
              <w:sdtPr>
                <w:alias w:val="9 p."/>
                <w:tag w:val="part_9044fb41837f48c9b8f6adad29330ebb"/>
                <w:lock w:val="sdtLocked"/>
                <w:richText/>
              </w:sdtPr>
              <w:sdtContent>
                <w:p>
                  <w:pPr>
                    <w:ind w:left="709"/>
                    <w:jc w:val="both"/>
                    <w:rPr>
                      <w:b/>
                      <w:bCs/>
                      <w:szCs w:val="24"/>
                    </w:rPr>
                  </w:pPr>
                  <w:sdt>
                    <w:sdtPr>
                      <w:alias w:val="Numeris"/>
                      <w:tag w:val="nr_9044fb41837f48c9b8f6adad29330ebb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</w:rPr>
                        <w:t>9</w:t>
                      </w:r>
                    </w:sdtContent>
                  </w:sdt>
                  <w:r>
                    <w:rPr>
                      <w:b/>
                      <w:bCs/>
                      <w:szCs w:val="24"/>
                    </w:rPr>
                    <w:t xml:space="preserve">. Numatomo teisinio reguliavimo poveikio vertinimo rezultatai. </w:t>
                  </w:r>
                </w:p>
                <w:p>
                  <w:pPr>
                    <w:ind w:left="709"/>
                    <w:jc w:val="both"/>
                    <w:rPr>
                      <w:b/>
                      <w:bCs/>
                      <w:szCs w:val="24"/>
                    </w:rPr>
                  </w:pPr>
                  <w:r>
                    <w:rPr>
                      <w:szCs w:val="24"/>
                    </w:rPr>
                    <w:t xml:space="preserve">– </w:t>
                  </w:r>
                </w:p>
              </w:sdtContent>
            </w:sdt>
            <w:sdt>
              <w:sdtPr>
                <w:alias w:val="10 p."/>
                <w:tag w:val="part_3189be9e8ab7475c9715f93d5e4c4d36"/>
                <w:lock w:val="sdtLocked"/>
                <w:richText/>
              </w:sdtPr>
              <w:sdtContent>
                <w:p>
                  <w:pPr>
                    <w:ind w:left="709"/>
                    <w:jc w:val="both"/>
                    <w:rPr>
                      <w:b/>
                      <w:bCs/>
                      <w:szCs w:val="24"/>
                    </w:rPr>
                  </w:pPr>
                  <w:sdt>
                    <w:sdtPr>
                      <w:alias w:val="Numeris"/>
                      <w:tag w:val="nr_3189be9e8ab7475c9715f93d5e4c4d36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</w:rPr>
                        <w:t>10</w:t>
                      </w:r>
                    </w:sdtContent>
                  </w:sdt>
                  <w:r>
                    <w:rPr>
                      <w:b/>
                      <w:bCs/>
                      <w:szCs w:val="24"/>
                    </w:rPr>
                    <w:t>. Sprendimo projekto antikorupcinis vertinimas.</w:t>
                  </w:r>
                </w:p>
                <w:p>
                  <w:pPr>
                    <w:tabs>
                      <w:tab w:val="left" w:pos="1134"/>
                    </w:tabs>
                    <w:ind w:firstLine="709"/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Teisės akto projektas antikorupciniam vertinimui neteikiamas.</w:t>
                  </w:r>
                </w:p>
              </w:sdtContent>
            </w:sdt>
            <w:sdt>
              <w:sdtPr>
                <w:alias w:val="11 p."/>
                <w:tag w:val="part_d1d282651aa34b63973a8bdab1f7f264"/>
                <w:lock w:val="sdtLocked"/>
                <w:richText/>
              </w:sdtPr>
              <w:sdtContent>
                <w:p>
                  <w:pPr>
                    <w:tabs>
                      <w:tab w:val="left" w:pos="1134"/>
                    </w:tabs>
                    <w:ind w:firstLine="709"/>
                    <w:jc w:val="both"/>
                    <w:rPr>
                      <w:b/>
                      <w:bCs/>
                      <w:szCs w:val="24"/>
                    </w:rPr>
                  </w:pPr>
                  <w:sdt>
                    <w:sdtPr>
                      <w:alias w:val="Numeris"/>
                      <w:tag w:val="nr_d1d282651aa34b63973a8bdab1f7f264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</w:rPr>
                        <w:t>11</w:t>
                      </w:r>
                    </w:sdtContent>
                  </w:sdt>
                  <w:r>
                    <w:rPr>
                      <w:b/>
                      <w:bCs/>
                      <w:szCs w:val="24"/>
                    </w:rPr>
                    <w:t xml:space="preserve">. Kiti, iniciatoriaus nuomone, reikalingi pagrindimai ir paaiškinimai. </w:t>
                  </w:r>
                </w:p>
                <w:p>
                  <w:pPr>
                    <w:tabs>
                      <w:tab w:val="left" w:pos="1134"/>
                    </w:tabs>
                    <w:ind w:firstLine="709"/>
                    <w:jc w:val="both"/>
                    <w:rPr>
                      <w:b/>
                      <w:bCs/>
                      <w:szCs w:val="24"/>
                    </w:rPr>
                  </w:pPr>
                  <w:r>
                    <w:rPr>
                      <w:szCs w:val="24"/>
                    </w:rPr>
                    <w:t xml:space="preserve">– </w:t>
                  </w:r>
                </w:p>
              </w:sdtContent>
            </w:sdt>
            <w:sdt>
              <w:sdtPr>
                <w:alias w:val="12 p."/>
                <w:tag w:val="part_578ec79abdc94ebd84ada02ad2ce3ca5"/>
                <w:lock w:val="sdtLocked"/>
                <w:richText/>
              </w:sdtPr>
              <w:sdtContent>
                <w:p>
                  <w:pPr>
                    <w:ind w:left="709"/>
                    <w:jc w:val="both"/>
                    <w:rPr>
                      <w:b/>
                      <w:bCs/>
                      <w:szCs w:val="24"/>
                    </w:rPr>
                  </w:pPr>
                  <w:sdt>
                    <w:sdtPr>
                      <w:alias w:val="Numeris"/>
                      <w:tag w:val="nr_578ec79abdc94ebd84ada02ad2ce3ca5"/>
                      <w:lock w:val="sdtLocked"/>
                      <w:richText/>
                    </w:sdtPr>
                    <w:sdtContent>
                      <w:r>
                        <w:rPr>
                          <w:b/>
                          <w:bCs/>
                          <w:szCs w:val="24"/>
                        </w:rPr>
                        <w:t>12</w:t>
                      </w:r>
                    </w:sdtContent>
                  </w:sdt>
                  <w:r>
                    <w:rPr>
                      <w:b/>
                      <w:bCs/>
                      <w:szCs w:val="24"/>
                    </w:rPr>
                    <w:t xml:space="preserve">. Pridedami dokumentai. </w:t>
                  </w:r>
                  <w:r>
                    <w:rPr>
                      <w:color w:val="FF0000"/>
                      <w:szCs w:val="24"/>
                    </w:rPr>
                    <w:t xml:space="preserve"> </w:t>
                  </w:r>
                </w:p>
              </w:sdtContent>
            </w:sdt>
          </w:sdtContent>
        </w:sdt>
        <w:sdt>
          <w:sdtPr>
            <w:alias w:val="signatura"/>
            <w:tag w:val="part_49a86df06a974ec1a0e31dac6b9a663c"/>
            <w:lock w:val="sdtLocked"/>
            <w:richText/>
          </w:sdtPr>
          <w:sdtContent>
            <w:p>
              <w:pPr>
                <w:tabs>
                  <w:tab w:val="left" w:pos="1134"/>
                </w:tabs>
                <w:ind w:firstLine="709"/>
                <w:jc w:val="both"/>
                <w:rPr>
                  <w:b/>
                  <w:bCs/>
                  <w:szCs w:val="24"/>
                </w:rPr>
              </w:pPr>
              <w:r>
                <w:rPr>
                  <w:szCs w:val="24"/>
                </w:rPr>
                <w:t xml:space="preserve">– </w:t>
              </w:r>
            </w:p>
            <w:p>
              <w:pPr>
                <w:ind w:right="-1"/>
                <w:rPr>
                  <w:szCs w:val="24"/>
                </w:rPr>
              </w:pPr>
            </w:p>
            <w:p>
              <w:pPr>
                <w:ind w:right="-1"/>
                <w:rPr>
                  <w:szCs w:val="24"/>
                </w:rPr>
              </w:pPr>
            </w:p>
            <w:p>
              <w:pPr>
                <w:ind w:right="-1"/>
                <w:rPr>
                  <w:szCs w:val="24"/>
                </w:rPr>
              </w:pPr>
            </w:p>
            <w:p>
              <w:pPr>
                <w:shd w:val="clear" w:color="auto" w:fill="FFFFFF"/>
                <w:rPr>
                  <w:rFonts w:ascii="pg-10ff2" w:hAnsi="pg-10ff2"/>
                  <w:color w:val="000000"/>
                  <w:szCs w:val="24"/>
                  <w:lang w:eastAsia="lt-LT"/>
                </w:rPr>
              </w:pPr>
              <w:r>
                <w:rPr>
                  <w:rFonts w:ascii="pg-10ff2" w:hAnsi="pg-10ff2"/>
                  <w:color w:val="000000"/>
                  <w:szCs w:val="24"/>
                  <w:lang w:eastAsia="lt-LT"/>
                </w:rPr>
                <w:t>Radviliškio rajono savivaldybės administracijos</w:t>
              </w:r>
            </w:p>
            <w:p>
              <w:pPr>
                <w:shd w:val="clear" w:color="auto" w:fill="FFFFFF"/>
                <w:rPr>
                  <w:rFonts w:ascii="pg-10ff2" w:hAnsi="pg-10ff2"/>
                  <w:color w:val="000000"/>
                  <w:szCs w:val="24"/>
                  <w:lang w:eastAsia="lt-LT"/>
                </w:rPr>
              </w:pPr>
              <w:r>
                <w:rPr>
                  <w:rFonts w:ascii="pg-10ff2" w:hAnsi="pg-10ff2"/>
                  <w:color w:val="000000"/>
                  <w:szCs w:val="24"/>
                  <w:lang w:eastAsia="lt-LT"/>
                </w:rPr>
                <w:t>Socialinės paramos skyriaus vyr.</w:t>
              </w:r>
              <w:r>
                <w:rPr>
                  <w:szCs w:val="24"/>
                </w:rPr>
                <w:t xml:space="preserve"> specialistė </w:t>
                <w:tab/>
                <w:tab/>
                <w:tab/>
                <w:tab/>
                <w:t xml:space="preserve">                Sonata Dekker</w:t>
              </w:r>
            </w:p>
          </w:sdtContent>
        </w:sdt>
      </w:sdtContent>
    </w:sdt>
    <w:sectPr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pg-10ff2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320"/>
        <w:tab w:val="right" w:pos="8640"/>
      </w:tabs>
      <w:overflowPunct w:val="0"/>
      <w:textAlignment w:val="baseline"/>
      <w:rPr>
        <w:rFonts w:ascii="TimesLT" w:hAnsi="TimesLT"/>
        <w:sz w:val="26"/>
        <w:lang w:val="en-US"/>
      </w:rPr>
    </w:pP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320"/>
        <w:tab w:val="right" w:pos="8640"/>
      </w:tabs>
      <w:overflowPunct w:val="0"/>
      <w:textAlignment w:val="baseline"/>
      <w:rPr>
        <w:rFonts w:ascii="TimesLT" w:hAnsi="TimesLT"/>
        <w:sz w:val="26"/>
        <w:lang w:val="en-US"/>
      </w:rPr>
    </w:pPr>
  </w:p>
</w:ftr>
</file>

<file path=word/footer3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320"/>
        <w:tab w:val="right" w:pos="8640"/>
      </w:tabs>
      <w:overflowPunct w:val="0"/>
      <w:textAlignment w:val="baseline"/>
      <w:rPr>
        <w:rFonts w:ascii="TimesLT" w:hAnsi="TimesLT"/>
        <w:sz w:val="26"/>
        <w:lang w:val="en-US"/>
      </w:rPr>
    </w:pPr>
  </w:p>
</w:ftr>
</file>

<file path=word/footnotes.xml><?xml version="1.0" encoding="utf-8"?>
<w:foot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framePr w:wrap="auto" w:vAnchor="text" w:hAnchor="margin" w:xAlign="center" w:y="1"/>
      <w:tabs>
        <w:tab w:val="center" w:pos="4153"/>
        <w:tab w:val="right" w:pos="8306"/>
      </w:tabs>
      <w:rPr>
        <w:szCs w:val="24"/>
      </w:rPr>
    </w:pPr>
    <w:r>
      <w:rPr>
        <w:szCs w:val="24"/>
      </w:rPr>
      <w:fldChar w:fldCharType="begin"/>
    </w:r>
    <w:r>
      <w:rPr>
        <w:szCs w:val="24"/>
      </w:rPr>
      <w:instrText xml:space="preserve">PAGE  </w:instrText>
    </w:r>
    <w:r>
      <w:rPr>
        <w:szCs w:val="24"/>
      </w:rPr>
      <w:fldChar w:fldCharType="separate"/>
    </w:r>
    <w:r>
      <w:rPr>
        <w:szCs w:val="24"/>
      </w:rPr>
      <w:t>1</w:t>
    </w:r>
    <w:r>
      <w:rPr>
        <w:szCs w:val="24"/>
      </w:rPr>
      <w:fldChar w:fldCharType="end"/>
    </w:r>
  </w:p>
  <w:p>
    <w:pPr>
      <w:tabs>
        <w:tab w:val="center" w:pos="4153"/>
        <w:tab w:val="right" w:pos="8306"/>
      </w:tabs>
      <w:rPr>
        <w:szCs w:val="24"/>
      </w:rPr>
    </w:pPr>
  </w:p>
  <w:p/>
  <w:p/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</w:pPr>
  </w:p>
</w:hdr>
</file>

<file path=word/header3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986"/>
        <w:tab w:val="right" w:pos="9972"/>
      </w:tabs>
    </w:pPr>
  </w:p>
</w:hdr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396"/>
  <w:doNotHyphenateCaps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60FD0F5-1E35-4527-81FD-BA6C8A806689}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ivs>
    <w:div w:id="2896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9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92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62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8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5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footer" Target="footer2.xml"/>
  <Relationship Id="rId11" Type="http://schemas.openxmlformats.org/officeDocument/2006/relationships/header" Target="header3.xml"/>
  <Relationship Id="rId12" Type="http://schemas.openxmlformats.org/officeDocument/2006/relationships/footer" Target="footer3.xml"/>
  <Relationship Id="rId13" Type="http://schemas.openxmlformats.org/officeDocument/2006/relationships/fontTable" Target="fontTable.xml"/>
  <Relationship Id="rId14" Type="http://schemas.openxmlformats.org/officeDocument/2006/relationships/theme" Target="theme/theme1.xml"/>
  <Relationship Id="rId15" Type="http://schemas.openxmlformats.org/officeDocument/2006/relationships/customXml" Target="../customXml/item2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header" Target="header1.xml"/>
  <Relationship Id="rId8" Type="http://schemas.openxmlformats.org/officeDocument/2006/relationships/header" Target="header2.xml"/>
  <Relationship Id="rId9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?>

<Relationships xmlns="http://schemas.openxmlformats.org/package/2006/relationships">
  <Relationship Id="rId1" Type="http://schemas.microsoft.com/office/2011/relationships/webextension" Target="webextension1.xml"/>
</Relationships>
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60B68B-EF1C-45F9-883B-1F87F91AAA7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arts xmlns="http://lrs.lt/TAIS/DocParts">
  <Part Type="pagrindine" DocPartId="38284338cb784f8fbd82fbd5e26c0e62" PartId="6eb613685a83404a958f1b1fd2339d37">
    <Part Type="preambule" DocPartId="d7de17bbeb944fd48ca21716332888ba" PartId="d561930bed8d4d689dfa514c451167c9"/>
    <Part Type="pastraipa" DocPartId="fc8d429927384ef39639ab3b7aa44501" PartId="6be143d4f97042cea30047838710565b"/>
    <Part Type="skirsnis" Title="RADVILIŠKIO RAJONO SAVIVALDYBĖS TARYBOS SPRENDIMO PROJEKTO „DĖL RADVILIŠKIO RAJONO SAVIVALDYBĖS TARYBOS SPRENDIMO  PRIPAŽINIMO NETEKUSIU GALIOS” AIŠKINAMASIS RAŠTAS" DocPartId="579dfb896c634a179803a824d6e85c7b" PartId="6aa88d6f2c45489682b8b99b08621460">
      <Part Type="punktas" Nr="1" Abbr="1 p." DocPartId="976f4931e86748c7891f23d66eb7c370" PartId="d07d4e1a4b984e8796ac5dd38b54916b">
        <Part Type="strPapunktis" Nr="a" Abbr="1 p. a pp." DocPartId="cf390c2845644777a95255801fd1466e" PartId="2a7e093ce93c420db33332a0a06da2ae"/>
        <Part Type="strPapunktis" Nr="b" Abbr="1 p. b pp." DocPartId="9a8cdc58a8d542fc9dad3d21a7c8ecc0" PartId="188ffe6977e649ae854702f00d9b4c7a"/>
        <Part Type="strPapunktis" Nr="c" Abbr="1 p. c pp." DocPartId="d5e33b5a5c8840f0874379576093b6a7" PartId="dd160718cac246a48c7db36d370bc1b2"/>
        <Part Type="strPapunktis" Nr="d" Abbr="1 p. d pp." DocPartId="295464e9e00c424da11fcbabadc09dfd" PartId="e3c8b6d507194133ad1ff355155736b6"/>
      </Part>
      <Part Type="punktas" Nr="2" Abbr="2 p." DocPartId="fefc612387144b139e0cd3a48eceb06e" PartId="9957aaadf0844dff9e3d70eb49498de4"/>
      <Part Type="punktas" Nr="3" Abbr="3 p." DocPartId="f9a98307bf5f4a6090fd4f57f326f889" PartId="4abd1d7265f34e83a95b149f86c79991"/>
      <Part Type="punktas" Nr="4" Abbr="4 p." DocPartId="1a00d56a7cce4f1f85f00f5229fb5b44" PartId="bc85e38ca41c4b5b94642a65ae504152"/>
      <Part Type="punktas" Nr="5" Abbr="5 p." DocPartId="c8fe27b651d94c1299f0621b650eb872" PartId="5dfe8d69efba46b5a469be6ddee26f30"/>
      <Part Type="punktas" Nr="6" Abbr="6 p." DocPartId="5b0304672d9540f2ba90073472e8c838" PartId="eeb5d9e2741948239811fd099213bb69"/>
      <Part Type="punktas" Nr="7" Abbr="7 p." DocPartId="a8bec418ab0a475e9457ca56bb97c34b" PartId="f1b7be19538c4f5baebb92752fa0dea1"/>
      <Part Type="punktas" Nr="8" Abbr="8 p." DocPartId="87ac53e9c06047888b1b3b402d31ce8a" PartId="a06caa2ea1e9416a85f67b4e300c84cc"/>
      <Part Type="punktas" Nr="9" Abbr="9 p." DocPartId="72abf824007d48c98f4b803af2ae2da9" PartId="9044fb41837f48c9b8f6adad29330ebb"/>
      <Part Type="punktas" Nr="10" Abbr="10 p." DocPartId="43d3f5c728634692a173deb6bdedb80f" PartId="3189be9e8ab7475c9715f93d5e4c4d36"/>
      <Part Type="punktas" Nr="11" Abbr="11 p." DocPartId="3516535f9e814389bf18f612f855d9f3" PartId="d1d282651aa34b63973a8bdab1f7f264"/>
      <Part Type="punktas" Nr="12" Abbr="12 p." DocPartId="b60ffad32b2e41c88aa34d8df1d57e98" PartId="578ec79abdc94ebd84ada02ad2ce3ca5"/>
    </Part>
    <Part Type="signatura" DocPartId="0e880000fd034d74a61d82ffb0e489dc" PartId="49a86df06a974ec1a0e31dac6b9a663c"/>
  </Part>
</Parts>
</file>

<file path=customXml/itemProps1.xml><?xml version="1.0" encoding="utf-8"?>
<ds:datastoreItem xmlns:ds="http://schemas.openxmlformats.org/officeDocument/2006/customXml" ds:itemID="{18278FB5-CAC8-40E6-9E57-855E2BE248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376CC5-7A76-4D65-9D24-EAE3F7F016CF}">
  <ds:schemaRefs>
    <ds:schemaRef ds:uri="http://lrs.lt/TAIS/DocPar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580</Words>
  <Characters>4327</Characters>
  <Application>Microsoft Office Word</Application>
  <DocSecurity>4</DocSecurity>
  <Lines>105</Lines>
  <Paragraphs>51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2018-01-</vt:lpstr>
    </vt:vector>
  </TitlesOfParts>
  <Company/>
  <LinksUpToDate>false</LinksUpToDate>
  <CharactersWithSpaces>4856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2025-05-19T09:49:00Z</dcterms:created>
  <dc:creator>Vladislava</dc:creator>
  <lastModifiedBy>adlibuser</lastModifiedBy>
  <lastPrinted>2024-11-28T06:38:00Z</lastPrinted>
  <dcterms:modified xsi:type="dcterms:W3CDTF">2025-05-19T09:49:00Z</dcterms:modified>
  <revision>2</revision>
  <dc:title>2018-01-</dc:title>
</coreProperties>
</file>