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72c1475377d461da6a494879d4d457b"/>
        <w:lock w:val="sdtLocked"/>
        <w:richText/>
      </w:sdtPr>
      <w:sdtContent>
        <w:p>
          <w:pPr>
            <w:shd w:val="clear" w:color="auto" w:fill="FFFFFF"/>
            <w:ind w:left="7776"/>
            <w:rPr>
              <w:rFonts w:eastAsia="Calibri"/>
              <w:b/>
              <w:position w:val="6"/>
              <w:szCs w:val="24"/>
              <w14:cntxtAlts/>
            </w:rPr>
          </w:pPr>
          <w:r>
            <w:rPr>
              <w:rFonts w:eastAsia="Calibri"/>
              <w:b/>
              <w:position w:val="6"/>
              <w:szCs w:val="24"/>
              <w14:cntxtAlts/>
            </w:rPr>
            <w:t>Projektas</w:t>
          </w:r>
        </w:p>
        <w:p>
          <w:pPr>
            <w:shd w:val="clear" w:color="auto" w:fill="FFFFFF"/>
            <w:ind w:left="6480" w:right="424" w:firstLine="750"/>
            <w:jc w:val="center"/>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2025 M. VASARIO 13 D. SPRENDIMO NR. T-557 „DĖL RADVILIŠKIO RAJONO SAVIVALDYBĖS 2025-2027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 xml:space="preserve">2025 m.                   d. Nr. T-</w:t>
          </w:r>
        </w:p>
        <w:p>
          <w:pPr>
            <w:shd w:val="clear" w:color="auto" w:fill="FFFFFF"/>
            <w:jc w:val="center"/>
            <w:rPr>
              <w:position w:val="6"/>
              <w:szCs w:val="24"/>
              <w:lang w:eastAsia="lt-LT"/>
              <w14:cntxtAlts/>
            </w:rPr>
          </w:pPr>
          <w:r>
            <w:rPr>
              <w:position w:val="6"/>
              <w:szCs w:val="24"/>
              <w:lang w:eastAsia="lt-LT"/>
              <w14:cntxtAlts/>
            </w:rPr>
            <w:t xml:space="preserve">Radviliškis </w:t>
          </w:r>
        </w:p>
        <w:p>
          <w:pPr>
            <w:shd w:val="clear" w:color="auto" w:fill="FFFFFF"/>
            <w:jc w:val="both"/>
            <w:rPr>
              <w:position w:val="6"/>
              <w:szCs w:val="24"/>
              <w:lang w:eastAsia="lt-LT"/>
              <w14:cntxtAlts/>
            </w:rPr>
          </w:pPr>
        </w:p>
        <w:sdt>
          <w:sdtPr>
            <w:alias w:val="preambule"/>
            <w:tag w:val="part_e52d8aae004342efb060480f95119d9f"/>
            <w:lock w:val="sdtLocked"/>
            <w:richText/>
          </w:sdtPr>
          <w:sdtContent>
            <w:p>
              <w:pPr>
                <w:ind w:firstLine="709"/>
                <w:jc w:val="both"/>
                <w:rPr>
                  <w:szCs w:val="24"/>
                  <w:lang w:eastAsia="lt-LT"/>
                </w:rPr>
              </w:pPr>
              <w:r>
                <w:rPr>
                  <w:color w:val="000000"/>
                  <w:szCs w:val="24"/>
                  <w:lang w:eastAsia="lt-LT"/>
                  <w14:cntxtAlts/>
                </w:rPr>
                <w:t>Vadovaudamasi Lietuvos Respublikos vietos savivaldos įstatymo 15 straipsnio 2 dalies 12 punktu, 66 straipsnio 2 dalimi,</w:t>
              </w:r>
              <w:r>
                <w:rPr>
                  <w:sz w:val="22"/>
                  <w:szCs w:val="22"/>
                </w:rPr>
                <w:t xml:space="preserve"> </w:t>
              </w:r>
              <w:r>
                <w:rPr>
                  <w:color w:val="000000"/>
                  <w:szCs w:val="24"/>
                  <w:lang w:eastAsia="lt-LT"/>
                  <w14:cntxtAlts/>
                </w:rPr>
                <w:t>Lietuvos Respublikos biudžeto sandaros įstatymo 16 straipsnio 1 dalimi, 22 straipsnio 3 dalimi, Lietuvos Respublikos 2025–2027 metų biudžeto patvirtinimo įstatymu,</w:t>
              </w:r>
              <w:r>
                <w:rPr>
                  <w:sz w:val="22"/>
                  <w:szCs w:val="22"/>
                </w:rPr>
                <w:t xml:space="preserve"> </w:t>
              </w:r>
              <w:r>
                <w:rPr>
                  <w:szCs w:val="24"/>
                </w:rPr>
                <w:t xml:space="preserve">Lietuvos Respublikos švietimo, mokslo ir sporto ministro 2025 m. vasario 10 d. įsakymu Nr. V-157  „Dėl  švietimo, mokslo ir sporto ministro 2025 m. sausio 15 d. įsakymo Nr. V-33  „Dėl specialios tikslinės dotacijos ugdymo reikmėms finansuoti 2025 metais paskirstymo pagal savivaldybes patvirtinimo“ pakeitimo“,</w:t>
              </w:r>
              <w:r>
                <w:rPr>
                  <w:i/>
                  <w:iCs/>
                  <w:sz w:val="22"/>
                  <w:szCs w:val="22"/>
                </w:rPr>
                <w:t xml:space="preserve"> </w:t>
              </w:r>
              <w:r>
                <w:rPr>
                  <w:szCs w:val="24"/>
                </w:rPr>
                <w:t xml:space="preserve">Lietuvos Respublikos švietimo, mokslo ir sporto ministro 2025 m. vasario 18 d. įsakymu Nr. V-189  „Dėl Lietuvos Respublikos valstybės biudžeto  lėšų profesiniam orientavimui 2025 m. paskirstymo pagal savivaldybes“, Lietuvos Respublikos vyriausybės 2025 m. kovo 19 d. nutarimu Nr. 147 „Dėl</w:t>
              </w:r>
              <w:r>
                <w:rPr>
                  <w:sz w:val="22"/>
                  <w:szCs w:val="22"/>
                </w:rPr>
                <w:t xml:space="preserve"> </w:t>
              </w:r>
              <w:r>
                <w:rPr>
                  <w:szCs w:val="24"/>
                </w:rPr>
                <w:t>kelių priežiūros ir plėtros programos finansavimo lėšų naudojimo 2025–2027 metų sąmatos patvirtinimo“, Akcinės bendrovės „Via Lietuva“ laikinai einančio generalinio direktoriaus pareigas 2025 m. kovo 24 d. įsakymu Nr. VE-25-39 „Dėl kelių priežiūros ir plėtros programos finansavimo lėšų savivaldybių institucijų valdomiems vietinės reikšmės keliams paskirstymo 2025 metais“,</w:t>
              </w:r>
              <w:r>
                <w:rPr>
                  <w:i/>
                  <w:iCs/>
                  <w:szCs w:val="24"/>
                </w:rPr>
                <w:t xml:space="preserve"> </w:t>
              </w:r>
              <w:r>
                <w:rPr>
                  <w:szCs w:val="24"/>
                </w:rPr>
                <w:t>Asmens su negalia teisių apsaugos agentūros prie Lietuvos Respublikos socialinės apsaugos ir darbo ministerijos direktoriaus 2025 m. vasario 20 d. įsakymu Nr. V-28 „Dėl Asmens su negalia teisių apsaugos agentūros prie Lietuvos Respublikos socialinės apsaugos ir darbo ministerijos direktoriaus 2025 m. sausio 28 d. įsakymo Nr. V-14 „Dėl valstybės biudžeto lėšų būstams pritaikyti asmenims su negalia paskirstymo 2025 metais sąrašo patvirtinimo“ pakeitimo“,</w:t>
              </w:r>
              <w:r>
                <w:rPr>
                  <w:i/>
                  <w:iCs/>
                  <w:szCs w:val="24"/>
                </w:rPr>
                <w:t xml:space="preserve"> </w:t>
              </w:r>
              <w:r>
                <w:rPr>
                  <w:szCs w:val="24"/>
                </w:rPr>
                <w:t>atsižvelgdama į 2024 m. liepos 15 d. Jungtinės veiklos sutartį Nr. 10-013-p-0001/051 su VšĮ Europos socialinio fondo agentūra,</w:t>
              </w:r>
              <w:r>
                <w:rPr>
                  <w:color w:val="000000"/>
                  <w:szCs w:val="24"/>
                  <w:lang w:eastAsia="lt-LT"/>
                  <w14:cntxtAlts/>
                </w:rPr>
                <w:t xml:space="preserve"> į gautus prašymus ir į Radviliškio rajono savivaldybės mero 2025 m. balandžio 2 d. potvarkį Nr. M-187 (2.5 E)  „Dėl lėšų skyrimo</w:t>
              </w:r>
              <w:r>
                <w:rPr>
                  <w:sz w:val="22"/>
                  <w:szCs w:val="22"/>
                </w:rPr>
                <w:t xml:space="preserve"> </w:t>
              </w:r>
              <w:r>
                <w:rPr>
                  <w:color w:val="000000"/>
                  <w:szCs w:val="24"/>
                  <w:lang w:eastAsia="lt-LT"/>
                  <w14:cntxtAlts/>
                </w:rPr>
                <w:t xml:space="preserve">Radviliškio rajono savivaldybės vaikų vasaros poilsio programų vykdytojams“  ir  2025 m. balandžio 4 d. potvarkį Nr. M-193 (2.5 E) „Dėl  Radviliškio rajono savivaldybės tarybos 2025 m. vasario 13 d. sprendimo Nr. T-557 „Dėl Radviliškio rajono savivaldybės 2025-2027 metų biudžeto patvirtinimo“ pakeitimo“ Radviliškio rajono savivaldybės taryba </w:t>
              </w:r>
              <w:r>
                <w:rPr>
                  <w:color w:val="000000"/>
                  <w:spacing w:val="50"/>
                  <w:szCs w:val="24"/>
                  <w:lang w:eastAsia="lt-LT"/>
                  <w14:cntxtAlts/>
                </w:rPr>
                <w:t>nusprendži</w:t>
              </w:r>
              <w:r>
                <w:rPr>
                  <w:color w:val="000000"/>
                  <w:szCs w:val="24"/>
                  <w:lang w:eastAsia="lt-LT"/>
                  <w14:cntxtAlts/>
                </w:rPr>
                <w:t xml:space="preserve">a: </w:t>
              </w:r>
            </w:p>
          </w:sdtContent>
        </w:sdt>
        <w:sdt>
          <w:sdtPr>
            <w:alias w:val="pastraipa"/>
            <w:tag w:val="part_e22b97aee7e641bca8c2957139584f3c"/>
            <w:lock w:val="sdtLocked"/>
            <w:richText/>
          </w:sdtPr>
          <w:sdtContent>
            <w:p>
              <w:pPr>
                <w:ind w:firstLine="709"/>
                <w:jc w:val="both"/>
                <w:rPr>
                  <w:szCs w:val="24"/>
                  <w:lang w:eastAsia="lt-LT"/>
                </w:rPr>
              </w:pPr>
              <w:r>
                <w:rPr>
                  <w:szCs w:val="24"/>
                  <w:lang w:eastAsia="lt-LT"/>
                </w:rPr>
                <w:t>Pakeisti Radviliškio rajono savivaldybės tarybos 2025 m. vasario 13 d. sprendimą Nr. T-557 „Dėl Radviliškio rajono savivaldybės 2025-2027 metų biudžeto patvirtinimo“:</w:t>
              </w:r>
            </w:p>
          </w:sdtContent>
        </w:sdt>
        <w:sdt>
          <w:sdtPr>
            <w:alias w:val="1 p."/>
            <w:tag w:val="part_f6cd807143b746cfb35706e062789633"/>
            <w:lock w:val="sdtLocked"/>
            <w:richText/>
          </w:sdtPr>
          <w:sdtContent>
            <w:p>
              <w:pPr>
                <w:ind w:firstLine="709"/>
                <w:jc w:val="both"/>
                <w:rPr>
                  <w:szCs w:val="24"/>
                  <w:lang w:eastAsia="lt-LT"/>
                </w:rPr>
              </w:pPr>
              <w:sdt>
                <w:sdtPr>
                  <w:alias w:val="Numeris"/>
                  <w:tag w:val="nr_f6cd807143b746cfb35706e062789633"/>
                  <w:lock w:val="sdtLocked"/>
                  <w:richText/>
                </w:sdtPr>
                <w:sdtContent>
                  <w:r>
                    <w:rPr>
                      <w:szCs w:val="24"/>
                      <w:lang w:eastAsia="lt-LT"/>
                    </w:rPr>
                    <w:t>1</w:t>
                  </w:r>
                </w:sdtContent>
              </w:sdt>
              <w:r>
                <w:rPr>
                  <w:szCs w:val="24"/>
                  <w:lang w:eastAsia="lt-LT"/>
                </w:rPr>
                <w:t xml:space="preserve">. </w:t>
              </w:r>
              <w:r>
                <w:rPr>
                  <w:color w:val="000000"/>
                  <w:spacing w:val="-6"/>
                  <w:szCs w:val="24"/>
                </w:rPr>
                <w:t xml:space="preserve">Pakeisti 1.1 punktu patvirtintas Radviliškio rajono savivaldybės 2025 m. biudžeto pajamas ir išdėstyti nauja redakcija (pridedama) ir 1.1. punktą </w:t>
              </w:r>
              <w:r>
                <w:rPr>
                  <w:szCs w:val="24"/>
                  <w:lang w:eastAsia="lt-LT"/>
                </w:rPr>
                <w:t>išdėstyti taip:</w:t>
              </w:r>
            </w:p>
            <w:sdt>
              <w:sdtPr>
                <w:alias w:val="citata"/>
                <w:tag w:val="part_cf26b871beb5423681997f1a9478e04b"/>
                <w:lock w:val="sdtLocked"/>
                <w:richText/>
              </w:sdtPr>
              <w:sdtContent>
                <w:sdt>
                  <w:sdtPr>
                    <w:alias w:val="1.1 pp."/>
                    <w:tag w:val="part_3510e7104b19465ba2d5621030d55cc4"/>
                    <w:lock w:val="sdtLocked"/>
                    <w:richText/>
                  </w:sdtPr>
                  <w:sdtContent>
                    <w:p>
                      <w:pPr>
                        <w:ind w:firstLine="709"/>
                        <w:jc w:val="both"/>
                        <w:rPr>
                          <w:color w:val="000000"/>
                          <w:spacing w:val="-6"/>
                          <w:szCs w:val="24"/>
                        </w:rPr>
                      </w:pPr>
                      <w:r>
                        <w:rPr>
                          <w:szCs w:val="24"/>
                          <w:lang w:eastAsia="lt-LT"/>
                        </w:rPr>
                        <w:t>„</w:t>
                      </w:r>
                      <w:sdt>
                        <w:sdtPr>
                          <w:alias w:val="Numeris"/>
                          <w:tag w:val="nr_3510e7104b19465ba2d5621030d55cc4"/>
                          <w:lock w:val="sdtLocked"/>
                          <w:richText/>
                        </w:sdtPr>
                        <w:sdtContent>
                          <w:r>
                            <w:rPr>
                              <w:color w:val="000000"/>
                              <w:spacing w:val="-6"/>
                              <w:szCs w:val="24"/>
                            </w:rPr>
                            <w:t>1.1</w:t>
                          </w:r>
                        </w:sdtContent>
                      </w:sdt>
                      <w:r>
                        <w:rPr>
                          <w:color w:val="000000"/>
                          <w:spacing w:val="-6"/>
                          <w:szCs w:val="24"/>
                        </w:rPr>
                        <w:t xml:space="preserve">.  pajamų – 82 496 995,86  Eur, iš jų lėšų likučiai iš 2024 metų – 3 996 483,22 Eur.</w:t>
                      </w:r>
                      <w:r>
                        <w:rPr>
                          <w:sz w:val="22"/>
                          <w:szCs w:val="22"/>
                        </w:rPr>
                        <w:t xml:space="preserve"> </w:t>
                      </w:r>
                      <w:r>
                        <w:rPr>
                          <w:color w:val="000000"/>
                          <w:spacing w:val="-6"/>
                          <w:szCs w:val="24"/>
                        </w:rPr>
                        <w:t>(1 priedas);“</w:t>
                      </w:r>
                    </w:p>
                  </w:sdtContent>
                </w:sdt>
              </w:sdtContent>
            </w:sdt>
          </w:sdtContent>
        </w:sdt>
        <w:sdt>
          <w:sdtPr>
            <w:alias w:val="2 p."/>
            <w:tag w:val="part_e2f3841babf94ffaa5578c537e4a001f"/>
            <w:lock w:val="sdtLocked"/>
            <w:richText/>
          </w:sdtPr>
          <w:sdtContent>
            <w:p>
              <w:pPr>
                <w:ind w:firstLine="709"/>
                <w:jc w:val="both"/>
                <w:rPr>
                  <w:color w:val="000000"/>
                  <w:spacing w:val="-6"/>
                  <w:szCs w:val="24"/>
                </w:rPr>
              </w:pPr>
              <w:sdt>
                <w:sdtPr>
                  <w:alias w:val="Numeris"/>
                  <w:tag w:val="nr_e2f3841babf94ffaa5578c537e4a001f"/>
                  <w:lock w:val="sdtLocked"/>
                  <w:richText/>
                </w:sdtPr>
                <w:sdtContent>
                  <w:r>
                    <w:rPr>
                      <w:color w:val="000000"/>
                      <w:spacing w:val="-6"/>
                      <w:szCs w:val="24"/>
                    </w:rPr>
                    <w:t>2</w:t>
                  </w:r>
                </w:sdtContent>
              </w:sdt>
              <w:r>
                <w:rPr>
                  <w:color w:val="000000"/>
                  <w:spacing w:val="-6"/>
                  <w:szCs w:val="24"/>
                </w:rPr>
                <w:t>. Pakeisti 1.2 punktu patvirtintus asignavimus pagal programas, asignavimų valdytojus ir lėšų šaltinius, išdėstyti nauja redakcija (pridedama) ir 1.2 punktą išdėstyti taip:</w:t>
              </w:r>
            </w:p>
            <w:sdt>
              <w:sdtPr>
                <w:alias w:val="citata"/>
                <w:tag w:val="part_fefc78906db04c638b2e6c3b0bac4169"/>
                <w:lock w:val="sdtLocked"/>
                <w:richText/>
              </w:sdtPr>
              <w:sdtContent>
                <w:sdt>
                  <w:sdtPr>
                    <w:alias w:val="1.2 pp."/>
                    <w:tag w:val="part_160519a0ee3543afa9f7f642325afd94"/>
                    <w:lock w:val="sdtLocked"/>
                    <w:richText/>
                  </w:sdtPr>
                  <w:sdtContent>
                    <w:p>
                      <w:pPr>
                        <w:ind w:firstLine="709"/>
                        <w:jc w:val="both"/>
                        <w:rPr>
                          <w:color w:val="000000"/>
                          <w:spacing w:val="-6"/>
                          <w:szCs w:val="24"/>
                        </w:rPr>
                      </w:pPr>
                      <w:r>
                        <w:rPr>
                          <w:color w:val="000000"/>
                          <w:spacing w:val="-6"/>
                          <w:szCs w:val="24"/>
                        </w:rPr>
                        <w:t xml:space="preserve">„ </w:t>
                      </w:r>
                      <w:sdt>
                        <w:sdtPr>
                          <w:alias w:val="Numeris"/>
                          <w:tag w:val="nr_160519a0ee3543afa9f7f642325afd94"/>
                          <w:lock w:val="sdtLocked"/>
                          <w:richText/>
                        </w:sdtPr>
                        <w:sdtContent>
                          <w:r>
                            <w:rPr>
                              <w:color w:val="000000"/>
                              <w:spacing w:val="-6"/>
                              <w:szCs w:val="24"/>
                            </w:rPr>
                            <w:t>1.2</w:t>
                          </w:r>
                        </w:sdtContent>
                      </w:sdt>
                      <w:r>
                        <w:rPr>
                          <w:color w:val="000000"/>
                          <w:spacing w:val="-6"/>
                          <w:szCs w:val="24"/>
                        </w:rPr>
                        <w:t xml:space="preserve">.  asignavimų pagal programas,  asignavimų valdytojus ir lėšų šaltinius –  82 496 995,86  Eur (2, 3 priedai).</w:t>
                      </w:r>
                    </w:p>
                    <w:p>
                      <w:pPr>
                        <w:jc w:val="both"/>
                        <w:rPr>
                          <w:szCs w:val="24"/>
                        </w:rPr>
                      </w:pPr>
                    </w:p>
                    <w:p>
                      <w:pPr>
                        <w:jc w:val="both"/>
                        <w:rPr>
                          <w:szCs w:val="24"/>
                        </w:rPr>
                      </w:pPr>
                    </w:p>
                    <w:p>
                      <w:pPr>
                        <w:jc w:val="both"/>
                        <w:rPr>
                          <w:szCs w:val="24"/>
                        </w:rPr>
                      </w:pPr>
                    </w:p>
                  </w:sdtContent>
                </w:sdt>
              </w:sdtContent>
            </w:sdt>
            <w:sdt>
              <w:sdtPr>
                <w:alias w:val="pastraipa"/>
                <w:tag w:val="part_63fbd36338a4456bb3314965a0b2bad8"/>
                <w:lock w:val="sdtLocked"/>
                <w:richText/>
              </w:sdtPr>
              <w:sdtContent>
                <w:p>
                  <w:pPr>
                    <w:jc w:val="both"/>
                    <w:rPr>
                      <w:szCs w:val="24"/>
                    </w:rPr>
                  </w:pPr>
                  <w:r>
                    <w:rPr>
                      <w:szCs w:val="24"/>
                    </w:rPr>
                    <w:t>Savivaldybės meras</w:t>
                    <w:tab/>
                    <w:tab/>
                    <w:tab/>
                    <w:tab/>
                    <w:br w:type="page"/>
                  </w:r>
                </w:p>
              </w:sdtContent>
            </w:sdt>
          </w:sdtContent>
        </w:sdt>
        <w:sdt>
          <w:sdtPr>
            <w:alias w:val="skirsnis"/>
            <w:tag w:val="part_08c24190187541b0a626f886c6fb7a7b"/>
            <w:lock w:val="sdtLocked"/>
            <w:richText/>
          </w:sdtPr>
          <w:sdtContent>
            <w:sdt>
              <w:sdtPr>
                <w:alias w:val="Pavadinimas"/>
                <w:tag w:val="title_08c24190187541b0a626f886c6fb7a7b"/>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2025 M . VASARIO 13 D. SPRENDIMO NR. T-557 „DĖL RADVILIŠKIO RAJONO SAVIVALDYBĖS 2025-2027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2025 m. balandžio 8 d.</w:t>
              </w:r>
            </w:p>
            <w:p>
              <w:pPr>
                <w:shd w:val="clear" w:color="auto" w:fill="FFFFFF"/>
                <w:jc w:val="center"/>
                <w:rPr>
                  <w:bCs/>
                  <w:sz w:val="28"/>
                  <w:szCs w:val="28"/>
                </w:rPr>
              </w:pPr>
              <w:r>
                <w:rPr>
                  <w:bCs/>
                  <w:position w:val="6"/>
                  <w:szCs w:val="24"/>
                  <w:lang w:eastAsia="lt-LT"/>
                  <w14:cntxtAlts/>
                </w:rPr>
                <w:t>Radviliškis</w:t>
              </w:r>
            </w:p>
            <w:p>
              <w:pPr>
                <w:rPr>
                  <w:b/>
                  <w:bCs/>
                  <w:szCs w:val="24"/>
                  <w:lang w:eastAsia="lt-LT"/>
                </w:rPr>
              </w:pPr>
            </w:p>
            <w:sdt>
              <w:sdtPr>
                <w:alias w:val="1 p."/>
                <w:tag w:val="part_a25fff815b8c4ba998d366769b2a9f79"/>
                <w:lock w:val="sdtLocked"/>
                <w:richText/>
              </w:sdtPr>
              <w:sdtContent>
                <w:p>
                  <w:pPr>
                    <w:spacing w:line="254" w:lineRule="auto"/>
                    <w:ind w:firstLine="720"/>
                    <w:jc w:val="both"/>
                    <w:rPr>
                      <w:b/>
                      <w:szCs w:val="24"/>
                    </w:rPr>
                  </w:pPr>
                  <w:sdt>
                    <w:sdtPr>
                      <w:alias w:val="Numeris"/>
                      <w:tag w:val="nr_a25fff815b8c4ba998d366769b2a9f79"/>
                      <w:lock w:val="sdtLocked"/>
                      <w:richText/>
                    </w:sdtPr>
                    <w:sdtContent>
                      <w:r>
                        <w:rPr>
                          <w:b/>
                          <w:szCs w:val="24"/>
                        </w:rPr>
                        <w:t>1</w:t>
                      </w:r>
                    </w:sdtContent>
                  </w:sdt>
                  <w:r>
                    <w:rPr>
                      <w:b/>
                      <w:szCs w:val="24"/>
                    </w:rPr>
                    <w:t xml:space="preserve">. Projekto rengimą paskatinusios priežastys, parengto projekto tikslai ir uždaviniai. </w:t>
                  </w:r>
                </w:p>
                <w:p>
                  <w:pPr>
                    <w:ind w:firstLine="709"/>
                    <w:jc w:val="both"/>
                    <w:rPr>
                      <w:szCs w:val="24"/>
                      <w:lang w:eastAsia="lt-LT"/>
                    </w:rPr>
                  </w:pPr>
                  <w:r>
                    <w:rPr>
                      <w:szCs w:val="24"/>
                      <w:lang w:eastAsia="lt-LT"/>
                    </w:rPr>
                    <w:t>Tikslas – patikslinti Radviliškio rajono savivaldybės 2025 metų biudžetą savivaldybei skirtomis tikslinėmis valstybės biudžeto dotacijomis ir kitomis lėšomis bei patikslinti patvirtintus savivaldybės biudžeto asignavimus.</w:t>
                  </w:r>
                </w:p>
                <w:p>
                  <w:pPr>
                    <w:ind w:firstLine="709"/>
                    <w:jc w:val="both"/>
                    <w:rPr>
                      <w:b/>
                      <w:szCs w:val="24"/>
                      <w:shd w:val="clear" w:color="auto" w:fill="FFFFFF"/>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p>
              </w:sdtContent>
            </w:sdt>
            <w:sdt>
              <w:sdtPr>
                <w:alias w:val="2 p."/>
                <w:tag w:val="part_1dbcb1e1d0d14923a32d22fbd3d2c93e"/>
                <w:lock w:val="sdtLocked"/>
                <w:richText/>
              </w:sdtPr>
              <w:sdtContent>
                <w:p>
                  <w:pPr>
                    <w:ind w:firstLine="709"/>
                    <w:jc w:val="both"/>
                    <w:rPr>
                      <w:b/>
                      <w:szCs w:val="24"/>
                      <w:shd w:val="clear" w:color="auto" w:fill="FFFFFF"/>
                    </w:rPr>
                  </w:pPr>
                  <w:sdt>
                    <w:sdtPr>
                      <w:alias w:val="Numeris"/>
                      <w:tag w:val="nr_1dbcb1e1d0d14923a32d22fbd3d2c93e"/>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 xml:space="preserve">Projekto iniciatorius – Radviliškio rajono savivaldybės meras. Projektą parengė Radviliškio rajono savivaldybės administracijos Finansų skyriaus vedėja Lina Baškevičienė, tel.  (0 422) 69020.</w:t>
                  </w:r>
                  <w:r>
                    <w:rPr>
                      <w:b/>
                      <w:szCs w:val="24"/>
                      <w:shd w:val="clear" w:color="auto" w:fill="FFFFFF"/>
                    </w:rPr>
                    <w:t xml:space="preserve"> </w:t>
                  </w:r>
                </w:p>
              </w:sdtContent>
            </w:sdt>
            <w:sdt>
              <w:sdtPr>
                <w:alias w:val="3 p."/>
                <w:tag w:val="part_8b445ad0718f4dbf8ab646d96360ed0b"/>
                <w:lock w:val="sdtLocked"/>
                <w:richText/>
              </w:sdtPr>
              <w:sdtContent>
                <w:p>
                  <w:pPr>
                    <w:tabs>
                      <w:tab w:val="left" w:pos="7513"/>
                    </w:tabs>
                    <w:spacing w:line="254" w:lineRule="auto"/>
                    <w:ind w:firstLine="709"/>
                    <w:rPr>
                      <w:b/>
                      <w:szCs w:val="24"/>
                      <w:shd w:val="clear" w:color="auto" w:fill="FFFFFF"/>
                    </w:rPr>
                  </w:pPr>
                  <w:sdt>
                    <w:sdtPr>
                      <w:alias w:val="Numeris"/>
                      <w:tag w:val="nr_8b445ad0718f4dbf8ab646d96360ed0b"/>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Lietuvos Respublikos biudžeto sandaros įstatymo 16 straipsnio 1 dalis numato, kad biudžetus tvirtina savivaldybių taryba, 22 straipsnio 3 dalis, kad savivaldybės meras organizuoja biudžeto vykdymą, Lietuvos Respublikos 2025–2027 metų biudžeto patvirtinimo įstatymo 4 straipsnio 4 dalis numato, kad Savivaldybių tarybos, atsižvelgdamos į gautas valstybės biudžeto dotacijas, atitinkamai patikslina savo patvirtintus biudžetus.</w:t>
                  </w:r>
                </w:p>
              </w:sdtContent>
            </w:sdt>
            <w:sdt>
              <w:sdtPr>
                <w:alias w:val="4 p."/>
                <w:tag w:val="part_f06645cfb5e94431bce779e3d11cc396"/>
                <w:lock w:val="sdtLocked"/>
                <w:richText/>
              </w:sdtPr>
              <w:sdtContent>
                <w:p>
                  <w:pPr>
                    <w:tabs>
                      <w:tab w:val="left" w:pos="7513"/>
                    </w:tabs>
                    <w:spacing w:line="254" w:lineRule="auto"/>
                    <w:ind w:firstLine="709"/>
                    <w:jc w:val="both"/>
                    <w:rPr>
                      <w:bCs/>
                      <w:szCs w:val="24"/>
                      <w:shd w:val="clear" w:color="auto" w:fill="FFFFFF"/>
                    </w:rPr>
                  </w:pPr>
                  <w:sdt>
                    <w:sdtPr>
                      <w:alias w:val="Numeris"/>
                      <w:tag w:val="nr_f06645cfb5e94431bce779e3d11cc396"/>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Pakeitus ir patikslinus 2025 m. Savivaldybės biudžetą, sprendimas atitiks galiojančius teisės aktus. Priimtas sprendimo projektas įtakos kriminogeninei situacijai ir korupcijai neturės.</w:t>
                  </w:r>
                </w:p>
              </w:sdtContent>
            </w:sdt>
            <w:sdt>
              <w:sdtPr>
                <w:alias w:val="5 p."/>
                <w:tag w:val="part_2df107c38b964d5594a8d7357e998206"/>
                <w:lock w:val="sdtLocked"/>
                <w:richText/>
              </w:sdtPr>
              <w:sdtContent>
                <w:p>
                  <w:pPr>
                    <w:tabs>
                      <w:tab w:val="left" w:pos="0"/>
                    </w:tabs>
                    <w:spacing w:line="254" w:lineRule="auto"/>
                    <w:ind w:firstLine="709"/>
                    <w:jc w:val="both"/>
                    <w:rPr>
                      <w:b/>
                      <w:szCs w:val="24"/>
                      <w:shd w:val="clear" w:color="auto" w:fill="FFFFFF"/>
                    </w:rPr>
                  </w:pPr>
                  <w:sdt>
                    <w:sdtPr>
                      <w:alias w:val="Numeris"/>
                      <w:tag w:val="nr_2df107c38b964d5594a8d7357e998206"/>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74ea1cdc61194188b0000a8867208f86"/>
                <w:lock w:val="sdtLocked"/>
                <w:richText/>
              </w:sdtPr>
              <w:sdtContent>
                <w:p>
                  <w:pPr>
                    <w:spacing w:line="254" w:lineRule="auto"/>
                    <w:ind w:firstLine="709"/>
                    <w:jc w:val="both"/>
                    <w:rPr>
                      <w:b/>
                      <w:bCs/>
                      <w:szCs w:val="24"/>
                    </w:rPr>
                  </w:pPr>
                  <w:sdt>
                    <w:sdtPr>
                      <w:alias w:val="Numeris"/>
                      <w:tag w:val="nr_74ea1cdc61194188b0000a8867208f86"/>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iš dalies pakeistas Radviliškio rajono savivaldybės tarybos </w:t>
                  </w:r>
                  <w:r>
                    <w:rPr>
                      <w:szCs w:val="24"/>
                      <w:lang w:eastAsia="lt-LT"/>
                    </w:rPr>
                    <w:t xml:space="preserve">2025 m. vasario 13 d. sprendimas  Nr. T-557 „Dėl Radviliškio rajono savivaldybės 2025–2027 metų biudžeto patvirtinimo“</w:t>
                  </w:r>
                </w:p>
              </w:sdtContent>
            </w:sdt>
            <w:sdt>
              <w:sdtPr>
                <w:alias w:val="7 p."/>
                <w:tag w:val="part_b0e552d2e06244c9beb26a89151bdb11"/>
                <w:lock w:val="sdtLocked"/>
                <w:richText/>
              </w:sdtPr>
              <w:sdtContent>
                <w:p>
                  <w:pPr>
                    <w:tabs>
                      <w:tab w:val="left" w:pos="0"/>
                    </w:tabs>
                    <w:spacing w:line="254" w:lineRule="auto"/>
                    <w:ind w:firstLine="709"/>
                    <w:jc w:val="both"/>
                    <w:rPr>
                      <w:b/>
                      <w:szCs w:val="24"/>
                      <w:shd w:val="clear" w:color="auto" w:fill="FFFFFF"/>
                    </w:rPr>
                  </w:pPr>
                  <w:sdt>
                    <w:sdtPr>
                      <w:alias w:val="Numeris"/>
                      <w:tag w:val="nr_b0e552d2e06244c9beb26a89151bdb11"/>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77a4aef7d490455eb17c074c83f8e93a"/>
                <w:lock w:val="sdtLocked"/>
                <w:richText/>
              </w:sdtPr>
              <w:sdtContent>
                <w:p>
                  <w:pPr>
                    <w:tabs>
                      <w:tab w:val="left" w:pos="0"/>
                    </w:tabs>
                    <w:spacing w:line="254" w:lineRule="auto"/>
                    <w:ind w:firstLine="709"/>
                    <w:jc w:val="both"/>
                    <w:rPr>
                      <w:b/>
                      <w:szCs w:val="24"/>
                      <w:shd w:val="clear" w:color="auto" w:fill="FFFFFF"/>
                    </w:rPr>
                  </w:pPr>
                  <w:sdt>
                    <w:sdtPr>
                      <w:alias w:val="Numeris"/>
                      <w:tag w:val="nr_77a4aef7d490455eb17c074c83f8e93a"/>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Cs/>
                      <w:szCs w:val="24"/>
                      <w:shd w:val="clear" w:color="auto" w:fill="FFFFFF"/>
                    </w:rPr>
                  </w:pPr>
                  <w:r>
                    <w:rPr>
                      <w:bCs/>
                      <w:szCs w:val="24"/>
                      <w:shd w:val="clear" w:color="auto" w:fill="FFFFFF"/>
                    </w:rPr>
                    <w:t>Negauta.</w:t>
                  </w:r>
                </w:p>
              </w:sdtContent>
            </w:sdt>
            <w:sdt>
              <w:sdtPr>
                <w:alias w:val="9 p."/>
                <w:tag w:val="part_f790248cc14e427eb6c9a36ad413bd43"/>
                <w:lock w:val="sdtLocked"/>
                <w:richText/>
              </w:sdtPr>
              <w:sdtContent>
                <w:p>
                  <w:pPr>
                    <w:tabs>
                      <w:tab w:val="left" w:pos="0"/>
                    </w:tabs>
                    <w:spacing w:line="254" w:lineRule="auto"/>
                    <w:ind w:firstLine="709"/>
                    <w:jc w:val="both"/>
                    <w:rPr>
                      <w:b/>
                      <w:szCs w:val="24"/>
                      <w:shd w:val="clear" w:color="auto" w:fill="FFFFFF"/>
                    </w:rPr>
                  </w:pPr>
                  <w:sdt>
                    <w:sdtPr>
                      <w:alias w:val="Numeris"/>
                      <w:tag w:val="nr_f790248cc14e427eb6c9a36ad413bd43"/>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 Numatomo teisinio reguliavimo poveikio vertinimo rezultatai. </w:t>
                  </w:r>
                </w:p>
                <w:p>
                  <w:pPr>
                    <w:spacing w:line="254" w:lineRule="auto"/>
                    <w:ind w:firstLine="798"/>
                    <w:rPr>
                      <w:szCs w:val="24"/>
                      <w:shd w:val="clear" w:color="auto" w:fill="FFFFFF"/>
                    </w:rPr>
                  </w:pPr>
                  <w:r>
                    <w:rPr>
                      <w:szCs w:val="24"/>
                      <w:shd w:val="clear" w:color="auto" w:fill="FFFFFF"/>
                    </w:rPr>
                    <w:t>Vertinimas neatliekamas.</w:t>
                  </w:r>
                </w:p>
              </w:sdtContent>
            </w:sdt>
            <w:sdt>
              <w:sdtPr>
                <w:alias w:val="10 p."/>
                <w:tag w:val="part_326c5c8041ef422d92ad726c8673a8df"/>
                <w:lock w:val="sdtLocked"/>
                <w:richText/>
              </w:sdtPr>
              <w:sdtContent>
                <w:p>
                  <w:pPr>
                    <w:tabs>
                      <w:tab w:val="left" w:pos="0"/>
                    </w:tabs>
                    <w:spacing w:line="254" w:lineRule="auto"/>
                    <w:ind w:firstLine="709"/>
                    <w:jc w:val="both"/>
                    <w:rPr>
                      <w:b/>
                      <w:szCs w:val="24"/>
                      <w:shd w:val="clear" w:color="auto" w:fill="FFFFFF"/>
                    </w:rPr>
                  </w:pPr>
                  <w:sdt>
                    <w:sdtPr>
                      <w:alias w:val="Numeris"/>
                      <w:tag w:val="nr_326c5c8041ef422d92ad726c8673a8df"/>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09"/>
                    <w:jc w:val="both"/>
                    <w:rPr>
                      <w:bCs/>
                      <w:szCs w:val="24"/>
                      <w:shd w:val="clear" w:color="auto" w:fill="FFFFFF"/>
                    </w:rPr>
                  </w:pPr>
                  <w:r>
                    <w:rPr>
                      <w:bCs/>
                      <w:szCs w:val="24"/>
                      <w:shd w:val="clear" w:color="auto" w:fill="FFFFFF"/>
                    </w:rPr>
                    <w:t>Korupcijos pasireiškimo tikimybė nenustatyta.</w:t>
                  </w:r>
                </w:p>
              </w:sdtContent>
            </w:sdt>
            <w:sdt>
              <w:sdtPr>
                <w:alias w:val="11 p."/>
                <w:tag w:val="part_395943503787448fabb15bc02153b071"/>
                <w:lock w:val="sdtLocked"/>
                <w:richText/>
              </w:sdtPr>
              <w:sdtContent>
                <w:p>
                  <w:pPr>
                    <w:tabs>
                      <w:tab w:val="left" w:pos="0"/>
                    </w:tabs>
                    <w:spacing w:line="254" w:lineRule="auto"/>
                    <w:ind w:firstLine="709"/>
                    <w:jc w:val="both"/>
                    <w:rPr>
                      <w:b/>
                      <w:szCs w:val="24"/>
                      <w:shd w:val="clear" w:color="auto" w:fill="FFFFFF"/>
                    </w:rPr>
                  </w:pPr>
                  <w:sdt>
                    <w:sdtPr>
                      <w:alias w:val="Numeris"/>
                      <w:tag w:val="nr_395943503787448fabb15bc02153b071"/>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Content>
            </w:sdt>
            <w:sdt>
              <w:sdtPr>
                <w:alias w:val="1 p."/>
                <w:tag w:val="part_94172c946c49454293e111a91f967f4d"/>
                <w:lock w:val="sdtLocked"/>
                <w:richText/>
              </w:sdtPr>
              <w:sdtContent>
                <w:p>
                  <w:pPr>
                    <w:tabs>
                      <w:tab w:val="left" w:pos="0"/>
                    </w:tabs>
                    <w:spacing w:line="254" w:lineRule="auto"/>
                    <w:ind w:firstLine="771"/>
                    <w:jc w:val="both"/>
                    <w:rPr>
                      <w:b/>
                      <w:szCs w:val="24"/>
                      <w:shd w:val="clear" w:color="auto" w:fill="FFFFFF"/>
                    </w:rPr>
                  </w:pPr>
                  <w:sdt>
                    <w:sdtPr>
                      <w:alias w:val="Numeris"/>
                      <w:tag w:val="nr_94172c946c49454293e111a91f967f4d"/>
                      <w:lock w:val="sdtLocked"/>
                      <w:richText/>
                    </w:sdtPr>
                    <w:sdtContent>
                      <w:r>
                        <w:rPr>
                          <w:b/>
                          <w:szCs w:val="24"/>
                          <w:shd w:val="clear" w:color="auto" w:fill="FFFFFF"/>
                        </w:rPr>
                        <w:t>1</w:t>
                      </w:r>
                    </w:sdtContent>
                  </w:sdt>
                  <w:r>
                    <w:rPr>
                      <w:b/>
                      <w:szCs w:val="24"/>
                      <w:shd w:val="clear" w:color="auto" w:fill="FFFFFF"/>
                    </w:rPr>
                    <w:t xml:space="preserve">. Didinamos  Radviliškio rajono savivaldybės 2025 metų biudžeto pajamos 1 321 839,23 Eur, iš jų:</w:t>
                  </w:r>
                </w:p>
                <w:sdt>
                  <w:sdtPr>
                    <w:alias w:val="1.1 pp."/>
                    <w:tag w:val="part_41f89dc582bc4ea3ab0aa6951220d2a9"/>
                    <w:lock w:val="sdtLocked"/>
                    <w:richText/>
                  </w:sdtPr>
                  <w:sdtContent>
                    <w:p>
                      <w:pPr>
                        <w:spacing w:line="254" w:lineRule="auto"/>
                        <w:ind w:firstLine="709"/>
                        <w:jc w:val="both"/>
                        <w:rPr>
                          <w:bCs/>
                          <w:szCs w:val="24"/>
                          <w:shd w:val="clear" w:color="auto" w:fill="FFFFFF"/>
                        </w:rPr>
                      </w:pPr>
                      <w:sdt>
                        <w:sdtPr>
                          <w:alias w:val="Numeris"/>
                          <w:tag w:val="nr_41f89dc582bc4ea3ab0aa6951220d2a9"/>
                          <w:lock w:val="sdtLocked"/>
                          <w:richText/>
                        </w:sdtPr>
                        <w:sdtContent>
                          <w:r>
                            <w:rPr>
                              <w:szCs w:val="24"/>
                            </w:rPr>
                            <w:t>1.1</w:t>
                          </w:r>
                        </w:sdtContent>
                      </w:sdt>
                      <w:r>
                        <w:rPr>
                          <w:szCs w:val="24"/>
                        </w:rPr>
                        <w:t>.</w:t>
                      </w:r>
                      <w:r>
                        <w:rPr>
                          <w:sz w:val="22"/>
                          <w:szCs w:val="22"/>
                        </w:rPr>
                        <w:t xml:space="preserve"> </w:t>
                      </w:r>
                      <w:r>
                        <w:rPr>
                          <w:szCs w:val="24"/>
                        </w:rPr>
                        <w:t xml:space="preserve">Valstybės biudžeto lėšos, skirtos mokinių, atvykusių į Lietuvos Respubliką iš Ukrainos ugdymo pagal ikimokyklinio, priešmokyklinio ir bendrojo ugdymo programas, reikmėms finansuoti </w:t>
                      </w:r>
                      <w:r>
                        <w:rPr>
                          <w:bCs/>
                          <w:szCs w:val="24"/>
                          <w:shd w:val="clear" w:color="auto" w:fill="FFFFFF"/>
                        </w:rPr>
                        <w:t>– 100 600,00</w:t>
                      </w:r>
                      <w:r>
                        <w:rPr>
                          <w:sz w:val="22"/>
                          <w:szCs w:val="22"/>
                        </w:rPr>
                        <w:t xml:space="preserve"> </w:t>
                      </w:r>
                      <w:r>
                        <w:rPr>
                          <w:bCs/>
                          <w:szCs w:val="24"/>
                          <w:shd w:val="clear" w:color="auto" w:fill="FFFFFF"/>
                        </w:rPr>
                        <w:t>Eur (VB);</w:t>
                      </w:r>
                    </w:p>
                  </w:sdtContent>
                </w:sdt>
                <w:sdt>
                  <w:sdtPr>
                    <w:alias w:val="1.2 pp."/>
                    <w:tag w:val="part_e89c36c524bc49d983c858b3fb9e3f74"/>
                    <w:lock w:val="sdtLocked"/>
                    <w:richText/>
                  </w:sdtPr>
                  <w:sdtContent>
                    <w:p>
                      <w:pPr>
                        <w:spacing w:line="254" w:lineRule="auto"/>
                        <w:ind w:firstLine="709"/>
                        <w:jc w:val="both"/>
                        <w:rPr>
                          <w:bCs/>
                          <w:szCs w:val="24"/>
                          <w:shd w:val="clear" w:color="auto" w:fill="FFFFFF"/>
                        </w:rPr>
                      </w:pPr>
                      <w:sdt>
                        <w:sdtPr>
                          <w:alias w:val="Numeris"/>
                          <w:tag w:val="nr_e89c36c524bc49d983c858b3fb9e3f74"/>
                          <w:lock w:val="sdtLocked"/>
                          <w:richText/>
                        </w:sdtPr>
                        <w:sdtContent>
                          <w:r>
                            <w:rPr>
                              <w:bCs/>
                              <w:szCs w:val="24"/>
                              <w:shd w:val="clear" w:color="auto" w:fill="FFFFFF"/>
                            </w:rPr>
                            <w:t>1.2</w:t>
                          </w:r>
                        </w:sdtContent>
                      </w:sdt>
                      <w:r>
                        <w:rPr>
                          <w:bCs/>
                          <w:szCs w:val="24"/>
                          <w:shd w:val="clear" w:color="auto" w:fill="FFFFFF"/>
                        </w:rPr>
                        <w:t xml:space="preserve">. Valstybės biudžeto lėšos, skirtos profesiniam orientavimui (karjeros specialisto funkcijai) švietimo įstaigose atlikti –  97 199,00 Eur (VB);</w:t>
                      </w:r>
                    </w:p>
                  </w:sdtContent>
                </w:sdt>
                <w:sdt>
                  <w:sdtPr>
                    <w:alias w:val="1.3 pp."/>
                    <w:tag w:val="part_aec93e6ba83a4dc2b2aa51ee25636fe9"/>
                    <w:lock w:val="sdtLocked"/>
                    <w:richText/>
                  </w:sdtPr>
                  <w:sdtContent>
                    <w:p>
                      <w:pPr>
                        <w:spacing w:line="254" w:lineRule="auto"/>
                        <w:ind w:firstLine="709"/>
                        <w:jc w:val="both"/>
                        <w:rPr>
                          <w:bCs/>
                          <w:szCs w:val="24"/>
                          <w:shd w:val="clear" w:color="auto" w:fill="FFFFFF"/>
                        </w:rPr>
                      </w:pPr>
                      <w:sdt>
                        <w:sdtPr>
                          <w:alias w:val="Numeris"/>
                          <w:tag w:val="nr_aec93e6ba83a4dc2b2aa51ee25636fe9"/>
                          <w:lock w:val="sdtLocked"/>
                          <w:richText/>
                        </w:sdtPr>
                        <w:sdtContent>
                          <w:r>
                            <w:rPr>
                              <w:bCs/>
                              <w:szCs w:val="24"/>
                              <w:shd w:val="clear" w:color="auto" w:fill="FFFFFF"/>
                            </w:rPr>
                            <w:t>1.3</w:t>
                          </w:r>
                        </w:sdtContent>
                      </w:sdt>
                      <w:r>
                        <w:rPr>
                          <w:bCs/>
                          <w:szCs w:val="24"/>
                          <w:shd w:val="clear" w:color="auto" w:fill="FFFFFF"/>
                        </w:rPr>
                        <w:t>.</w:t>
                      </w:r>
                      <w:r>
                        <w:rPr>
                          <w:sz w:val="22"/>
                          <w:szCs w:val="22"/>
                        </w:rPr>
                        <w:t xml:space="preserve"> </w:t>
                      </w:r>
                      <w:r>
                        <w:rPr>
                          <w:bCs/>
                          <w:szCs w:val="24"/>
                          <w:shd w:val="clear" w:color="auto" w:fill="FFFFFF"/>
                        </w:rPr>
                        <w:t>Projekto „Ankstyvojo ugdymo užtikrinimas vaikams iš socialinę riziką patiriančių šeimų“ finansavimas iš Europos socialinio fondo agentūros – 76 591,08 Eur (ES-72 495,31 Eur; VB – 4 095,77 Eur);</w:t>
                      </w:r>
                    </w:p>
                  </w:sdtContent>
                </w:sdt>
                <w:sdt>
                  <w:sdtPr>
                    <w:alias w:val="1.4 pp."/>
                    <w:tag w:val="part_7d2197da56944d5c9876831625a63d2e"/>
                    <w:lock w:val="sdtLocked"/>
                    <w:richText/>
                  </w:sdtPr>
                  <w:sdtContent>
                    <w:p>
                      <w:pPr>
                        <w:spacing w:line="254" w:lineRule="auto"/>
                        <w:ind w:firstLine="709"/>
                        <w:jc w:val="both"/>
                        <w:rPr>
                          <w:bCs/>
                          <w:szCs w:val="24"/>
                          <w:shd w:val="clear" w:color="auto" w:fill="FFFFFF"/>
                        </w:rPr>
                      </w:pPr>
                      <w:sdt>
                        <w:sdtPr>
                          <w:alias w:val="Numeris"/>
                          <w:tag w:val="nr_7d2197da56944d5c9876831625a63d2e"/>
                          <w:lock w:val="sdtLocked"/>
                          <w:richText/>
                        </w:sdtPr>
                        <w:sdtContent>
                          <w:r>
                            <w:rPr>
                              <w:bCs/>
                              <w:szCs w:val="24"/>
                              <w:shd w:val="clear" w:color="auto" w:fill="FFFFFF"/>
                            </w:rPr>
                            <w:t>1.4</w:t>
                          </w:r>
                        </w:sdtContent>
                      </w:sdt>
                      <w:r>
                        <w:rPr>
                          <w:bCs/>
                          <w:szCs w:val="24"/>
                          <w:shd w:val="clear" w:color="auto" w:fill="FFFFFF"/>
                        </w:rPr>
                        <w:t>.</w:t>
                      </w:r>
                      <w:r>
                        <w:rPr>
                          <w:sz w:val="22"/>
                          <w:szCs w:val="22"/>
                        </w:rPr>
                        <w:t xml:space="preserve">  </w:t>
                      </w:r>
                      <w:r>
                        <w:rPr>
                          <w:bCs/>
                          <w:szCs w:val="24"/>
                          <w:shd w:val="clear" w:color="auto" w:fill="FFFFFF"/>
                        </w:rPr>
                        <w:t>Valstybės biudžeto lėšos, skirtos būstams pritaikyti asmenims su negalia – 21 549,15 Eur (VB);</w:t>
                      </w:r>
                    </w:p>
                  </w:sdtContent>
                </w:sdt>
                <w:sdt>
                  <w:sdtPr>
                    <w:alias w:val="1.5 pp."/>
                    <w:tag w:val="part_e9082250eaec4d8ebc75edeccc7a5ee6"/>
                    <w:lock w:val="sdtLocked"/>
                    <w:richText/>
                  </w:sdtPr>
                  <w:sdtContent>
                    <w:p>
                      <w:pPr>
                        <w:spacing w:line="254" w:lineRule="auto"/>
                        <w:ind w:firstLine="709"/>
                        <w:jc w:val="both"/>
                        <w:rPr>
                          <w:bCs/>
                          <w:szCs w:val="24"/>
                          <w:shd w:val="clear" w:color="auto" w:fill="FFFFFF"/>
                        </w:rPr>
                      </w:pPr>
                      <w:sdt>
                        <w:sdtPr>
                          <w:alias w:val="Numeris"/>
                          <w:tag w:val="nr_e9082250eaec4d8ebc75edeccc7a5ee6"/>
                          <w:lock w:val="sdtLocked"/>
                          <w:richText/>
                        </w:sdtPr>
                        <w:sdtContent>
                          <w:r>
                            <w:rPr>
                              <w:bCs/>
                              <w:szCs w:val="24"/>
                              <w:shd w:val="clear" w:color="auto" w:fill="FFFFFF"/>
                            </w:rPr>
                            <w:t>1.5</w:t>
                          </w:r>
                        </w:sdtContent>
                      </w:sdt>
                      <w:r>
                        <w:rPr>
                          <w:bCs/>
                          <w:szCs w:val="24"/>
                          <w:shd w:val="clear" w:color="auto" w:fill="FFFFFF"/>
                        </w:rPr>
                        <w:t>.</w:t>
                      </w:r>
                      <w:r>
                        <w:rPr>
                          <w:sz w:val="22"/>
                          <w:szCs w:val="22"/>
                        </w:rPr>
                        <w:t xml:space="preserve"> </w:t>
                      </w:r>
                      <w:r>
                        <w:rPr>
                          <w:bCs/>
                          <w:szCs w:val="24"/>
                          <w:shd w:val="clear" w:color="auto" w:fill="FFFFFF"/>
                        </w:rPr>
                        <w:t>Kelių priežiūros ir plėtros programos lėšos, skirtos Radviliškio rajono savivaldybei vietinės reikšmės kelio RD0021, kuriuo privažiuojama prie kareivinių nuo kelio A9, sutampančio su Linkaičių gatve Karčemų kaime, ruožui nuo 0,016 km iki 1,166 km kapitališkai remontuoti – 859 100,00</w:t>
                      </w:r>
                      <w:r>
                        <w:rPr>
                          <w:sz w:val="22"/>
                          <w:szCs w:val="22"/>
                        </w:rPr>
                        <w:t xml:space="preserve"> </w:t>
                      </w:r>
                      <w:r>
                        <w:rPr>
                          <w:bCs/>
                          <w:szCs w:val="24"/>
                          <w:shd w:val="clear" w:color="auto" w:fill="FFFFFF"/>
                        </w:rPr>
                        <w:t>Eur (KPP);</w:t>
                      </w:r>
                    </w:p>
                  </w:sdtContent>
                </w:sdt>
                <w:sdt>
                  <w:sdtPr>
                    <w:alias w:val="1.6 pp."/>
                    <w:tag w:val="part_9b04c7b9b4c64671901997ec05d5f745"/>
                    <w:lock w:val="sdtLocked"/>
                    <w:richText/>
                  </w:sdtPr>
                  <w:sdtContent>
                    <w:p>
                      <w:pPr>
                        <w:spacing w:line="254" w:lineRule="auto"/>
                        <w:ind w:firstLine="709"/>
                        <w:jc w:val="both"/>
                        <w:rPr>
                          <w:bCs/>
                          <w:szCs w:val="24"/>
                          <w:shd w:val="clear" w:color="auto" w:fill="FFFFFF"/>
                        </w:rPr>
                      </w:pPr>
                      <w:sdt>
                        <w:sdtPr>
                          <w:alias w:val="Numeris"/>
                          <w:tag w:val="nr_9b04c7b9b4c64671901997ec05d5f745"/>
                          <w:lock w:val="sdtLocked"/>
                          <w:richText/>
                        </w:sdtPr>
                        <w:sdtContent>
                          <w:r>
                            <w:rPr>
                              <w:bCs/>
                              <w:szCs w:val="24"/>
                              <w:shd w:val="clear" w:color="auto" w:fill="FFFFFF"/>
                            </w:rPr>
                            <w:t>1.6</w:t>
                          </w:r>
                        </w:sdtContent>
                      </w:sdt>
                      <w:r>
                        <w:rPr>
                          <w:b/>
                          <w:szCs w:val="24"/>
                          <w:shd w:val="clear" w:color="auto" w:fill="FFFFFF"/>
                        </w:rPr>
                        <w:t xml:space="preserve">. </w:t>
                      </w:r>
                      <w:r>
                        <w:rPr>
                          <w:bCs/>
                          <w:szCs w:val="24"/>
                          <w:shd w:val="clear" w:color="auto" w:fill="FFFFFF"/>
                        </w:rPr>
                        <w:t>Kelių priežiūros ir plėtros programos finansavimo lėšų savivaldybių institucijų valdomiems vietinės reikšmės keliams – 166 800,00 Eur (KPP);</w:t>
                      </w:r>
                    </w:p>
                    <w:p>
                      <w:pPr>
                        <w:spacing w:line="254" w:lineRule="auto"/>
                        <w:ind w:firstLine="709"/>
                        <w:jc w:val="both"/>
                        <w:rPr>
                          <w:bCs/>
                          <w:szCs w:val="24"/>
                          <w:shd w:val="clear" w:color="auto" w:fill="FFFFFF"/>
                        </w:rPr>
                      </w:pPr>
                    </w:p>
                  </w:sdtContent>
                </w:sdt>
              </w:sdtContent>
            </w:sdt>
            <w:sdt>
              <w:sdtPr>
                <w:alias w:val="2 p."/>
                <w:tag w:val="part_6c59ea6d249946fabead84df3725d464"/>
                <w:lock w:val="sdtLocked"/>
                <w:richText/>
              </w:sdtPr>
              <w:sdtContent>
                <w:p>
                  <w:pPr>
                    <w:spacing w:line="254" w:lineRule="auto"/>
                    <w:ind w:firstLine="709"/>
                    <w:jc w:val="both"/>
                    <w:rPr>
                      <w:b/>
                      <w:szCs w:val="24"/>
                      <w:lang w:eastAsia="lt-LT"/>
                    </w:rPr>
                  </w:pPr>
                  <w:sdt>
                    <w:sdtPr>
                      <w:alias w:val="Numeris"/>
                      <w:tag w:val="nr_6c59ea6d249946fabead84df3725d464"/>
                      <w:lock w:val="sdtLocked"/>
                      <w:richText/>
                    </w:sdtPr>
                    <w:sdtContent>
                      <w:r>
                        <w:rPr>
                          <w:b/>
                          <w:szCs w:val="24"/>
                          <w:shd w:val="clear" w:color="auto" w:fill="FFFFFF"/>
                        </w:rPr>
                        <w:t>2</w:t>
                      </w:r>
                    </w:sdtContent>
                  </w:sdt>
                  <w:r>
                    <w:rPr>
                      <w:b/>
                      <w:szCs w:val="24"/>
                      <w:shd w:val="clear" w:color="auto" w:fill="FFFFFF"/>
                    </w:rPr>
                    <w:t>.</w:t>
                  </w:r>
                  <w:r>
                    <w:rPr>
                      <w:b/>
                      <w:szCs w:val="24"/>
                      <w:lang w:eastAsia="lt-LT"/>
                    </w:rPr>
                    <w:t xml:space="preserve"> Didinami Radviliškio rajono savivaldybės 2025 metų biudžeto asignavimai  pagal programas  1 321 839,23 Eur, iš jų:</w:t>
                  </w:r>
                </w:p>
                <w:sdt>
                  <w:sdtPr>
                    <w:alias w:val="2.1 pp."/>
                    <w:tag w:val="part_05a2a7edc6114325a617a8485eab2375"/>
                    <w:lock w:val="sdtLocked"/>
                    <w:richText/>
                  </w:sdtPr>
                  <w:sdtContent>
                    <w:p>
                      <w:pPr>
                        <w:spacing w:line="254" w:lineRule="auto"/>
                        <w:ind w:firstLine="709"/>
                        <w:jc w:val="both"/>
                        <w:rPr>
                          <w:bCs/>
                          <w:szCs w:val="24"/>
                          <w:lang w:eastAsia="lt-LT"/>
                        </w:rPr>
                      </w:pPr>
                      <w:sdt>
                        <w:sdtPr>
                          <w:alias w:val="Numeris"/>
                          <w:tag w:val="nr_05a2a7edc6114325a617a8485eab2375"/>
                          <w:lock w:val="sdtLocked"/>
                          <w:richText/>
                        </w:sdtPr>
                        <w:sdtContent>
                          <w:r>
                            <w:rPr>
                              <w:bCs/>
                              <w:szCs w:val="24"/>
                              <w:lang w:eastAsia="lt-LT"/>
                            </w:rPr>
                            <w:t>2.1</w:t>
                          </w:r>
                        </w:sdtContent>
                      </w:sdt>
                      <w:r>
                        <w:rPr>
                          <w:bCs/>
                          <w:szCs w:val="24"/>
                          <w:lang w:eastAsia="lt-LT"/>
                        </w:rPr>
                        <w:t>.</w:t>
                      </w:r>
                      <w:r>
                        <w:rPr>
                          <w:bCs/>
                          <w:sz w:val="22"/>
                          <w:szCs w:val="22"/>
                        </w:rPr>
                        <w:t xml:space="preserve"> </w:t>
                      </w:r>
                      <w:r>
                        <w:rPr>
                          <w:bCs/>
                          <w:szCs w:val="24"/>
                          <w:lang w:eastAsia="lt-LT"/>
                        </w:rPr>
                        <w:t>Radviliškio rajono savivaldybės administracijai:</w:t>
                      </w:r>
                    </w:p>
                    <w:sdt>
                      <w:sdtPr>
                        <w:alias w:val="2.1.1 pp."/>
                        <w:tag w:val="part_ea5a1b8271dd493d8b0da0bd8bd58712"/>
                        <w:lock w:val="sdtLocked"/>
                        <w:richText/>
                      </w:sdtPr>
                      <w:sdtContent>
                        <w:p>
                          <w:pPr>
                            <w:spacing w:line="254" w:lineRule="auto"/>
                            <w:ind w:firstLine="709"/>
                            <w:jc w:val="both"/>
                            <w:rPr>
                              <w:bCs/>
                              <w:szCs w:val="24"/>
                              <w:lang w:eastAsia="lt-LT"/>
                            </w:rPr>
                          </w:pPr>
                          <w:sdt>
                            <w:sdtPr>
                              <w:alias w:val="Numeris"/>
                              <w:tag w:val="nr_ea5a1b8271dd493d8b0da0bd8bd58712"/>
                              <w:lock w:val="sdtLocked"/>
                              <w:richText/>
                            </w:sdtPr>
                            <w:sdtContent>
                              <w:r>
                                <w:rPr>
                                  <w:bCs/>
                                  <w:szCs w:val="24"/>
                                  <w:lang w:eastAsia="lt-LT"/>
                                </w:rPr>
                                <w:t>2.1.1</w:t>
                              </w:r>
                            </w:sdtContent>
                          </w:sdt>
                          <w:r>
                            <w:rPr>
                              <w:bCs/>
                              <w:szCs w:val="24"/>
                              <w:lang w:eastAsia="lt-LT"/>
                            </w:rPr>
                            <w:t>.</w:t>
                          </w:r>
                          <w:r>
                            <w:rPr>
                              <w:sz w:val="22"/>
                              <w:szCs w:val="22"/>
                            </w:rPr>
                            <w:t xml:space="preserve"> </w:t>
                          </w:r>
                          <w:r>
                            <w:rPr>
                              <w:bCs/>
                              <w:szCs w:val="24"/>
                              <w:lang w:eastAsia="lt-LT"/>
                            </w:rPr>
                            <w:t>Valstybės biudžeto lėšos, skirtos mokinių, atvykusių į Lietuvos Respubliką iš Ukrainos ugdymo pagal ikimokyklinio, priešmokyklinio ir bendrojo ugdymo programas, reikmėms finansuoti – 100 600,00 Eur, iš jų darbo užmokestis – 99 172,00 Eur (MK, 02 programa);</w:t>
                          </w:r>
                        </w:p>
                      </w:sdtContent>
                    </w:sdt>
                    <w:sdt>
                      <w:sdtPr>
                        <w:alias w:val="2.1.2 pp."/>
                        <w:tag w:val="part_7d95fd9a4258480fbd7895612ef1d862"/>
                        <w:lock w:val="sdtLocked"/>
                        <w:richText/>
                      </w:sdtPr>
                      <w:sdtContent>
                        <w:p>
                          <w:pPr>
                            <w:spacing w:line="254" w:lineRule="auto"/>
                            <w:ind w:firstLine="709"/>
                            <w:jc w:val="both"/>
                            <w:rPr>
                              <w:bCs/>
                              <w:szCs w:val="24"/>
                              <w:lang w:eastAsia="lt-LT"/>
                            </w:rPr>
                          </w:pPr>
                          <w:sdt>
                            <w:sdtPr>
                              <w:alias w:val="Numeris"/>
                              <w:tag w:val="nr_7d95fd9a4258480fbd7895612ef1d862"/>
                              <w:lock w:val="sdtLocked"/>
                              <w:richText/>
                            </w:sdtPr>
                            <w:sdtContent>
                              <w:r>
                                <w:rPr>
                                  <w:bCs/>
                                  <w:szCs w:val="24"/>
                                  <w:lang w:eastAsia="lt-LT"/>
                                </w:rPr>
                                <w:t>2.1.2</w:t>
                              </w:r>
                            </w:sdtContent>
                          </w:sdt>
                          <w:r>
                            <w:rPr>
                              <w:bCs/>
                              <w:szCs w:val="24"/>
                              <w:lang w:eastAsia="lt-LT"/>
                            </w:rPr>
                            <w:t>.</w:t>
                          </w:r>
                          <w:r>
                            <w:rPr>
                              <w:sz w:val="22"/>
                              <w:szCs w:val="22"/>
                            </w:rPr>
                            <w:t xml:space="preserve"> </w:t>
                          </w:r>
                          <w:r>
                            <w:rPr>
                              <w:bCs/>
                              <w:szCs w:val="24"/>
                              <w:lang w:eastAsia="lt-LT"/>
                            </w:rPr>
                            <w:t>Kelių priežiūros ir plėtros programos lėšos, skirtos Radviliškio rajono savivaldybei vietinės reikšmės kelio RD0021, kuriuo privažiuojama prie kareivinių nuo kelio A9, sutampančio su Linkaičių gatve Karčemų kaime, ruožui nuo 0,016 km iki 1,166 km kapitališkai remontuoti – 859 100,00 Eur (KPP, 04 programa);</w:t>
                          </w:r>
                        </w:p>
                      </w:sdtContent>
                    </w:sdt>
                    <w:sdt>
                      <w:sdtPr>
                        <w:alias w:val="2.1.3 pp."/>
                        <w:tag w:val="part_c9960af1c9904fb0ba771b634346ed68"/>
                        <w:lock w:val="sdtLocked"/>
                        <w:richText/>
                      </w:sdtPr>
                      <w:sdtContent>
                        <w:p>
                          <w:pPr>
                            <w:spacing w:line="254" w:lineRule="auto"/>
                            <w:ind w:firstLine="709"/>
                            <w:jc w:val="both"/>
                            <w:rPr>
                              <w:bCs/>
                              <w:szCs w:val="24"/>
                              <w:lang w:eastAsia="lt-LT"/>
                            </w:rPr>
                          </w:pPr>
                          <w:sdt>
                            <w:sdtPr>
                              <w:alias w:val="Numeris"/>
                              <w:tag w:val="nr_c9960af1c9904fb0ba771b634346ed68"/>
                              <w:lock w:val="sdtLocked"/>
                              <w:richText/>
                            </w:sdtPr>
                            <w:sdtContent>
                              <w:r>
                                <w:rPr>
                                  <w:bCs/>
                                  <w:szCs w:val="24"/>
                                  <w:lang w:eastAsia="lt-LT"/>
                                </w:rPr>
                                <w:t>2.1.3</w:t>
                              </w:r>
                            </w:sdtContent>
                          </w:sdt>
                          <w:r>
                            <w:rPr>
                              <w:bCs/>
                              <w:szCs w:val="24"/>
                              <w:lang w:eastAsia="lt-LT"/>
                            </w:rPr>
                            <w:t>. Kelių priežiūros ir plėtros programos finansavimo lėšų savivaldybių institucijų valdomiems vietinės reikšmės keliams – 166 800,00 Eur (KPP, 04 programa);</w:t>
                          </w:r>
                        </w:p>
                      </w:sdtContent>
                    </w:sdt>
                  </w:sdtContent>
                </w:sdt>
                <w:sdt>
                  <w:sdtPr>
                    <w:alias w:val="2.2 pp."/>
                    <w:tag w:val="part_eb76dd09d6174eefaa8ad4060eeae232"/>
                    <w:lock w:val="sdtLocked"/>
                    <w:richText/>
                  </w:sdtPr>
                  <w:sdtContent>
                    <w:p>
                      <w:pPr>
                        <w:spacing w:line="254" w:lineRule="auto"/>
                        <w:ind w:firstLine="709"/>
                        <w:jc w:val="both"/>
                        <w:rPr>
                          <w:szCs w:val="24"/>
                          <w:lang w:eastAsia="lt-LT"/>
                        </w:rPr>
                      </w:pPr>
                      <w:sdt>
                        <w:sdtPr>
                          <w:alias w:val="Numeris"/>
                          <w:tag w:val="nr_eb76dd09d6174eefaa8ad4060eeae232"/>
                          <w:lock w:val="sdtLocked"/>
                          <w:richText/>
                        </w:sdtPr>
                        <w:sdtContent>
                          <w:r>
                            <w:rPr>
                              <w:szCs w:val="24"/>
                              <w:lang w:eastAsia="lt-LT"/>
                            </w:rPr>
                            <w:t>2.2</w:t>
                          </w:r>
                        </w:sdtContent>
                      </w:sdt>
                      <w:r>
                        <w:rPr>
                          <w:szCs w:val="24"/>
                          <w:lang w:eastAsia="lt-LT"/>
                        </w:rPr>
                        <w:t>. Radviliškio rajono savivaldybės administracijos Socialinės paramos skyriui:</w:t>
                      </w:r>
                    </w:p>
                    <w:sdt>
                      <w:sdtPr>
                        <w:alias w:val="2.2.1 pp."/>
                        <w:tag w:val="part_ddc834dfd2ef4c7ca94d0e1dc4ae8de4"/>
                        <w:lock w:val="sdtLocked"/>
                        <w:richText/>
                      </w:sdtPr>
                      <w:sdtContent>
                        <w:p>
                          <w:pPr>
                            <w:spacing w:line="254" w:lineRule="auto"/>
                            <w:ind w:firstLine="709"/>
                            <w:jc w:val="both"/>
                            <w:rPr>
                              <w:szCs w:val="24"/>
                              <w:lang w:eastAsia="lt-LT"/>
                            </w:rPr>
                          </w:pPr>
                          <w:sdt>
                            <w:sdtPr>
                              <w:alias w:val="Numeris"/>
                              <w:tag w:val="nr_ddc834dfd2ef4c7ca94d0e1dc4ae8de4"/>
                              <w:lock w:val="sdtLocked"/>
                              <w:richText/>
                            </w:sdtPr>
                            <w:sdtContent>
                              <w:r>
                                <w:rPr>
                                  <w:szCs w:val="24"/>
                                  <w:lang w:eastAsia="lt-LT"/>
                                </w:rPr>
                                <w:t>2.2.1</w:t>
                              </w:r>
                            </w:sdtContent>
                          </w:sdt>
                          <w:r>
                            <w:rPr>
                              <w:szCs w:val="24"/>
                              <w:lang w:eastAsia="lt-LT"/>
                            </w:rPr>
                            <w:t>. Valstybės biudžeto lėšos, skirtos būstams pritaikyti asmenims su negalia – 21 549,15 Eur, iš jų – 20 720,34 Eur (VB, 03 programa) ir 828,81 Eur (VB, 01 programa);</w:t>
                          </w:r>
                        </w:p>
                      </w:sdtContent>
                    </w:sdt>
                  </w:sdtContent>
                </w:sdt>
                <w:sdt>
                  <w:sdtPr>
                    <w:alias w:val="2.3 pp."/>
                    <w:tag w:val="part_9c0659ebd51549919b81e851286c49d0"/>
                    <w:lock w:val="sdtLocked"/>
                    <w:richText/>
                  </w:sdtPr>
                  <w:sdtContent>
                    <w:p>
                      <w:pPr>
                        <w:spacing w:line="254" w:lineRule="auto"/>
                        <w:ind w:firstLine="709"/>
                        <w:jc w:val="both"/>
                        <w:rPr>
                          <w:szCs w:val="24"/>
                          <w:lang w:eastAsia="lt-LT"/>
                        </w:rPr>
                      </w:pPr>
                      <w:sdt>
                        <w:sdtPr>
                          <w:alias w:val="Numeris"/>
                          <w:tag w:val="nr_9c0659ebd51549919b81e851286c49d0"/>
                          <w:lock w:val="sdtLocked"/>
                          <w:richText/>
                        </w:sdtPr>
                        <w:sdtContent>
                          <w:r>
                            <w:rPr>
                              <w:szCs w:val="24"/>
                              <w:lang w:eastAsia="lt-LT"/>
                            </w:rPr>
                            <w:t>2.3</w:t>
                          </w:r>
                        </w:sdtContent>
                      </w:sdt>
                      <w:r>
                        <w:rPr>
                          <w:szCs w:val="24"/>
                          <w:lang w:eastAsia="lt-LT"/>
                        </w:rPr>
                        <w:t>.</w:t>
                      </w:r>
                      <w:r>
                        <w:rPr>
                          <w:sz w:val="22"/>
                          <w:szCs w:val="22"/>
                        </w:rPr>
                        <w:t xml:space="preserve"> </w:t>
                      </w:r>
                      <w:r>
                        <w:rPr>
                          <w:szCs w:val="24"/>
                          <w:lang w:eastAsia="lt-LT"/>
                        </w:rPr>
                        <w:t>Valstybės biudžeto lėšos, skirtos profesiniam orientavimui (karjeros specialisto funkcijai)</w:t>
                      </w:r>
                      <w:r>
                        <w:rPr>
                          <w:sz w:val="22"/>
                          <w:szCs w:val="22"/>
                        </w:rPr>
                        <w:t xml:space="preserve"> </w:t>
                      </w:r>
                      <w:r>
                        <w:rPr>
                          <w:szCs w:val="24"/>
                          <w:lang w:eastAsia="lt-LT"/>
                        </w:rPr>
                        <w:t>švietimo įstaigose atlikti – 97 199,00 Eur (VB, 02 programa):</w:t>
                      </w:r>
                    </w:p>
                    <w:p>
                      <w:pPr>
                        <w:spacing w:line="254" w:lineRule="auto"/>
                        <w:ind w:firstLine="709"/>
                        <w:jc w:val="both"/>
                        <w:rPr>
                          <w:szCs w:val="24"/>
                          <w:lang w:eastAsia="lt-LT"/>
                        </w:rPr>
                      </w:pPr>
                    </w:p>
                    <w:tbl>
                      <w:tblPr>
                        <w:tblW w:w="9628" w:type="dxa"/>
                        <w:jc w:val="center"/>
                        <w:tblLook w:val="04A0" w:firstRow="1" w:lastRow="0" w:firstColumn="1" w:lastColumn="0" w:noHBand="0" w:noVBand="1"/>
                      </w:tblPr>
                      <w:tblGrid>
                        <w:gridCol w:w="4531"/>
                        <w:gridCol w:w="2410"/>
                        <w:gridCol w:w="2687"/>
                      </w:tblGrid>
                      <w:tr>
                        <w:trPr>
                          <w:trHeight w:val="300"/>
                          <w:jc w:val="center"/>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410"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c>
                          <w:tcPr>
                            <w:tcW w:w="2687" w:type="dxa"/>
                            <w:tcBorders>
                              <w:top w:val="single" w:sz="4" w:space="0" w:color="auto"/>
                              <w:left w:val="nil"/>
                              <w:bottom w:val="single" w:sz="4" w:space="0" w:color="auto"/>
                              <w:right w:val="single" w:sz="4" w:space="0" w:color="auto"/>
                            </w:tcBorders>
                            <w:shd w:val="clear" w:color="000000" w:fill="FFFFFF"/>
                          </w:tcPr>
                          <w:p>
                            <w:pPr>
                              <w:jc w:val="center"/>
                              <w:rPr>
                                <w:b/>
                                <w:bCs/>
                                <w:color w:val="000000"/>
                                <w:szCs w:val="24"/>
                                <w:lang w:eastAsia="lt-LT"/>
                              </w:rPr>
                            </w:pPr>
                            <w:r>
                              <w:rPr>
                                <w:b/>
                                <w:bCs/>
                                <w:color w:val="000000"/>
                                <w:szCs w:val="24"/>
                                <w:lang w:eastAsia="lt-LT"/>
                              </w:rPr>
                              <w:t>Iš jų darbo užmokestis</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2410"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10 800,00</w:t>
                            </w:r>
                          </w:p>
                        </w:tc>
                        <w:tc>
                          <w:tcPr>
                            <w:tcW w:w="2687"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10 637,00</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2410"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10 800,00</w:t>
                            </w:r>
                          </w:p>
                        </w:tc>
                        <w:tc>
                          <w:tcPr>
                            <w:tcW w:w="2687"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10 637,00</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2410"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10 800,00</w:t>
                            </w:r>
                          </w:p>
                        </w:tc>
                        <w:tc>
                          <w:tcPr>
                            <w:tcW w:w="2687"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10 637,00</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2410"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10 800,00</w:t>
                            </w:r>
                          </w:p>
                        </w:tc>
                        <w:tc>
                          <w:tcPr>
                            <w:tcW w:w="2687"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10 637,00</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Šiaulėnų Marcelino Šikšnio gimnazija</w:t>
                            </w:r>
                          </w:p>
                        </w:tc>
                        <w:tc>
                          <w:tcPr>
                            <w:tcW w:w="2410"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10 800,00</w:t>
                            </w:r>
                          </w:p>
                        </w:tc>
                        <w:tc>
                          <w:tcPr>
                            <w:tcW w:w="2687"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10 637,00</w:t>
                            </w:r>
                          </w:p>
                        </w:tc>
                      </w:tr>
                      <w:tr>
                        <w:trPr>
                          <w:trHeight w:val="315"/>
                          <w:jc w:val="center"/>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Šeduvos gimnazija</w:t>
                            </w:r>
                          </w:p>
                        </w:tc>
                        <w:tc>
                          <w:tcPr>
                            <w:tcW w:w="2410"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10 800,00</w:t>
                            </w:r>
                          </w:p>
                        </w:tc>
                        <w:tc>
                          <w:tcPr>
                            <w:tcW w:w="2687"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10 637,00</w:t>
                            </w:r>
                          </w:p>
                        </w:tc>
                      </w:tr>
                      <w:tr>
                        <w:trPr>
                          <w:trHeight w:val="315"/>
                          <w:jc w:val="center"/>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savivaldybės švietimo ir sporto paslaugų centras</w:t>
                            </w:r>
                          </w:p>
                        </w:tc>
                        <w:tc>
                          <w:tcPr>
                            <w:tcW w:w="2410"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21 599,00</w:t>
                            </w:r>
                          </w:p>
                        </w:tc>
                        <w:tc>
                          <w:tcPr>
                            <w:tcW w:w="2687"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21 274,00</w:t>
                            </w:r>
                          </w:p>
                        </w:tc>
                      </w:tr>
                      <w:tr>
                        <w:trPr>
                          <w:trHeight w:val="315"/>
                          <w:jc w:val="center"/>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2410"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10 800,00</w:t>
                            </w:r>
                          </w:p>
                        </w:tc>
                        <w:tc>
                          <w:tcPr>
                            <w:tcW w:w="2687"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10 637,00</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2410"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97 199,00</w:t>
                            </w:r>
                          </w:p>
                        </w:tc>
                        <w:tc>
                          <w:tcPr>
                            <w:tcW w:w="2687" w:type="dxa"/>
                            <w:tcBorders>
                              <w:top w:val="nil"/>
                              <w:left w:val="nil"/>
                              <w:bottom w:val="single" w:sz="4" w:space="0" w:color="auto"/>
                              <w:right w:val="single" w:sz="4" w:space="0" w:color="auto"/>
                            </w:tcBorders>
                            <w:shd w:val="clear" w:color="000000" w:fill="FFFFFF"/>
                          </w:tcPr>
                          <w:p>
                            <w:pPr>
                              <w:jc w:val="center"/>
                              <w:rPr>
                                <w:b/>
                                <w:bCs/>
                                <w:color w:val="000000"/>
                                <w:szCs w:val="24"/>
                                <w:lang w:eastAsia="lt-LT"/>
                              </w:rPr>
                            </w:pPr>
                            <w:r>
                              <w:rPr>
                                <w:b/>
                                <w:bCs/>
                                <w:color w:val="000000"/>
                                <w:szCs w:val="24"/>
                                <w:lang w:eastAsia="lt-LT"/>
                              </w:rPr>
                              <w:t>95 733,33</w:t>
                            </w:r>
                          </w:p>
                        </w:tc>
                      </w:tr>
                    </w:tbl>
                    <w:p/>
                  </w:sdtContent>
                </w:sdt>
                <w:sdt>
                  <w:sdtPr>
                    <w:alias w:val="2.4 pp."/>
                    <w:tag w:val="part_27c641831a1b44e0ad2f2c96fe4fe0a5"/>
                    <w:lock w:val="sdtLocked"/>
                    <w:richText/>
                  </w:sdtPr>
                  <w:sdtContent>
                    <w:p>
                      <w:pPr>
                        <w:spacing w:line="254" w:lineRule="auto"/>
                        <w:ind w:firstLine="709"/>
                        <w:jc w:val="both"/>
                        <w:rPr>
                          <w:szCs w:val="24"/>
                          <w:lang w:eastAsia="lt-LT"/>
                        </w:rPr>
                      </w:pPr>
                      <w:sdt>
                        <w:sdtPr>
                          <w:alias w:val="Numeris"/>
                          <w:tag w:val="nr_27c641831a1b44e0ad2f2c96fe4fe0a5"/>
                          <w:lock w:val="sdtLocked"/>
                          <w:richText/>
                        </w:sdtPr>
                        <w:sdtContent>
                          <w:r>
                            <w:rPr>
                              <w:szCs w:val="24"/>
                              <w:lang w:eastAsia="lt-LT"/>
                            </w:rPr>
                            <w:t>2.4</w:t>
                          </w:r>
                        </w:sdtContent>
                      </w:sdt>
                      <w:r>
                        <w:rPr>
                          <w:szCs w:val="24"/>
                          <w:lang w:eastAsia="lt-LT"/>
                        </w:rPr>
                        <w:t>.</w:t>
                      </w:r>
                      <w:r>
                        <w:rPr>
                          <w:sz w:val="22"/>
                          <w:szCs w:val="22"/>
                        </w:rPr>
                        <w:t xml:space="preserve"> </w:t>
                      </w:r>
                      <w:r>
                        <w:rPr>
                          <w:szCs w:val="24"/>
                          <w:lang w:eastAsia="lt-LT"/>
                        </w:rPr>
                        <w:t>Projekto „Ankstyvojo ugdymo užtikrinimas vaikams iš socialinę riziką patiriančių šeimų“ finansavimas iš Europos socialinio fondo agentūros – 72 495,31 Eur (ES, 02 programa):</w:t>
                      </w:r>
                    </w:p>
                    <w:p>
                      <w:pPr>
                        <w:spacing w:line="254" w:lineRule="auto"/>
                        <w:ind w:firstLine="709"/>
                        <w:jc w:val="both"/>
                        <w:rPr>
                          <w:szCs w:val="24"/>
                          <w:lang w:eastAsia="lt-LT"/>
                        </w:rPr>
                      </w:pPr>
                    </w:p>
                    <w:tbl>
                      <w:tblPr>
                        <w:tblW w:w="9645" w:type="dxa"/>
                        <w:jc w:val="center"/>
                        <w:tblLook w:val="04A0" w:firstRow="1" w:lastRow="0" w:firstColumn="1" w:lastColumn="0" w:noHBand="0" w:noVBand="1"/>
                      </w:tblPr>
                      <w:tblGrid>
                        <w:gridCol w:w="6674"/>
                        <w:gridCol w:w="2971"/>
                      </w:tblGrid>
                      <w:tr>
                        <w:trPr>
                          <w:trHeight w:val="300"/>
                          <w:jc w:val="center"/>
                        </w:trPr>
                        <w:tc>
                          <w:tcPr>
                            <w:tcW w:w="667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971"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Alksniupių pagrindinė mokykla</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5 617,51</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191,67</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Baisogalos mokykla-darželis</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8 085,76</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lopšelis-darželis „Eglutė“</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1 107,75</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327,29</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Grinkiškio J. Poderio pagrindinė mokykla</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828,79</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 xml:space="preserve">Radviliškio lopšelis-darželis  „Kregždutė"</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13 396,64</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7 094,08</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Sidabravo pagrindinė mokykla</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5 247,13</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Šeduvos lopšelis-darželis</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8 139,11</w:t>
                            </w:r>
                          </w:p>
                        </w:tc>
                      </w:tr>
                      <w:tr>
                        <w:trPr>
                          <w:trHeight w:val="315"/>
                          <w:jc w:val="center"/>
                        </w:trPr>
                        <w:tc>
                          <w:tcPr>
                            <w:tcW w:w="6674"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Šiaulėnų Marcelino Šikšnio gimnazija</w:t>
                            </w:r>
                          </w:p>
                        </w:tc>
                        <w:tc>
                          <w:tcPr>
                            <w:tcW w:w="2971"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2 008,18</w:t>
                            </w:r>
                          </w:p>
                        </w:tc>
                      </w:tr>
                      <w:tr>
                        <w:trPr>
                          <w:trHeight w:val="315"/>
                          <w:jc w:val="center"/>
                        </w:trPr>
                        <w:tc>
                          <w:tcPr>
                            <w:tcW w:w="667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2971"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895,58</w:t>
                            </w:r>
                          </w:p>
                        </w:tc>
                      </w:tr>
                      <w:tr>
                        <w:trPr>
                          <w:trHeight w:val="315"/>
                          <w:jc w:val="center"/>
                        </w:trPr>
                        <w:tc>
                          <w:tcPr>
                            <w:tcW w:w="6674"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lopšelis-darželis „Žvaigždutė“</w:t>
                            </w:r>
                          </w:p>
                        </w:tc>
                        <w:tc>
                          <w:tcPr>
                            <w:tcW w:w="2971"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16 066,15</w:t>
                            </w:r>
                          </w:p>
                        </w:tc>
                      </w:tr>
                      <w:tr>
                        <w:trPr>
                          <w:trHeight w:val="315"/>
                          <w:jc w:val="center"/>
                        </w:trPr>
                        <w:tc>
                          <w:tcPr>
                            <w:tcW w:w="667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savivaldybės administracija</w:t>
                            </w:r>
                          </w:p>
                        </w:tc>
                        <w:tc>
                          <w:tcPr>
                            <w:tcW w:w="2971"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3 489,67</w:t>
                            </w:r>
                          </w:p>
                        </w:tc>
                      </w:tr>
                      <w:tr>
                        <w:trPr>
                          <w:trHeight w:val="315"/>
                          <w:jc w:val="center"/>
                        </w:trPr>
                        <w:tc>
                          <w:tcPr>
                            <w:tcW w:w="6674"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2971"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72 495,31</w:t>
                            </w:r>
                          </w:p>
                        </w:tc>
                      </w:tr>
                    </w:tbl>
                    <w:p>
                      <w:pPr>
                        <w:spacing w:line="254" w:lineRule="auto"/>
                        <w:ind w:firstLine="709"/>
                        <w:jc w:val="both"/>
                        <w:rPr>
                          <w:szCs w:val="24"/>
                          <w:lang w:eastAsia="lt-LT"/>
                        </w:rPr>
                      </w:pPr>
                    </w:p>
                  </w:sdtContent>
                </w:sdt>
                <w:sdt>
                  <w:sdtPr>
                    <w:alias w:val="2.5 pp."/>
                    <w:tag w:val="part_077dbbc32f464cf583bb47b309ade696"/>
                    <w:lock w:val="sdtLocked"/>
                    <w:richText/>
                  </w:sdtPr>
                  <w:sdtContent>
                    <w:p>
                      <w:pPr>
                        <w:spacing w:line="254" w:lineRule="auto"/>
                        <w:ind w:firstLine="709"/>
                        <w:jc w:val="both"/>
                        <w:rPr>
                          <w:szCs w:val="24"/>
                          <w:lang w:eastAsia="lt-LT"/>
                        </w:rPr>
                      </w:pPr>
                      <w:sdt>
                        <w:sdtPr>
                          <w:alias w:val="Numeris"/>
                          <w:tag w:val="nr_077dbbc32f464cf583bb47b309ade696"/>
                          <w:lock w:val="sdtLocked"/>
                          <w:richText/>
                        </w:sdtPr>
                        <w:sdtContent>
                          <w:r>
                            <w:rPr>
                              <w:szCs w:val="24"/>
                              <w:lang w:eastAsia="lt-LT"/>
                            </w:rPr>
                            <w:t>2.5</w:t>
                          </w:r>
                        </w:sdtContent>
                      </w:sdt>
                      <w:r>
                        <w:rPr>
                          <w:szCs w:val="24"/>
                          <w:lang w:eastAsia="lt-LT"/>
                        </w:rPr>
                        <w:t>. Projekto „Ankstyvojo ugdymo užtikrinimas vaikams iš socialinę riziką patiriančių šeimų“ finansavimas iš Europos socialinio fondo agentūros – 4 095,77 Eur (VB, 02 programa):</w:t>
                      </w:r>
                    </w:p>
                    <w:p>
                      <w:pPr>
                        <w:spacing w:line="254" w:lineRule="auto"/>
                        <w:ind w:firstLine="709"/>
                        <w:jc w:val="both"/>
                        <w:rPr>
                          <w:szCs w:val="24"/>
                          <w:lang w:eastAsia="lt-LT"/>
                        </w:rPr>
                      </w:pPr>
                    </w:p>
                    <w:tbl>
                      <w:tblPr>
                        <w:tblW w:w="9640" w:type="dxa"/>
                        <w:jc w:val="center"/>
                        <w:tblLook w:val="04A0" w:firstRow="1" w:lastRow="0" w:firstColumn="1" w:lastColumn="0" w:noHBand="0" w:noVBand="1"/>
                      </w:tblPr>
                      <w:tblGrid>
                        <w:gridCol w:w="6527"/>
                        <w:gridCol w:w="3113"/>
                      </w:tblGrid>
                      <w:tr>
                        <w:trPr>
                          <w:trHeight w:val="300"/>
                          <w:jc w:val="center"/>
                        </w:trPr>
                        <w:tc>
                          <w:tcPr>
                            <w:tcW w:w="65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113"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527"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 xml:space="preserve">Radviliškio lopšelis-darželis  „Žvaigždutė“</w:t>
                            </w:r>
                          </w:p>
                        </w:tc>
                        <w:tc>
                          <w:tcPr>
                            <w:tcW w:w="3113"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4 095,77</w:t>
                            </w:r>
                          </w:p>
                        </w:tc>
                      </w:tr>
                      <w:tr>
                        <w:trPr>
                          <w:trHeight w:val="315"/>
                          <w:jc w:val="center"/>
                        </w:trPr>
                        <w:tc>
                          <w:tcPr>
                            <w:tcW w:w="6527"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3113"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4 095,77</w:t>
                            </w:r>
                          </w:p>
                        </w:tc>
                      </w:tr>
                    </w:tbl>
                    <w:p>
                      <w:pPr>
                        <w:spacing w:line="254" w:lineRule="auto"/>
                        <w:ind w:firstLine="709"/>
                        <w:jc w:val="both"/>
                        <w:rPr>
                          <w:szCs w:val="24"/>
                          <w:lang w:eastAsia="lt-LT"/>
                        </w:rPr>
                      </w:pPr>
                    </w:p>
                  </w:sdtContent>
                </w:sdt>
              </w:sdtContent>
            </w:sdt>
            <w:sdt>
              <w:sdtPr>
                <w:alias w:val="3 p."/>
                <w:tag w:val="part_7b76d366fcc6478d9cedd384f8109680"/>
                <w:lock w:val="sdtLocked"/>
                <w:richText/>
              </w:sdtPr>
              <w:sdtContent>
                <w:p>
                  <w:pPr>
                    <w:spacing w:line="254" w:lineRule="auto"/>
                    <w:ind w:firstLine="709"/>
                    <w:jc w:val="both"/>
                    <w:rPr>
                      <w:szCs w:val="24"/>
                      <w:lang w:eastAsia="lt-LT"/>
                    </w:rPr>
                  </w:pPr>
                  <w:sdt>
                    <w:sdtPr>
                      <w:alias w:val="Numeris"/>
                      <w:tag w:val="nr_7b76d366fcc6478d9cedd384f8109680"/>
                      <w:lock w:val="sdtLocked"/>
                      <w:richText/>
                    </w:sdtPr>
                    <w:sdtContent>
                      <w:r>
                        <w:rPr>
                          <w:szCs w:val="24"/>
                          <w:lang w:eastAsia="lt-LT"/>
                        </w:rPr>
                        <w:t>3</w:t>
                      </w:r>
                    </w:sdtContent>
                  </w:sdt>
                  <w:r>
                    <w:rPr>
                      <w:szCs w:val="24"/>
                      <w:lang w:eastAsia="lt-LT"/>
                    </w:rPr>
                    <w:t>. Sumažinti Radviliškio rajono savivaldybės administracijos asignavimus Vaikų socializacijos ir poilsio programoms finansuoti – 128 831,00 Eur (SB, 05 programa);</w:t>
                  </w:r>
                </w:p>
              </w:sdtContent>
            </w:sdt>
            <w:sdt>
              <w:sdtPr>
                <w:alias w:val="4 p."/>
                <w:tag w:val="part_641fa7680aac4b28b41ad1478ede082e"/>
                <w:lock w:val="sdtLocked"/>
                <w:richText/>
              </w:sdtPr>
              <w:sdtContent>
                <w:p>
                  <w:pPr>
                    <w:spacing w:line="254" w:lineRule="auto"/>
                    <w:ind w:firstLine="709"/>
                    <w:jc w:val="both"/>
                    <w:rPr>
                      <w:szCs w:val="24"/>
                      <w:lang w:eastAsia="lt-LT"/>
                    </w:rPr>
                  </w:pPr>
                  <w:sdt>
                    <w:sdtPr>
                      <w:alias w:val="Numeris"/>
                      <w:tag w:val="nr_641fa7680aac4b28b41ad1478ede082e"/>
                      <w:lock w:val="sdtLocked"/>
                      <w:richText/>
                    </w:sdtPr>
                    <w:sdtContent>
                      <w:r>
                        <w:rPr>
                          <w:szCs w:val="24"/>
                          <w:lang w:eastAsia="lt-LT"/>
                        </w:rPr>
                        <w:t>4</w:t>
                      </w:r>
                    </w:sdtContent>
                  </w:sdt>
                  <w:r>
                    <w:rPr>
                      <w:szCs w:val="24"/>
                      <w:lang w:eastAsia="lt-LT"/>
                    </w:rPr>
                    <w:t>. Padidinti asignavimus Vaikų vasaros poilsio programų organizavimui vykdyti – 128 831,00 Eur (SB, 05 programa):</w:t>
                  </w:r>
                </w:p>
                <w:p>
                  <w:pPr>
                    <w:spacing w:line="254" w:lineRule="auto"/>
                    <w:ind w:firstLine="709"/>
                    <w:jc w:val="both"/>
                    <w:rPr>
                      <w:szCs w:val="24"/>
                      <w:lang w:eastAsia="lt-LT"/>
                    </w:rPr>
                  </w:pPr>
                </w:p>
                <w:tbl>
                  <w:tblPr>
                    <w:tblW w:w="9639" w:type="dxa"/>
                    <w:tblInd w:w="-5" w:type="dxa"/>
                    <w:tblLook w:val="04A0" w:firstRow="1" w:lastRow="0" w:firstColumn="1" w:lastColumn="0" w:noHBand="0" w:noVBand="1"/>
                  </w:tblPr>
                  <w:tblGrid>
                    <w:gridCol w:w="6379"/>
                    <w:gridCol w:w="3260"/>
                  </w:tblGrid>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spacing w:line="254" w:lineRule="auto"/>
                          <w:rPr>
                            <w:b/>
                            <w:bCs/>
                            <w:szCs w:val="24"/>
                            <w:lang w:eastAsia="lt-LT"/>
                          </w:rPr>
                        </w:pPr>
                        <w:r>
                          <w:rPr>
                            <w:b/>
                            <w:bCs/>
                            <w:szCs w:val="24"/>
                            <w:lang w:eastAsia="lt-LT"/>
                          </w:rPr>
                          <w:t>Asignavimų valdytojas</w:t>
                        </w:r>
                      </w:p>
                    </w:tc>
                    <w:tc>
                      <w:tcPr>
                        <w:tcW w:w="3260" w:type="dxa"/>
                        <w:tcBorders>
                          <w:top w:val="single" w:sz="4" w:space="0" w:color="auto"/>
                          <w:left w:val="nil"/>
                          <w:bottom w:val="single" w:sz="4" w:space="0" w:color="auto"/>
                          <w:right w:val="single" w:sz="4" w:space="0" w:color="auto"/>
                        </w:tcBorders>
                      </w:tcPr>
                      <w:p>
                        <w:pPr>
                          <w:spacing w:line="254" w:lineRule="auto"/>
                          <w:jc w:val="center"/>
                          <w:rPr>
                            <w:b/>
                            <w:bCs/>
                            <w:szCs w:val="24"/>
                            <w:lang w:eastAsia="lt-LT"/>
                          </w:rPr>
                        </w:pPr>
                        <w:r>
                          <w:rPr>
                            <w:b/>
                            <w:bCs/>
                            <w:szCs w:val="24"/>
                            <w:lang w:eastAsia="lt-LT"/>
                          </w:rPr>
                          <w:t>Iš viso Eur</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Lizdeikos gimnazija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23 060,00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Šeduvos gimnazija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12 109,00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Baisogalos gimnazija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4 317,00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Šiaulėnų Marcelino Šikšnio gimnazija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670,00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Sidabravo pagrindinė mokykla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2 690,00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Grinkiškio Jono Poderio pagrindinė mokykla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2 730,00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Alksniupių pagrindinė mokykla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730,00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Vinco Kudirkos progimnazija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3 420,00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Vaižganto progimnazija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8 705,00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Gražinos pagrindinė mokykla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24 170,00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Baisogalos mokykla-darželis</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3 190,00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lopšelis-darželis „Kregždutė“</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1 200,00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lopšelis-darželis „Žvaigždutė“</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3 120,00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muzikos mokykla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 xml:space="preserve">1 070,00 </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dailės mokykla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1 760,00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Kutiškių daugiafunkcis centras</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350,00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savivaldybės Švietimo ir sporto paslaugų centras</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8 260,00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socialinių paslaugų centras</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7 050,00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kultūros centras</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3 000,00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viešoji biblioteka</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1 340,00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Šeduvos kultūros ir amatų centras</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11 000,00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rPr>
                            <w:szCs w:val="24"/>
                            <w:lang w:eastAsia="lt-LT"/>
                          </w:rPr>
                        </w:pPr>
                        <w:r>
                          <w:rPr>
                            <w:szCs w:val="24"/>
                            <w:lang w:eastAsia="lt-LT"/>
                          </w:rPr>
                          <w:t>Radviliškio r. Baisogalos kultūros centras</w:t>
                        </w:r>
                      </w:p>
                    </w:tc>
                    <w:tc>
                      <w:tcPr>
                        <w:tcW w:w="3260" w:type="dxa"/>
                        <w:tcBorders>
                          <w:top w:val="single" w:sz="4" w:space="0" w:color="auto"/>
                          <w:left w:val="nil"/>
                          <w:bottom w:val="single" w:sz="4" w:space="0" w:color="auto"/>
                          <w:right w:val="single" w:sz="4" w:space="0" w:color="auto"/>
                        </w:tcBorders>
                      </w:tcPr>
                      <w:p>
                        <w:pPr>
                          <w:spacing w:line="254" w:lineRule="auto"/>
                          <w:jc w:val="center"/>
                          <w:rPr>
                            <w:szCs w:val="24"/>
                            <w:lang w:eastAsia="lt-LT"/>
                          </w:rPr>
                        </w:pPr>
                        <w:r>
                          <w:rPr>
                            <w:szCs w:val="24"/>
                            <w:lang w:eastAsia="lt-LT"/>
                          </w:rPr>
                          <w:t>4 890,00</w:t>
                        </w:r>
                      </w:p>
                    </w:tc>
                  </w:tr>
                  <w:tr>
                    <w:trPr>
                      <w:trHeight w:val="300"/>
                    </w:trPr>
                    <w:tc>
                      <w:tcPr>
                        <w:tcW w:w="6379"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spacing w:line="254" w:lineRule="auto"/>
                          <w:jc w:val="right"/>
                          <w:rPr>
                            <w:b/>
                            <w:bCs/>
                            <w:szCs w:val="24"/>
                            <w:lang w:eastAsia="lt-LT"/>
                          </w:rPr>
                        </w:pPr>
                        <w:r>
                          <w:rPr>
                            <w:b/>
                            <w:bCs/>
                            <w:szCs w:val="24"/>
                            <w:lang w:eastAsia="lt-LT"/>
                          </w:rPr>
                          <w:t>Iš viso</w:t>
                        </w:r>
                      </w:p>
                    </w:tc>
                    <w:tc>
                      <w:tcPr>
                        <w:tcW w:w="3260" w:type="dxa"/>
                        <w:tcBorders>
                          <w:top w:val="single" w:sz="4" w:space="0" w:color="auto"/>
                          <w:left w:val="nil"/>
                          <w:bottom w:val="single" w:sz="4" w:space="0" w:color="auto"/>
                          <w:right w:val="single" w:sz="4" w:space="0" w:color="auto"/>
                        </w:tcBorders>
                      </w:tcPr>
                      <w:p>
                        <w:pPr>
                          <w:spacing w:line="254" w:lineRule="auto"/>
                          <w:jc w:val="center"/>
                          <w:rPr>
                            <w:b/>
                            <w:bCs/>
                            <w:szCs w:val="24"/>
                            <w:lang w:eastAsia="lt-LT"/>
                          </w:rPr>
                        </w:pPr>
                        <w:r>
                          <w:rPr>
                            <w:b/>
                            <w:bCs/>
                            <w:szCs w:val="24"/>
                            <w:lang w:eastAsia="lt-LT"/>
                          </w:rPr>
                          <w:t>128 831,00</w:t>
                        </w:r>
                      </w:p>
                    </w:tc>
                  </w:tr>
                </w:tbl>
                <w:p>
                  <w:pPr>
                    <w:spacing w:line="254" w:lineRule="auto"/>
                    <w:ind w:firstLine="709"/>
                    <w:jc w:val="both"/>
                    <w:rPr>
                      <w:szCs w:val="24"/>
                      <w:lang w:eastAsia="lt-LT"/>
                    </w:rPr>
                  </w:pPr>
                </w:p>
              </w:sdtContent>
            </w:sdt>
            <w:sdt>
              <w:sdtPr>
                <w:alias w:val="5 p."/>
                <w:tag w:val="part_919bb96774cc4e75b1086cb5a4747492"/>
                <w:lock w:val="sdtLocked"/>
                <w:richText/>
              </w:sdtPr>
              <w:sdtContent>
                <w:p>
                  <w:pPr>
                    <w:tabs>
                      <w:tab w:val="left" w:pos="0"/>
                    </w:tabs>
                    <w:spacing w:line="254" w:lineRule="auto"/>
                    <w:ind w:firstLine="709"/>
                    <w:jc w:val="both"/>
                    <w:rPr>
                      <w:bCs/>
                      <w:szCs w:val="24"/>
                      <w:shd w:val="clear" w:color="auto" w:fill="FFFFFF"/>
                    </w:rPr>
                  </w:pPr>
                  <w:sdt>
                    <w:sdtPr>
                      <w:alias w:val="Numeris"/>
                      <w:tag w:val="nr_919bb96774cc4e75b1086cb5a4747492"/>
                      <w:lock w:val="sdtLocked"/>
                      <w:richText/>
                    </w:sdtPr>
                    <w:sdtContent>
                      <w:r>
                        <w:rPr>
                          <w:bCs/>
                          <w:szCs w:val="24"/>
                          <w:shd w:val="clear" w:color="auto" w:fill="FFFFFF"/>
                        </w:rPr>
                        <w:t>5</w:t>
                      </w:r>
                    </w:sdtContent>
                  </w:sdt>
                  <w:r>
                    <w:rPr>
                      <w:bCs/>
                      <w:szCs w:val="24"/>
                      <w:shd w:val="clear" w:color="auto" w:fill="FFFFFF"/>
                    </w:rPr>
                    <w:t>. Tikslinami asignavimai pagal asignavimų valdytojus, programas, funkcinę ir ekonominę klasifikaciją, sąmatą:</w:t>
                  </w:r>
                </w:p>
                <w:p>
                  <w:pPr>
                    <w:rPr>
                      <w:sz w:val="14"/>
                      <w:szCs w:val="1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689"/>
                    <w:gridCol w:w="708"/>
                    <w:gridCol w:w="993"/>
                    <w:gridCol w:w="2976"/>
                    <w:gridCol w:w="1560"/>
                  </w:tblGrid>
                  <w:tr>
                    <w:trPr>
                      <w:tblHeader/>
                    </w:trPr>
                    <w:tc>
                      <w:tcPr>
                        <w:tcW w:w="567" w:type="dxa"/>
                        <w:tcBorders>
                          <w:bottom w:val="single" w:sz="4" w:space="0" w:color="auto"/>
                        </w:tcBorders>
                        <w:shd w:val="clear" w:color="auto" w:fill="auto"/>
                      </w:tcPr>
                      <w:p>
                        <w:pPr>
                          <w:spacing w:line="254" w:lineRule="auto"/>
                          <w:jc w:val="both"/>
                          <w:rPr>
                            <w:b/>
                            <w:bCs/>
                            <w:sz w:val="20"/>
                          </w:rPr>
                        </w:pPr>
                        <w:r>
                          <w:rPr>
                            <w:b/>
                            <w:bCs/>
                            <w:sz w:val="20"/>
                          </w:rPr>
                          <w:t>Eil. Nr.</w:t>
                        </w:r>
                      </w:p>
                    </w:tc>
                    <w:tc>
                      <w:tcPr>
                        <w:tcW w:w="2689" w:type="dxa"/>
                        <w:tcBorders>
                          <w:bottom w:val="single" w:sz="4" w:space="0" w:color="auto"/>
                        </w:tcBorders>
                        <w:shd w:val="clear" w:color="auto" w:fill="auto"/>
                      </w:tcPr>
                      <w:p>
                        <w:pPr>
                          <w:spacing w:line="254" w:lineRule="auto"/>
                          <w:jc w:val="both"/>
                          <w:rPr>
                            <w:b/>
                            <w:bCs/>
                            <w:sz w:val="20"/>
                          </w:rPr>
                        </w:pPr>
                        <w:r>
                          <w:rPr>
                            <w:b/>
                            <w:bCs/>
                            <w:sz w:val="20"/>
                          </w:rPr>
                          <w:t>Asignavimų valdytojas/ finansavimo šaltinis</w:t>
                        </w:r>
                      </w:p>
                    </w:tc>
                    <w:tc>
                      <w:tcPr>
                        <w:tcW w:w="708" w:type="dxa"/>
                        <w:tcBorders>
                          <w:bottom w:val="single" w:sz="4" w:space="0" w:color="auto"/>
                        </w:tcBorders>
                        <w:shd w:val="clear" w:color="auto" w:fill="auto"/>
                      </w:tcPr>
                      <w:p>
                        <w:pPr>
                          <w:spacing w:line="254" w:lineRule="auto"/>
                          <w:jc w:val="both"/>
                          <w:rPr>
                            <w:b/>
                            <w:bCs/>
                            <w:sz w:val="20"/>
                          </w:rPr>
                        </w:pPr>
                        <w:r>
                          <w:rPr>
                            <w:b/>
                            <w:bCs/>
                            <w:sz w:val="20"/>
                          </w:rPr>
                          <w:t>Programa</w:t>
                        </w:r>
                      </w:p>
                    </w:tc>
                    <w:tc>
                      <w:tcPr>
                        <w:tcW w:w="993" w:type="dxa"/>
                        <w:shd w:val="clear" w:color="auto" w:fill="auto"/>
                      </w:tcPr>
                      <w:p>
                        <w:pPr>
                          <w:spacing w:line="254" w:lineRule="auto"/>
                          <w:jc w:val="both"/>
                          <w:rPr>
                            <w:b/>
                            <w:bCs/>
                            <w:sz w:val="20"/>
                          </w:rPr>
                        </w:pPr>
                        <w:r>
                          <w:rPr>
                            <w:b/>
                            <w:bCs/>
                            <w:sz w:val="20"/>
                          </w:rPr>
                          <w:t>Fun-kcinė klasi-fikacija</w:t>
                        </w:r>
                      </w:p>
                    </w:tc>
                    <w:tc>
                      <w:tcPr>
                        <w:tcW w:w="2976" w:type="dxa"/>
                        <w:shd w:val="clear" w:color="auto" w:fill="auto"/>
                      </w:tcPr>
                      <w:p>
                        <w:pPr>
                          <w:spacing w:line="254" w:lineRule="auto"/>
                          <w:jc w:val="center"/>
                          <w:rPr>
                            <w:b/>
                            <w:bCs/>
                            <w:sz w:val="20"/>
                          </w:rPr>
                        </w:pPr>
                        <w:r>
                          <w:rPr>
                            <w:b/>
                            <w:bCs/>
                            <w:sz w:val="20"/>
                          </w:rPr>
                          <w:t>Ekonominė klasifikacija/sąmata</w:t>
                        </w:r>
                      </w:p>
                    </w:tc>
                    <w:tc>
                      <w:tcPr>
                        <w:tcW w:w="1560" w:type="dxa"/>
                        <w:shd w:val="clear" w:color="auto" w:fill="auto"/>
                      </w:tcPr>
                      <w:p>
                        <w:pPr>
                          <w:spacing w:line="254" w:lineRule="auto"/>
                          <w:ind w:right="315"/>
                          <w:jc w:val="both"/>
                          <w:rPr>
                            <w:b/>
                            <w:bCs/>
                            <w:sz w:val="20"/>
                          </w:rPr>
                        </w:pPr>
                        <w:r>
                          <w:rPr>
                            <w:b/>
                            <w:bCs/>
                            <w:sz w:val="20"/>
                          </w:rPr>
                          <w:t>Tikslinama suma (+,-)</w:t>
                        </w:r>
                      </w:p>
                    </w:tc>
                  </w:tr>
                  <w:tr>
                    <w:trPr>
                      <w:trHeight w:val="615"/>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1.</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administracija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Nevyriausybinių organizacijų veiklų rėmimas</w:t>
                        </w:r>
                      </w:p>
                    </w:tc>
                    <w:tc>
                      <w:tcPr>
                        <w:tcW w:w="1560" w:type="dxa"/>
                        <w:shd w:val="clear" w:color="auto" w:fill="auto"/>
                      </w:tcPr>
                      <w:p>
                        <w:pPr>
                          <w:spacing w:line="254" w:lineRule="auto"/>
                          <w:ind w:right="315"/>
                          <w:jc w:val="center"/>
                          <w:rPr>
                            <w:sz w:val="22"/>
                            <w:szCs w:val="22"/>
                          </w:rPr>
                        </w:pPr>
                        <w:r>
                          <w:rPr>
                            <w:sz w:val="22"/>
                            <w:szCs w:val="22"/>
                          </w:rPr>
                          <w:t>20 000,00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 xml:space="preserve">Prisidėjimas prie Radviliškio miesto garbės piliečio V. T. antkapinio paminklo pastatymo </w:t>
                        </w:r>
                      </w:p>
                    </w:tc>
                    <w:tc>
                      <w:tcPr>
                        <w:tcW w:w="1560" w:type="dxa"/>
                        <w:shd w:val="clear" w:color="auto" w:fill="auto"/>
                      </w:tcPr>
                      <w:p>
                        <w:pPr>
                          <w:spacing w:line="254" w:lineRule="auto"/>
                          <w:ind w:right="315"/>
                          <w:jc w:val="center"/>
                          <w:rPr>
                            <w:sz w:val="22"/>
                            <w:szCs w:val="22"/>
                          </w:rPr>
                        </w:pPr>
                        <w:r>
                          <w:rPr>
                            <w:sz w:val="22"/>
                            <w:szCs w:val="22"/>
                          </w:rPr>
                          <w:t>4 000,00</w:t>
                        </w:r>
                      </w:p>
                    </w:tc>
                  </w:tr>
                  <w:tr>
                    <w:trPr>
                      <w:trHeight w:val="615"/>
                    </w:trPr>
                    <w:tc>
                      <w:tcPr>
                        <w:tcW w:w="567" w:type="dxa"/>
                        <w:tcBorders>
                          <w:top w:val="nil"/>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Prisidėjimas prie Radviliškio r. kultūros įstaigų vykdomų projektų</w:t>
                        </w:r>
                      </w:p>
                    </w:tc>
                    <w:tc>
                      <w:tcPr>
                        <w:tcW w:w="1560" w:type="dxa"/>
                        <w:shd w:val="clear" w:color="auto" w:fill="auto"/>
                      </w:tcPr>
                      <w:p>
                        <w:pPr>
                          <w:spacing w:line="254" w:lineRule="auto"/>
                          <w:ind w:right="315"/>
                          <w:jc w:val="center"/>
                          <w:rPr>
                            <w:sz w:val="22"/>
                            <w:szCs w:val="22"/>
                          </w:rPr>
                        </w:pPr>
                        <w:r>
                          <w:rPr>
                            <w:sz w:val="22"/>
                            <w:szCs w:val="22"/>
                          </w:rPr>
                          <w:t>-36 058,00</w:t>
                        </w:r>
                      </w:p>
                    </w:tc>
                  </w:tr>
                  <w:tr>
                    <w:trPr>
                      <w:trHeight w:val="615"/>
                    </w:trPr>
                    <w:tc>
                      <w:tcPr>
                        <w:tcW w:w="567" w:type="dxa"/>
                        <w:shd w:val="clear" w:color="auto" w:fill="auto"/>
                      </w:tcPr>
                      <w:p>
                        <w:pPr>
                          <w:spacing w:line="254" w:lineRule="auto"/>
                          <w:jc w:val="both"/>
                          <w:rPr>
                            <w:sz w:val="22"/>
                            <w:szCs w:val="22"/>
                          </w:rPr>
                        </w:pPr>
                        <w:r>
                          <w:rPr>
                            <w:sz w:val="22"/>
                            <w:szCs w:val="22"/>
                          </w:rPr>
                          <w:t>2.</w:t>
                        </w:r>
                      </w:p>
                    </w:tc>
                    <w:tc>
                      <w:tcPr>
                        <w:tcW w:w="2689" w:type="dxa"/>
                        <w:tcBorders>
                          <w:top w:val="single" w:sz="4" w:space="0" w:color="auto"/>
                          <w:bottom w:val="single" w:sz="4" w:space="0" w:color="auto"/>
                        </w:tcBorders>
                        <w:shd w:val="clear" w:color="auto" w:fill="auto"/>
                      </w:tcPr>
                      <w:p>
                        <w:pPr>
                          <w:spacing w:line="254" w:lineRule="auto"/>
                          <w:ind w:firstLine="57"/>
                          <w:rPr>
                            <w:sz w:val="22"/>
                            <w:szCs w:val="22"/>
                          </w:rPr>
                        </w:pPr>
                        <w:r>
                          <w:rPr>
                            <w:sz w:val="22"/>
                            <w:szCs w:val="22"/>
                          </w:rPr>
                          <w:t>Radviliškio miesto kultūros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lang w:val="en-US"/>
                          </w:rPr>
                        </w:pPr>
                        <w:r>
                          <w:rPr>
                            <w:sz w:val="22"/>
                            <w:szCs w:val="22"/>
                          </w:rPr>
                          <w:t xml:space="preserve">Prisidėjimas prie projektų programos „Tolygi kultūrinė raida“ finansavimo (30 </w:t>
                        </w:r>
                        <w:r>
                          <w:rPr>
                            <w:sz w:val="22"/>
                            <w:szCs w:val="22"/>
                            <w:lang w:val="en-US"/>
                          </w:rPr>
                          <w:t>%), srities „Scenos menai“</w:t>
                        </w:r>
                        <w:r>
                          <w:rPr>
                            <w:sz w:val="22"/>
                            <w:szCs w:val="22"/>
                          </w:rPr>
                          <w:t xml:space="preserve"> </w:t>
                        </w:r>
                        <w:r>
                          <w:rPr>
                            <w:sz w:val="22"/>
                            <w:szCs w:val="22"/>
                            <w:lang w:val="en-US"/>
                          </w:rPr>
                          <w:t>finansavimo (10 %)</w:t>
                        </w:r>
                      </w:p>
                    </w:tc>
                    <w:tc>
                      <w:tcPr>
                        <w:tcW w:w="1560" w:type="dxa"/>
                        <w:shd w:val="clear" w:color="auto" w:fill="auto"/>
                      </w:tcPr>
                      <w:p>
                        <w:pPr>
                          <w:spacing w:line="254" w:lineRule="auto"/>
                          <w:ind w:right="315"/>
                          <w:jc w:val="center"/>
                          <w:rPr>
                            <w:sz w:val="22"/>
                            <w:szCs w:val="22"/>
                          </w:rPr>
                        </w:pPr>
                        <w:r>
                          <w:rPr>
                            <w:sz w:val="22"/>
                            <w:szCs w:val="22"/>
                          </w:rPr>
                          <w:t>12 158,00</w:t>
                        </w:r>
                      </w:p>
                    </w:tc>
                  </w:tr>
                  <w:tr>
                    <w:trPr>
                      <w:trHeight w:val="615"/>
                    </w:trPr>
                    <w:tc>
                      <w:tcPr>
                        <w:tcW w:w="567" w:type="dxa"/>
                        <w:shd w:val="clear" w:color="auto" w:fill="auto"/>
                      </w:tcPr>
                      <w:p>
                        <w:pPr>
                          <w:spacing w:line="254" w:lineRule="auto"/>
                          <w:jc w:val="both"/>
                          <w:rPr>
                            <w:sz w:val="22"/>
                            <w:szCs w:val="22"/>
                          </w:rPr>
                        </w:pPr>
                        <w:r>
                          <w:rPr>
                            <w:sz w:val="22"/>
                            <w:szCs w:val="22"/>
                          </w:rPr>
                          <w:t>3.</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Baisogalos kultūros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 xml:space="preserve">08 </w:t>
                        </w:r>
                      </w:p>
                    </w:tc>
                    <w:tc>
                      <w:tcPr>
                        <w:tcW w:w="2976" w:type="dxa"/>
                        <w:shd w:val="clear" w:color="auto" w:fill="auto"/>
                      </w:tcPr>
                      <w:p>
                        <w:pPr>
                          <w:spacing w:line="254" w:lineRule="auto"/>
                          <w:rPr>
                            <w:sz w:val="22"/>
                            <w:szCs w:val="22"/>
                          </w:rPr>
                        </w:pPr>
                        <w:r>
                          <w:rPr>
                            <w:sz w:val="22"/>
                            <w:szCs w:val="22"/>
                          </w:rPr>
                          <w:t>Prisidėjimas prie projektų programos „Tolygi kultūrinė raida“ finansavimo (30 %)</w:t>
                        </w:r>
                      </w:p>
                    </w:tc>
                    <w:tc>
                      <w:tcPr>
                        <w:tcW w:w="1560" w:type="dxa"/>
                        <w:shd w:val="clear" w:color="auto" w:fill="auto"/>
                      </w:tcPr>
                      <w:p>
                        <w:pPr>
                          <w:spacing w:line="254" w:lineRule="auto"/>
                          <w:ind w:right="315"/>
                          <w:jc w:val="center"/>
                          <w:rPr>
                            <w:sz w:val="22"/>
                            <w:szCs w:val="22"/>
                          </w:rPr>
                        </w:pPr>
                        <w:r>
                          <w:rPr>
                            <w:sz w:val="22"/>
                            <w:szCs w:val="22"/>
                          </w:rPr>
                          <w:t>6 429,00</w:t>
                        </w:r>
                      </w:p>
                    </w:tc>
                  </w:tr>
                  <w:tr>
                    <w:trPr>
                      <w:trHeight w:val="615"/>
                    </w:trPr>
                    <w:tc>
                      <w:tcPr>
                        <w:tcW w:w="567" w:type="dxa"/>
                        <w:shd w:val="clear" w:color="auto" w:fill="auto"/>
                      </w:tcPr>
                      <w:p>
                        <w:pPr>
                          <w:spacing w:line="254" w:lineRule="auto"/>
                          <w:jc w:val="both"/>
                          <w:rPr>
                            <w:sz w:val="22"/>
                            <w:szCs w:val="22"/>
                          </w:rPr>
                        </w:pPr>
                        <w:r>
                          <w:rPr>
                            <w:sz w:val="22"/>
                            <w:szCs w:val="22"/>
                          </w:rPr>
                          <w:t>4.</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viešoji biblioteka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Prisidėjimas prie projektų programos „Tolygi kultūrinė raida“ finansavimo (30 %)</w:t>
                        </w:r>
                      </w:p>
                    </w:tc>
                    <w:tc>
                      <w:tcPr>
                        <w:tcW w:w="1560" w:type="dxa"/>
                        <w:shd w:val="clear" w:color="auto" w:fill="auto"/>
                      </w:tcPr>
                      <w:p>
                        <w:pPr>
                          <w:spacing w:line="254" w:lineRule="auto"/>
                          <w:ind w:right="315"/>
                          <w:jc w:val="center"/>
                          <w:rPr>
                            <w:sz w:val="22"/>
                            <w:szCs w:val="22"/>
                          </w:rPr>
                        </w:pPr>
                        <w:r>
                          <w:rPr>
                            <w:sz w:val="22"/>
                            <w:szCs w:val="22"/>
                          </w:rPr>
                          <w:t>6 857,00</w:t>
                        </w:r>
                      </w:p>
                    </w:tc>
                  </w:tr>
                  <w:tr>
                    <w:trPr>
                      <w:trHeight w:val="615"/>
                    </w:trPr>
                    <w:tc>
                      <w:tcPr>
                        <w:tcW w:w="567" w:type="dxa"/>
                        <w:shd w:val="clear" w:color="auto" w:fill="auto"/>
                      </w:tcPr>
                      <w:p>
                        <w:pPr>
                          <w:spacing w:line="254" w:lineRule="auto"/>
                          <w:jc w:val="both"/>
                          <w:rPr>
                            <w:sz w:val="22"/>
                            <w:szCs w:val="22"/>
                          </w:rPr>
                        </w:pPr>
                        <w:r>
                          <w:rPr>
                            <w:sz w:val="22"/>
                            <w:szCs w:val="22"/>
                          </w:rPr>
                          <w:t>5.</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Daugyvenės kultūros istorijos muziejus-draustinis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Prisidėjimas prie projektų programos „Tolygi kultūrinė raida“ finansavimo (30 %)</w:t>
                        </w:r>
                      </w:p>
                    </w:tc>
                    <w:tc>
                      <w:tcPr>
                        <w:tcW w:w="1560" w:type="dxa"/>
                        <w:shd w:val="clear" w:color="auto" w:fill="auto"/>
                      </w:tcPr>
                      <w:p>
                        <w:pPr>
                          <w:spacing w:line="254" w:lineRule="auto"/>
                          <w:ind w:right="315"/>
                          <w:jc w:val="center"/>
                          <w:rPr>
                            <w:sz w:val="22"/>
                            <w:szCs w:val="22"/>
                          </w:rPr>
                        </w:pPr>
                        <w:r>
                          <w:rPr>
                            <w:sz w:val="22"/>
                            <w:szCs w:val="22"/>
                          </w:rPr>
                          <w:t>4 614,00</w:t>
                        </w:r>
                      </w:p>
                    </w:tc>
                  </w:tr>
                  <w:tr>
                    <w:trPr>
                      <w:trHeight w:val="615"/>
                    </w:trPr>
                    <w:tc>
                      <w:tcPr>
                        <w:tcW w:w="567" w:type="dxa"/>
                        <w:shd w:val="clear" w:color="auto" w:fill="auto"/>
                      </w:tcPr>
                      <w:p>
                        <w:pPr>
                          <w:spacing w:line="254" w:lineRule="auto"/>
                          <w:jc w:val="both"/>
                          <w:rPr>
                            <w:sz w:val="22"/>
                            <w:szCs w:val="22"/>
                          </w:rPr>
                        </w:pPr>
                        <w:r>
                          <w:rPr>
                            <w:sz w:val="22"/>
                            <w:szCs w:val="22"/>
                          </w:rPr>
                          <w:t>6.</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Šeduvos kultūros ir amatų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Prisidėjimas prie projektų programos „Tolygi kultūrinė raida“ finansavimo (30 %)</w:t>
                        </w:r>
                      </w:p>
                    </w:tc>
                    <w:tc>
                      <w:tcPr>
                        <w:tcW w:w="1560" w:type="dxa"/>
                        <w:shd w:val="clear" w:color="auto" w:fill="auto"/>
                      </w:tcPr>
                      <w:p>
                        <w:pPr>
                          <w:spacing w:line="254" w:lineRule="auto"/>
                          <w:ind w:right="315"/>
                          <w:jc w:val="center"/>
                          <w:rPr>
                            <w:sz w:val="22"/>
                            <w:szCs w:val="22"/>
                          </w:rPr>
                        </w:pPr>
                        <w:r>
                          <w:rPr>
                            <w:sz w:val="22"/>
                            <w:szCs w:val="22"/>
                          </w:rPr>
                          <w:t>6 000,00</w:t>
                        </w:r>
                      </w:p>
                    </w:tc>
                  </w:tr>
                  <w:tr>
                    <w:trPr>
                      <w:trHeight w:val="615"/>
                    </w:trPr>
                    <w:tc>
                      <w:tcPr>
                        <w:tcW w:w="567" w:type="dxa"/>
                        <w:shd w:val="clear" w:color="auto" w:fill="auto"/>
                      </w:tcPr>
                      <w:p>
                        <w:pPr>
                          <w:spacing w:line="254" w:lineRule="auto"/>
                          <w:jc w:val="both"/>
                          <w:rPr>
                            <w:sz w:val="22"/>
                            <w:szCs w:val="22"/>
                          </w:rPr>
                        </w:pPr>
                        <w:r>
                          <w:rPr>
                            <w:sz w:val="22"/>
                            <w:szCs w:val="22"/>
                          </w:rPr>
                          <w:t>7.</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savivaldybės administracijos Finansų skyrius (SB)</w:t>
                        </w:r>
                      </w:p>
                    </w:tc>
                    <w:tc>
                      <w:tcPr>
                        <w:tcW w:w="708" w:type="dxa"/>
                        <w:shd w:val="clear" w:color="auto" w:fill="auto"/>
                      </w:tcPr>
                      <w:p>
                        <w:pPr>
                          <w:spacing w:line="254" w:lineRule="auto"/>
                          <w:jc w:val="both"/>
                          <w:rPr>
                            <w:sz w:val="22"/>
                            <w:szCs w:val="22"/>
                          </w:rPr>
                        </w:pPr>
                        <w:r>
                          <w:rPr>
                            <w:sz w:val="22"/>
                            <w:szCs w:val="22"/>
                          </w:rPr>
                          <w:t>01</w:t>
                        </w:r>
                      </w:p>
                    </w:tc>
                    <w:tc>
                      <w:tcPr>
                        <w:tcW w:w="993" w:type="dxa"/>
                        <w:shd w:val="clear" w:color="auto" w:fill="auto"/>
                      </w:tcPr>
                      <w:p>
                        <w:pPr>
                          <w:spacing w:line="254" w:lineRule="auto"/>
                          <w:jc w:val="both"/>
                          <w:rPr>
                            <w:sz w:val="22"/>
                            <w:szCs w:val="22"/>
                          </w:rPr>
                        </w:pPr>
                        <w:r>
                          <w:rPr>
                            <w:sz w:val="22"/>
                            <w:szCs w:val="22"/>
                          </w:rPr>
                          <w:t>01</w:t>
                        </w:r>
                      </w:p>
                    </w:tc>
                    <w:tc>
                      <w:tcPr>
                        <w:tcW w:w="2976" w:type="dxa"/>
                        <w:shd w:val="clear" w:color="auto" w:fill="auto"/>
                      </w:tcPr>
                      <w:p>
                        <w:pPr>
                          <w:spacing w:line="254" w:lineRule="auto"/>
                          <w:rPr>
                            <w:sz w:val="22"/>
                            <w:szCs w:val="22"/>
                          </w:rPr>
                        </w:pPr>
                        <w:r>
                          <w:rPr>
                            <w:sz w:val="22"/>
                            <w:szCs w:val="22"/>
                          </w:rPr>
                          <w:t xml:space="preserve">Iždo paskolų dengimo, palūkanų mokėjimo ir banko paslaugų išlaidos </w:t>
                        </w:r>
                      </w:p>
                    </w:tc>
                    <w:tc>
                      <w:tcPr>
                        <w:tcW w:w="1560" w:type="dxa"/>
                        <w:shd w:val="clear" w:color="auto" w:fill="auto"/>
                      </w:tcPr>
                      <w:p>
                        <w:pPr>
                          <w:spacing w:line="254" w:lineRule="auto"/>
                          <w:ind w:right="315"/>
                          <w:jc w:val="center"/>
                          <w:rPr>
                            <w:sz w:val="22"/>
                            <w:szCs w:val="22"/>
                          </w:rPr>
                        </w:pPr>
                        <w:r>
                          <w:rPr>
                            <w:sz w:val="22"/>
                            <w:szCs w:val="22"/>
                          </w:rPr>
                          <w:t>-24 000,00</w:t>
                        </w:r>
                      </w:p>
                    </w:tc>
                  </w:tr>
                </w:tbl>
                <w:p>
                  <w:pPr>
                    <w:tabs>
                      <w:tab w:val="left" w:pos="0"/>
                    </w:tabs>
                    <w:spacing w:line="254" w:lineRule="auto"/>
                    <w:ind w:firstLine="709"/>
                    <w:jc w:val="both"/>
                    <w:rPr>
                      <w:bCs/>
                      <w:szCs w:val="24"/>
                      <w:shd w:val="clear" w:color="auto" w:fill="FFFFFF"/>
                    </w:rPr>
                  </w:pPr>
                </w:p>
                <w:p>
                  <w:pPr>
                    <w:rPr>
                      <w:sz w:val="14"/>
                      <w:szCs w:val="14"/>
                    </w:rPr>
                  </w:pPr>
                </w:p>
                <w:p>
                  <w:pPr>
                    <w:tabs>
                      <w:tab w:val="left" w:pos="0"/>
                    </w:tabs>
                    <w:spacing w:line="254" w:lineRule="auto"/>
                    <w:ind w:firstLine="709"/>
                    <w:jc w:val="both"/>
                    <w:rPr>
                      <w:bCs/>
                      <w:szCs w:val="24"/>
                      <w:shd w:val="clear" w:color="auto" w:fill="FFFFFF"/>
                    </w:rPr>
                  </w:pPr>
                </w:p>
                <w:p>
                  <w:pPr>
                    <w:rPr>
                      <w:sz w:val="14"/>
                      <w:szCs w:val="14"/>
                    </w:rPr>
                  </w:pPr>
                </w:p>
              </w:sdtContent>
            </w:sdt>
            <w:sdt>
              <w:sdtPr>
                <w:alias w:val="12 p."/>
                <w:tag w:val="part_2510492095a048c9b21b4236b09177eb"/>
                <w:lock w:val="sdtLocked"/>
                <w:richText/>
              </w:sdtPr>
              <w:sdtContent>
                <w:p>
                  <w:pPr>
                    <w:tabs>
                      <w:tab w:val="left" w:pos="0"/>
                    </w:tabs>
                    <w:spacing w:line="254" w:lineRule="auto"/>
                    <w:ind w:firstLine="709"/>
                    <w:jc w:val="both"/>
                    <w:rPr>
                      <w:b/>
                      <w:szCs w:val="24"/>
                      <w:shd w:val="clear" w:color="auto" w:fill="FFFFFF"/>
                    </w:rPr>
                  </w:pPr>
                  <w:sdt>
                    <w:sdtPr>
                      <w:alias w:val="Numeris"/>
                      <w:tag w:val="nr_2510492095a048c9b21b4236b09177eb"/>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sdtContent>
            </w:sdt>
          </w:sdtContent>
        </w:sdt>
        <w:sdt>
          <w:sdtPr>
            <w:alias w:val="skirsnis"/>
            <w:tag w:val="part_e0b5592929e34cdba0ffa43805251b7a"/>
            <w:lock w:val="sdtLocked"/>
            <w:richText/>
          </w:sdtPr>
          <w:sdtContent>
            <w:p>
              <w:pPr>
                <w:tabs>
                  <w:tab w:val="left" w:pos="0"/>
                </w:tabs>
                <w:spacing w:line="254" w:lineRule="auto"/>
                <w:ind w:firstLine="771"/>
                <w:jc w:val="both"/>
                <w:rPr>
                  <w:b/>
                  <w:szCs w:val="24"/>
                  <w:shd w:val="clear" w:color="auto" w:fill="FFFFFF"/>
                </w:rPr>
              </w:pPr>
              <w:sdt>
                <w:sdtPr>
                  <w:alias w:val="Pavadinimas"/>
                  <w:tag w:val="title_e0b5592929e34cdba0ffa43805251b7a"/>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Cs/>
                  <w:szCs w:val="24"/>
                  <w:shd w:val="clear" w:color="auto" w:fill="FFFFFF"/>
                </w:rPr>
              </w:pPr>
              <w:r>
                <w:rPr>
                  <w:bCs/>
                  <w:szCs w:val="24"/>
                  <w:shd w:val="clear" w:color="auto" w:fill="FFFFFF"/>
                </w:rPr>
                <w:t>Pajamų pokytis:</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54</w:t>
                    </w:r>
                  </w:p>
                </w:tc>
                <w:tc>
                  <w:tcPr>
                    <w:tcW w:w="4330" w:type="dxa"/>
                    <w:tcBorders>
                      <w:top w:val="single" w:sz="4" w:space="0" w:color="auto"/>
                      <w:left w:val="nil"/>
                      <w:bottom w:val="single" w:sz="4" w:space="0" w:color="auto"/>
                      <w:right w:val="single" w:sz="4" w:space="0" w:color="auto"/>
                    </w:tcBorders>
                    <w:shd w:val="clear" w:color="auto" w:fill="auto"/>
                  </w:tcPr>
                  <w:p>
                    <w:pPr>
                      <w:jc w:val="both"/>
                      <w:rPr>
                        <w:sz w:val="18"/>
                        <w:szCs w:val="18"/>
                      </w:rPr>
                    </w:pPr>
                    <w:r>
                      <w:rPr>
                        <w:sz w:val="18"/>
                        <w:szCs w:val="18"/>
                      </w:rPr>
                      <w:t>Valstybės biudžeto lėšos, skirtos būstams pritaikyti asmenims su negalia</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62 164,85 €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21 549,15 €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83 714,00 €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57</w:t>
                    </w:r>
                  </w:p>
                </w:tc>
                <w:tc>
                  <w:tcPr>
                    <w:tcW w:w="4330" w:type="dxa"/>
                    <w:tcBorders>
                      <w:top w:val="single" w:sz="4" w:space="0" w:color="auto"/>
                      <w:left w:val="nil"/>
                      <w:bottom w:val="single" w:sz="4" w:space="0" w:color="auto"/>
                      <w:right w:val="single" w:sz="4" w:space="0" w:color="auto"/>
                    </w:tcBorders>
                    <w:shd w:val="clear" w:color="auto" w:fill="auto"/>
                  </w:tcPr>
                  <w:p>
                    <w:pPr>
                      <w:jc w:val="both"/>
                      <w:rPr>
                        <w:sz w:val="18"/>
                        <w:szCs w:val="18"/>
                      </w:rPr>
                    </w:pPr>
                    <w:r>
                      <w:rPr>
                        <w:sz w:val="18"/>
                        <w:szCs w:val="18"/>
                      </w:rPr>
                      <w:t>Projektas „Ankstyvojo ugdymo užtikrinimas vaikams iš socialinę riziką patiriančių šeimų“</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76 591,08 €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76 591,08 €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58</w:t>
                    </w:r>
                  </w:p>
                </w:tc>
                <w:tc>
                  <w:tcPr>
                    <w:tcW w:w="4330" w:type="dxa"/>
                    <w:tcBorders>
                      <w:top w:val="single" w:sz="4" w:space="0" w:color="auto"/>
                      <w:left w:val="nil"/>
                      <w:bottom w:val="single" w:sz="4" w:space="0" w:color="auto"/>
                      <w:right w:val="single" w:sz="4" w:space="0" w:color="auto"/>
                    </w:tcBorders>
                    <w:shd w:val="clear" w:color="auto" w:fill="auto"/>
                  </w:tcPr>
                  <w:p>
                    <w:pPr>
                      <w:jc w:val="both"/>
                      <w:rPr>
                        <w:sz w:val="18"/>
                        <w:szCs w:val="18"/>
                      </w:rPr>
                    </w:pPr>
                    <w:r>
                      <w:rPr>
                        <w:sz w:val="18"/>
                        <w:szCs w:val="18"/>
                      </w:rPr>
                      <w:t>Valstybės biudžeto lėšos, skirtos mokinių, atvykusių į Lietuvos Respubliką iš Ukrainos ugdymo pagal ikimokyklinio, priešmokyklinio ir bendrojo ugdymo programas, reikmėms finansuoti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100 600,00 €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100 600,00 €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59</w:t>
                    </w:r>
                  </w:p>
                </w:tc>
                <w:tc>
                  <w:tcPr>
                    <w:tcW w:w="4330" w:type="dxa"/>
                    <w:tcBorders>
                      <w:top w:val="single" w:sz="4" w:space="0" w:color="auto"/>
                      <w:left w:val="nil"/>
                      <w:bottom w:val="single" w:sz="4" w:space="0" w:color="auto"/>
                      <w:right w:val="single" w:sz="4" w:space="0" w:color="auto"/>
                    </w:tcBorders>
                    <w:shd w:val="clear" w:color="auto" w:fill="auto"/>
                  </w:tcPr>
                  <w:p>
                    <w:pPr>
                      <w:jc w:val="both"/>
                      <w:rPr>
                        <w:sz w:val="18"/>
                        <w:szCs w:val="18"/>
                      </w:rPr>
                    </w:pPr>
                    <w:r>
                      <w:rPr>
                        <w:sz w:val="18"/>
                        <w:szCs w:val="18"/>
                      </w:rPr>
                      <w:t>Valstybės biudžeto lėšos, skirtos profesiniam orientavimui (karjeros specialisto funkcijai)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97 199,00 €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97 199,00 €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60</w:t>
                    </w:r>
                  </w:p>
                </w:tc>
                <w:tc>
                  <w:tcPr>
                    <w:tcW w:w="4330" w:type="dxa"/>
                    <w:tcBorders>
                      <w:top w:val="single" w:sz="4" w:space="0" w:color="auto"/>
                      <w:left w:val="nil"/>
                      <w:bottom w:val="single" w:sz="4" w:space="0" w:color="auto"/>
                      <w:right w:val="single" w:sz="4" w:space="0" w:color="auto"/>
                    </w:tcBorders>
                    <w:shd w:val="clear" w:color="auto" w:fill="auto"/>
                  </w:tcPr>
                  <w:p>
                    <w:pPr>
                      <w:jc w:val="both"/>
                      <w:rPr>
                        <w:sz w:val="18"/>
                        <w:szCs w:val="18"/>
                      </w:rPr>
                    </w:pPr>
                    <w:r>
                      <w:rPr>
                        <w:sz w:val="18"/>
                        <w:szCs w:val="18"/>
                      </w:rPr>
                      <w:t>Savivaldybėms vietinės reikšmės keliams (gatvėms) tiesti, taisyti, prižiūrėti ir saugaus eismo sąlygoms užtikrinti (KPP lėšos)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2 600 000,00 €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1 025 900,00 €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3 625 900,00 €</w:t>
                    </w:r>
                  </w:p>
                </w:tc>
              </w:tr>
              <w:tr>
                <w:trPr>
                  <w:trHeight w:val="492"/>
                </w:trPr>
                <w:tc>
                  <w:tcPr>
                    <w:tcW w:w="704" w:type="dxa"/>
                    <w:tcBorders>
                      <w:top w:val="single" w:sz="4" w:space="0" w:color="auto"/>
                      <w:left w:val="single" w:sz="4" w:space="0" w:color="auto"/>
                      <w:bottom w:val="single" w:sz="4" w:space="0" w:color="auto"/>
                    </w:tcBorders>
                    <w:shd w:val="clear" w:color="auto" w:fill="auto"/>
                  </w:tcPr>
                  <w:p>
                    <w:pPr>
                      <w:rPr>
                        <w:sz w:val="20"/>
                      </w:rPr>
                    </w:pPr>
                  </w:p>
                </w:tc>
                <w:tc>
                  <w:tcPr>
                    <w:tcW w:w="4330" w:type="dxa"/>
                    <w:tcBorders>
                      <w:top w:val="single" w:sz="4" w:space="0" w:color="auto"/>
                      <w:bottom w:val="single" w:sz="4" w:space="0" w:color="auto"/>
                      <w:right w:val="single" w:sz="4" w:space="0" w:color="auto"/>
                    </w:tcBorders>
                    <w:shd w:val="clear" w:color="auto" w:fill="auto"/>
                  </w:tcPr>
                  <w:p>
                    <w:pPr>
                      <w:jc w:val="right"/>
                      <w:rPr>
                        <w:sz w:val="22"/>
                        <w:szCs w:val="22"/>
                      </w:rPr>
                    </w:pPr>
                  </w:p>
                  <w:p>
                    <w:pPr>
                      <w:jc w:val="right"/>
                      <w:rPr>
                        <w:sz w:val="22"/>
                        <w:szCs w:val="22"/>
                      </w:rPr>
                    </w:pPr>
                    <w:r>
                      <w:rPr>
                        <w:sz w:val="22"/>
                        <w:szCs w:val="22"/>
                      </w:rPr>
                      <w:t>Iš viso</w:t>
                    </w:r>
                  </w:p>
                </w:tc>
                <w:tc>
                  <w:tcPr>
                    <w:tcW w:w="1481" w:type="dxa"/>
                    <w:tcBorders>
                      <w:top w:val="single" w:sz="4" w:space="0" w:color="auto"/>
                      <w:left w:val="nil"/>
                      <w:bottom w:val="single" w:sz="4" w:space="0" w:color="auto"/>
                      <w:right w:val="single" w:sz="4" w:space="0" w:color="auto"/>
                    </w:tcBorders>
                    <w:shd w:val="clear" w:color="auto" w:fill="auto"/>
                    <w:noWrap/>
                  </w:tcPr>
                  <w:p>
                    <w:pPr>
                      <w:jc w:val="right"/>
                      <w:rPr>
                        <w:sz w:val="18"/>
                        <w:szCs w:val="18"/>
                      </w:rPr>
                    </w:pPr>
                  </w:p>
                  <w:p>
                    <w:pPr>
                      <w:jc w:val="right"/>
                      <w:rPr>
                        <w:sz w:val="18"/>
                        <w:szCs w:val="18"/>
                      </w:rPr>
                    </w:pPr>
                  </w:p>
                </w:tc>
                <w:tc>
                  <w:tcPr>
                    <w:tcW w:w="1480" w:type="dxa"/>
                    <w:tcBorders>
                      <w:top w:val="single" w:sz="4" w:space="0" w:color="auto"/>
                      <w:left w:val="nil"/>
                      <w:bottom w:val="single" w:sz="4" w:space="0" w:color="auto"/>
                      <w:right w:val="nil"/>
                    </w:tcBorders>
                    <w:shd w:val="clear" w:color="auto" w:fill="auto"/>
                    <w:noWrap/>
                  </w:tcPr>
                  <w:p>
                    <w:pPr>
                      <w:rPr>
                        <w:sz w:val="18"/>
                        <w:szCs w:val="18"/>
                      </w:rPr>
                    </w:pPr>
                  </w:p>
                  <w:p>
                    <w:pPr>
                      <w:rPr>
                        <w:sz w:val="18"/>
                        <w:szCs w:val="18"/>
                      </w:rPr>
                    </w:pPr>
                    <w:r>
                      <w:rPr>
                        <w:sz w:val="18"/>
                        <w:szCs w:val="18"/>
                      </w:rPr>
                      <w:t>1 321 839,23 €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ind w:firstLine="96"/>
                      <w:jc w:val="right"/>
                      <w:rPr>
                        <w:sz w:val="18"/>
                        <w:szCs w:val="18"/>
                      </w:rPr>
                    </w:pPr>
                  </w:p>
                  <w:p>
                    <w:pPr>
                      <w:jc w:val="right"/>
                      <w:rPr>
                        <w:sz w:val="18"/>
                        <w:szCs w:val="18"/>
                      </w:rPr>
                    </w:pPr>
                  </w:p>
                </w:tc>
              </w:tr>
            </w:tbl>
            <w:p>
              <w:pPr>
                <w:tabs>
                  <w:tab w:val="left" w:pos="0"/>
                </w:tabs>
                <w:spacing w:line="254" w:lineRule="auto"/>
                <w:ind w:firstLine="709"/>
                <w:jc w:val="both"/>
                <w:rPr>
                  <w:b/>
                  <w:szCs w:val="24"/>
                  <w:shd w:val="clear" w:color="auto" w:fill="FFFFFF"/>
                </w:rPr>
              </w:pPr>
            </w:p>
            <w:p>
              <w:pPr>
                <w:rPr>
                  <w:sz w:val="14"/>
                  <w:szCs w:val="14"/>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sdtContent>
        </w:sdt>
        <w:sdt>
          <w:sdtPr>
            <w:alias w:val="signatura"/>
            <w:tag w:val="part_22dbb387676d45f49649d461904ade33"/>
            <w:lock w:val="sdtLocked"/>
            <w:richText/>
          </w:sdtPr>
          <w:sdtContent>
            <w:tbl>
              <w:tblPr>
                <w:tblW w:w="9747" w:type="dxa"/>
                <w:tblLayout w:type="fixed"/>
                <w:tblLook w:val="04A0" w:firstRow="1" w:lastRow="0" w:firstColumn="1" w:lastColumn="0" w:noHBand="0" w:noVBand="1"/>
              </w:tblPr>
              <w:tblGrid>
                <w:gridCol w:w="421"/>
                <w:gridCol w:w="2381"/>
                <w:gridCol w:w="2438"/>
                <w:gridCol w:w="567"/>
                <w:gridCol w:w="1418"/>
                <w:gridCol w:w="1275"/>
                <w:gridCol w:w="1247"/>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patvirtinti </w:t>
                    </w:r>
                  </w:p>
                </w:tc>
                <w:tc>
                  <w:tcPr>
                    <w:tcW w:w="1275"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76 016,96  €</w:t>
                    </w:r>
                  </w:p>
                </w:tc>
                <w:tc>
                  <w:tcPr>
                    <w:tcW w:w="1275" w:type="dxa"/>
                    <w:tcBorders>
                      <w:top w:val="nil"/>
                      <w:left w:val="nil"/>
                      <w:bottom w:val="single" w:sz="4" w:space="0" w:color="auto"/>
                      <w:right w:val="nil"/>
                    </w:tcBorders>
                    <w:shd w:val="clear" w:color="auto" w:fill="auto"/>
                    <w:noWrap/>
                  </w:tcPr>
                  <w:p>
                    <w:pPr>
                      <w:rPr>
                        <w:sz w:val="18"/>
                        <w:szCs w:val="18"/>
                      </w:rPr>
                    </w:pPr>
                    <w:r>
                      <w:rPr>
                        <w:sz w:val="18"/>
                        <w:szCs w:val="18"/>
                      </w:rPr>
                      <w:t>76 845,77 €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828,81 €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 Finansų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459 000,00  €</w:t>
                    </w:r>
                  </w:p>
                </w:tc>
                <w:tc>
                  <w:tcPr>
                    <w:tcW w:w="1275" w:type="dxa"/>
                    <w:tcBorders>
                      <w:top w:val="nil"/>
                      <w:left w:val="nil"/>
                      <w:bottom w:val="single" w:sz="4" w:space="0" w:color="auto"/>
                      <w:right w:val="nil"/>
                    </w:tcBorders>
                    <w:shd w:val="clear" w:color="auto" w:fill="auto"/>
                    <w:noWrap/>
                  </w:tcPr>
                  <w:p>
                    <w:pPr>
                      <w:rPr>
                        <w:sz w:val="18"/>
                        <w:szCs w:val="18"/>
                      </w:rPr>
                    </w:pPr>
                    <w:r>
                      <w:rPr>
                        <w:sz w:val="18"/>
                        <w:szCs w:val="18"/>
                      </w:rPr>
                      <w:t>435 000,00 €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-24 000,00 €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220 383,00  €</w:t>
                    </w:r>
                  </w:p>
                </w:tc>
                <w:tc>
                  <w:tcPr>
                    <w:tcW w:w="1275" w:type="dxa"/>
                    <w:tcBorders>
                      <w:top w:val="nil"/>
                      <w:left w:val="nil"/>
                      <w:bottom w:val="single" w:sz="4" w:space="0" w:color="auto"/>
                      <w:right w:val="nil"/>
                    </w:tcBorders>
                    <w:shd w:val="clear" w:color="auto" w:fill="auto"/>
                    <w:noWrap/>
                  </w:tcPr>
                  <w:p>
                    <w:pPr>
                      <w:rPr>
                        <w:sz w:val="18"/>
                        <w:szCs w:val="18"/>
                      </w:rPr>
                    </w:pPr>
                    <w:r>
                      <w:rPr>
                        <w:sz w:val="18"/>
                        <w:szCs w:val="18"/>
                      </w:rPr>
                      <w:t>320 983,00 €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100 600,00 €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10 404,54 €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13 894,21 €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3 489,67 €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2 033,00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12 833,00 €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10 800,00 €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137 027,28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137 218,95 €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191,67 €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10 800,00 €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10 800,00 €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Alksniupių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5 617,51 €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5 617,51 €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Šeduvos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10 800,00 €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10 800,00 €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Baisogalos mokykla - 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8 085,76 €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8 085,76 €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lopšelis - darželis „Eglutė"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1 107,75 €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1 107,75 €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4 880,00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15 680,00 €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10 800,00 €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6 000,00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6 895,58 €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895,58 €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Šiaulėnų Marcelino Šikšnio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11 411,00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22 211,00 €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10 800,00 €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Šiaulėnų Marcelino Šikšnio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68 614,16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70 622,34 €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2 008,18 €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4 778,00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15 578,00 €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10 800,00 €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113 585,58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113 912,87 €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327,29 €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11 449,00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22 249,00 €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10 800,00 €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65 000,00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72 094,08 €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7 094,08 €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33 547,00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55 146,00 €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21 599,00 €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Grinkiškio J. Poderio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828,79 €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828,79 €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lopšelis-darželis  „Kregždutė“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13 396,64 €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13 396,64 €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5 247,13 €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5 247,13 €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Šeduvos lopšelis-darželis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8 139,11 €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8 139,11 €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lopšelis-darželis  „Žvaigždutė“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16 066,15 €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16 066,15 €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lopšelis-darželis  „Žvaigždutė“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43 421,00 €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47 516,70 €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4 095,77 €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1 729 087,89 €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749808,23 €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20 720,34 €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savivaldybės administracija </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KPP</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2 600 000,00€</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 625900,00 €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1025900,00 €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744 460,00€</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603 571,00 €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-140 889,00 €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23 060,00 €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23 060,00 €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Šeduvos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12 109,00 €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12 109,00 €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4 317,00 €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4 317,00 €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Šiaulėnų Marcelino Šikšnio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670,00 €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670,00 €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2 690,00 €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2 690,00 €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Grinkiškio J. Poderio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2 730,00 €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2 730,00 €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Alksniupių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730,00 €</w:t>
                    </w:r>
                  </w:p>
                </w:tc>
                <w:tc>
                  <w:tcPr>
                    <w:tcW w:w="1247" w:type="dxa"/>
                    <w:tcBorders>
                      <w:top w:val="nil"/>
                      <w:left w:val="single" w:sz="4" w:space="0" w:color="auto"/>
                      <w:bottom w:val="single" w:sz="4" w:space="0" w:color="auto"/>
                      <w:right w:val="single" w:sz="4" w:space="0" w:color="auto"/>
                    </w:tcBorders>
                    <w:shd w:val="clear" w:color="auto" w:fill="auto"/>
                    <w:noWrap/>
                  </w:tcPr>
                  <w:p>
                    <w:pPr>
                      <w:ind w:firstLine="48"/>
                      <w:jc w:val="right"/>
                      <w:rPr>
                        <w:sz w:val="18"/>
                        <w:szCs w:val="18"/>
                      </w:rPr>
                    </w:pPr>
                    <w:r>
                      <w:rPr>
                        <w:sz w:val="18"/>
                        <w:szCs w:val="18"/>
                      </w:rPr>
                      <w:t>730,00 €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3 420,00 €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3 420,00 €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w:t>
                    </w:r>
                    <w:r>
                      <w:rPr>
                        <w:sz w:val="22"/>
                        <w:szCs w:val="22"/>
                      </w:rPr>
                      <w:t xml:space="preserve"> </w:t>
                    </w:r>
                    <w:r>
                      <w:rPr>
                        <w:sz w:val="18"/>
                        <w:szCs w:val="18"/>
                      </w:rPr>
                      <w:t>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8 705,00 €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8 705,00 €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24 170,00 €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24 170,00 €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Baisogalos mokykla-darželis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3 190,00 €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3 190,00 €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lopšelis-darželis  „Kregždutė“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1 200,00 €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1 200,00 €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lopšelis-darželis  „Žvaigždutė“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3 120,00 €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3 120,00 €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muzikos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1 070,00 €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1 070,00 €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dailes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1 760,00 €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1 760,00 €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Kutiškių universalus daugiafunkcis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13 610,00 €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13 960,00 €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350,00 €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372 480,00 €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380 740,00 €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8 260,00 €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socialinių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7 050,00 €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7 050,00 €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miesto kultūros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1 400 000,00 €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415158,00 €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15 158,00 €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Daugyvenės kultūros istorijos muziejus-draustinis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665 000,00 €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669 614,00 €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4 614,00 €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viešoji biblioteka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1 329 000,00 €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337197,00 €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8 197,00 €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Baisogalos kultūros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475 000,00 €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486 319,00 €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11 319,00 €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Šeduvos kultūros ir amatų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528 000,00 €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545 000,00 €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17 000,00 €</w:t>
                    </w:r>
                  </w:p>
                </w:tc>
              </w:tr>
            </w:tbl>
            <w:p>
              <w:pPr>
                <w:spacing w:line="254" w:lineRule="auto"/>
                <w:ind w:firstLine="4101"/>
                <w:rPr>
                  <w:szCs w:val="24"/>
                </w:rPr>
              </w:pPr>
              <w:r>
                <w:rPr>
                  <w:color w:val="000000"/>
                  <w:sz w:val="20"/>
                </w:rPr>
                <w:t xml:space="preserve">Iš viso                                                                                1 321 839,23 €            </w:t>
              </w:r>
            </w:p>
            <w:p>
              <w:pPr>
                <w:rPr>
                  <w:sz w:val="14"/>
                  <w:szCs w:val="14"/>
                </w:rPr>
              </w:pPr>
            </w:p>
            <w:p>
              <w:pPr>
                <w:spacing w:line="254" w:lineRule="auto"/>
                <w:jc w:val="both"/>
                <w:rPr>
                  <w:szCs w:val="24"/>
                </w:rPr>
              </w:pPr>
            </w:p>
            <w:p>
              <w:pPr>
                <w:spacing w:line="254" w:lineRule="auto"/>
                <w:jc w:val="both"/>
                <w:rPr>
                  <w:szCs w:val="24"/>
                </w:rPr>
              </w:pPr>
            </w:p>
            <w:p>
              <w:pPr>
                <w:spacing w:line="254" w:lineRule="auto"/>
                <w:jc w:val="both"/>
                <w:rPr>
                  <w:szCs w:val="24"/>
                </w:rPr>
              </w:pPr>
            </w:p>
            <w:p>
              <w:pPr>
                <w:spacing w:line="254" w:lineRule="auto"/>
                <w:jc w:val="both"/>
                <w:rPr>
                  <w:szCs w:val="24"/>
                </w:rPr>
              </w:pPr>
              <w:r>
                <w:rPr>
                  <w:szCs w:val="24"/>
                </w:rPr>
                <w:t xml:space="preserve">Finansų skyriaus vedėja                                                                                               Lina Baškevičienė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cc6e1ca6b8a43cdb5e430fd63cb47fa" PartId="872c1475377d461da6a494879d4d457b">
    <Part Type="preambule" DocPartId="0876d3744dfa410da54e1cc4ab634c58" PartId="e52d8aae004342efb060480f95119d9f"/>
    <Part Type="pastraipa" DocPartId="a33c60ae9ad1461ba3d9b74c2f6a9329" PartId="e22b97aee7e641bca8c2957139584f3c"/>
    <Part Type="punktas" Nr="1" Abbr="1 p." DocPartId="d6fa69667096487893bd7b8dee267184" PartId="f6cd807143b746cfb35706e062789633">
      <Part Type="citata" DocPartId="308be866bd8e4347befaff9b80449066" PartId="cf26b871beb5423681997f1a9478e04b">
        <Part Type="papunktis" Nr="1.1" Abbr="1.1 pp." DocPartId="61a941f989674b4aaf2d21319df941c5" PartId="3510e7104b19465ba2d5621030d55cc4"/>
      </Part>
    </Part>
    <Part Type="punktas" Nr="2" Abbr="2 p." DocPartId="6637e7a9f1b04ca0b20dd9ce3587f932" PartId="e2f3841babf94ffaa5578c537e4a001f">
      <Part Type="citata" DocPartId="f6c8a65c3a8b41d5941de2f9d8767bd2" PartId="fefc78906db04c638b2e6c3b0bac4169">
        <Part Type="papunktis" Nr="1.2" Abbr="1.2 pp." DocPartId="22fe7d3e24a8439b85a8e4de963f9b16" PartId="160519a0ee3543afa9f7f642325afd94"/>
      </Part>
      <Part Type="pastraipa" DocPartId="d88eeff91b3d4a148d35246710609ec4" PartId="63fbd36338a4456bb3314965a0b2bad8"/>
    </Part>
    <Part Type="skirsnis" Title="RADVILIŠKIO RAJONO SAVIVALDYBĖS TARYBOS SPRENDIMO PROJEKTO „DĖL RADVILIŠKIO RAJONO SAVIVALDYBĖS TARYBOS 2025 M . VASARIO 13 D. SPRENDIMO NR. T-557 „DĖL RADVILIŠKIO RAJONO SAVIVALDYBĖS 2025-2027 METŲ BIUDŽETO PATVIRTINIMO“ PAKEITIMO“ AIŠKINAMASIS RAŠTAS" DocPartId="c6688f533391435fabb1ecb1448965fb" PartId="08c24190187541b0a626f886c6fb7a7b">
      <Part Type="punktas" Nr="1" Abbr="1 p." DocPartId="442d74044a0b42f59d7929c26939359d" PartId="a25fff815b8c4ba998d366769b2a9f79"/>
      <Part Type="punktas" Nr="2" Abbr="2 p." DocPartId="8ad328c3aac5463e956501b20ee3dc3d" PartId="1dbcb1e1d0d14923a32d22fbd3d2c93e"/>
      <Part Type="punktas" Nr="3" Abbr="3 p." DocPartId="a8e7333701c846eeac9ed357be643d14" PartId="8b445ad0718f4dbf8ab646d96360ed0b"/>
      <Part Type="punktas" Nr="4" Abbr="4 p." DocPartId="690a8cd2cdb143faad0fe111e15bbf6c" PartId="f06645cfb5e94431bce779e3d11cc396"/>
      <Part Type="punktas" Nr="5" Abbr="5 p." DocPartId="e5fb1ea3e6724c6a9b5625cd0fdb4999" PartId="2df107c38b964d5594a8d7357e998206"/>
      <Part Type="punktas" Nr="6" Abbr="6 p." DocPartId="f908f75198bd4909acfb349b9a06d3ed" PartId="74ea1cdc61194188b0000a8867208f86"/>
      <Part Type="punktas" Nr="7" Abbr="7 p." DocPartId="aced41cc9d0747b6a67efa03ab1f90e5" PartId="b0e552d2e06244c9beb26a89151bdb11"/>
      <Part Type="punktas" Nr="8" Abbr="8 p." DocPartId="0735a35d34d54351a284b143e84295aa" PartId="77a4aef7d490455eb17c074c83f8e93a"/>
      <Part Type="punktas" Nr="9" Abbr="9 p." DocPartId="1319074fd1b04f5a91d0704b44103613" PartId="f790248cc14e427eb6c9a36ad413bd43"/>
      <Part Type="punktas" Nr="10" Abbr="10 p." DocPartId="3359b91657804bc299c8148041c57652" PartId="326c5c8041ef422d92ad726c8673a8df"/>
      <Part Type="punktas" Nr="11" Abbr="11 p." DocPartId="980f25e25bf840979696723089bce71d" PartId="395943503787448fabb15bc02153b071"/>
      <Part Type="punktas" Nr="1" Abbr="1 p." Notes="Numeris ne iš eilės. Trūksta dalių? [DocDalys]" DocPartId="7aea6076c3d54aeaad19889b0f54de5d" PartId="94172c946c49454293e111a91f967f4d">
        <Part Type="papunktis" Nr="1.1" Abbr="1.1 pp." DocPartId="3b8ee3318c2e4d77a861a3f885674d13" PartId="41f89dc582bc4ea3ab0aa6951220d2a9"/>
        <Part Type="papunktis" Nr="1.2" Abbr="1.2 pp." DocPartId="eae2fd91aaa54fee921fb9dc101849c5" PartId="e89c36c524bc49d983c858b3fb9e3f74"/>
        <Part Type="papunktis" Nr="1.3" Abbr="1.3 pp." DocPartId="8b32eb2ad9aa4883af530b493996ff05" PartId="aec93e6ba83a4dc2b2aa51ee25636fe9"/>
        <Part Type="papunktis" Nr="1.4" Abbr="1.4 pp." DocPartId="3a44392cd563482389e7c2d1fd7167e0" PartId="7d2197da56944d5c9876831625a63d2e"/>
        <Part Type="papunktis" Nr="1.5" Abbr="1.5 pp." DocPartId="4a2ea26755d347a3978d6a043af6707e" PartId="e9082250eaec4d8ebc75edeccc7a5ee6"/>
        <Part Type="papunktis" Nr="1.6" Abbr="1.6 pp." DocPartId="3ea6cee4d8f841a3889e11ed9ab640fd" PartId="9b04c7b9b4c64671901997ec05d5f745"/>
      </Part>
      <Part Type="punktas" Nr="2" Abbr="2 p." DocPartId="9f6dc21e20354a4f86fe76669e2ef027" PartId="6c59ea6d249946fabead84df3725d464">
        <Part Type="papunktis" Nr="2.1" Abbr="2.1 pp." DocPartId="285406cd3b25427092c43ae5bd594e3f" PartId="05a2a7edc6114325a617a8485eab2375">
          <Part Type="papunktis" Nr="2.1.1" Abbr="2.1.1 pp." DocPartId="08eff490508849609e7b285cff8daac2" PartId="ea5a1b8271dd493d8b0da0bd8bd58712"/>
          <Part Type="papunktis" Nr="2.1.2" Abbr="2.1.2 pp." DocPartId="4890cf4010be49d892e639f5df7a102c" PartId="7d95fd9a4258480fbd7895612ef1d862"/>
          <Part Type="papunktis" Nr="2.1.3" Abbr="2.1.3 pp." DocPartId="16dcfe34c6894141a7e2a05b79dc5006" PartId="c9960af1c9904fb0ba771b634346ed68"/>
        </Part>
        <Part Type="papunktis" Nr="2.2" Abbr="2.2 pp." DocPartId="51b5e3b13dac47bb89e1aed6ff1f0380" PartId="eb76dd09d6174eefaa8ad4060eeae232">
          <Part Type="papunktis" Nr="2.2.1" Abbr="2.2.1 pp." DocPartId="9131cb1609644f4b98fc11624f19e0b8" PartId="ddc834dfd2ef4c7ca94d0e1dc4ae8de4"/>
        </Part>
        <Part Type="papunktis" Nr="2.3" Abbr="2.3 pp." DocPartId="b253e15670d143e9996ff542980cdda5" PartId="9c0659ebd51549919b81e851286c49d0"/>
        <Part Type="papunktis" Nr="2.4" Abbr="2.4 pp." DocPartId="ca0b0bd10fe449f7aa54a95c40c6fe23" PartId="27c641831a1b44e0ad2f2c96fe4fe0a5"/>
        <Part Type="papunktis" Nr="2.5" Abbr="2.5 pp." DocPartId="5e1d5420a24247ec9227d5534d980ace" PartId="077dbbc32f464cf583bb47b309ade696"/>
      </Part>
      <Part Type="punktas" Nr="3" Abbr="3 p." DocPartId="edde1256cf2a4415b5e48cd0349d3d9a" PartId="7b76d366fcc6478d9cedd384f8109680"/>
      <Part Type="punktas" Nr="4" Abbr="4 p." DocPartId="da95fb6d29a44e269cfbfc6af71b403b" PartId="641fa7680aac4b28b41ad1478ede082e"/>
      <Part Type="punktas" Nr="5" Abbr="5 p." DocPartId="19d186ede8d74552a3e84de41a409987" PartId="919bb96774cc4e75b1086cb5a4747492"/>
      <Part Type="punktas" Nr="12" Abbr="12 p." Notes="Numeris ne iš eilės. Trūksta dalių? [DocDalys]" DocPartId="b2a18ed2b3df4a87a36856378dc03dc1" PartId="2510492095a048c9b21b4236b09177eb"/>
    </Part>
    <Part Type="skirsnis" Title="Lyginamasis variantas." DocPartId="e59789e2c4df44849421abcead1e0750" PartId="e0b5592929e34cdba0ffa43805251b7a"/>
    <Part Type="signatura" DocPartId="aa2c040c67d74bed97c71dd21f09ddd7" PartId="22dbb387676d45f49649d461904ade33"/>
  </Part>
</Parts>
</file>

<file path=customXml/itemProps1.xml><?xml version="1.0" encoding="utf-8"?>
<ds:datastoreItem xmlns:ds="http://schemas.openxmlformats.org/officeDocument/2006/customXml" ds:itemID="{23F1489D-0324-4831-B822-F510FDBE66A8}">
  <ds:schemaRefs>
    <ds:schemaRef ds:uri="http://schemas.openxmlformats.org/officeDocument/2006/bibliography"/>
  </ds:schemaRefs>
</ds:datastoreItem>
</file>

<file path=customXml/itemProps2.xml><?xml version="1.0" encoding="utf-8"?>
<ds:datastoreItem xmlns:ds="http://schemas.openxmlformats.org/officeDocument/2006/customXml" ds:itemID="{4D484AD4-20F4-4A2F-90E5-A017BE650C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3185</Words>
  <Characters>20448</Characters>
  <Application>Microsoft Office Word</Application>
  <DocSecurity>4</DocSecurity>
  <Lines>1076</Lines>
  <Paragraphs>738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22895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2025-04-15T07:59:00Z</dcterms:created>
  <dc:creator>Rita Chlebauskienė</dc:creator>
  <lastModifiedBy>adlibuser</lastModifiedBy>
  <lastPrinted>2025-04-07T08:35:00Z</lastPrinted>
  <dcterms:modified xsi:type="dcterms:W3CDTF">2025-04-15T07:59:00Z</dcterms:modified>
  <revision>2</revision>
</coreProperties>
</file>