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f6ae3e0a4984a0f8993cfcfb70a195b"/>
        <w:lock w:val="sdtLocked"/>
        <w:richText/>
      </w:sdtPr>
      <w:sdtContent>
        <w:p>
          <w:pPr>
            <w:ind w:left="6480" w:firstLine="1296"/>
            <w:rPr>
              <w:rFonts w:eastAsia="Calibri"/>
              <w:b/>
              <w:bCs/>
              <w:szCs w:val="24"/>
            </w:rPr>
          </w:pPr>
          <w:r>
            <w:rPr>
              <w:rFonts w:eastAsia="Calibri"/>
              <w:b/>
              <w:bCs/>
              <w:szCs w:val="24"/>
            </w:rPr>
            <w:t>Projektas</w:t>
          </w:r>
        </w:p>
        <w:p>
          <w:pPr>
            <w:ind w:left="6480" w:firstLine="1296"/>
            <w:rPr>
              <w:szCs w:val="24"/>
              <w:lang w:val="en-US" w:eastAsia="lt-LT"/>
            </w:rPr>
          </w:pPr>
          <w:r>
            <w:rPr>
              <w:szCs w:val="24"/>
              <w:lang w:eastAsia="lt-LT"/>
            </w:rPr>
            <w:t>Nr. TSP-</w:t>
          </w:r>
        </w:p>
        <w:p>
          <w:pPr>
            <w:jc w:val="center"/>
            <w:rPr>
              <w:sz w:val="22"/>
              <w:szCs w:val="22"/>
            </w:rPr>
          </w:pPr>
        </w:p>
        <w:p>
          <w:pPr>
            <w:keepNext/>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bCs/>
              <w:szCs w:val="24"/>
            </w:rPr>
          </w:pPr>
          <w:r>
            <w:rPr>
              <w:b/>
              <w:bCs/>
              <w:szCs w:val="24"/>
            </w:rPr>
            <w:t>DĖL RADVILIŠKIO RAJONO SAVIVALDYBĖS VIEŠOSIOS BIBLIOTEKOS TEIKIAMŲ VIEŠŲJŲ PASLAUGŲ SĄRAŠO IR KAINŲ PAKEITIMO</w:t>
          </w:r>
        </w:p>
        <w:p>
          <w:pPr>
            <w:jc w:val="center"/>
            <w:rPr>
              <w:b/>
              <w:bCs/>
              <w:szCs w:val="24"/>
            </w:rPr>
          </w:pPr>
        </w:p>
        <w:p>
          <w:pPr>
            <w:jc w:val="center"/>
            <w:rPr>
              <w:szCs w:val="24"/>
            </w:rPr>
          </w:pPr>
          <w:r>
            <w:rPr>
              <w:szCs w:val="24"/>
            </w:rPr>
            <w:t xml:space="preserve">2025 m.                        d. Nr. T-</w:t>
          </w:r>
        </w:p>
        <w:p>
          <w:pPr>
            <w:jc w:val="center"/>
            <w:rPr>
              <w:szCs w:val="24"/>
            </w:rPr>
          </w:pPr>
          <w:r>
            <w:rPr>
              <w:szCs w:val="24"/>
            </w:rPr>
            <w:t>Radviliškis</w:t>
          </w:r>
        </w:p>
        <w:p>
          <w:pPr>
            <w:jc w:val="center"/>
            <w:rPr>
              <w:sz w:val="22"/>
              <w:szCs w:val="22"/>
            </w:rPr>
          </w:pPr>
        </w:p>
        <w:sdt>
          <w:sdtPr>
            <w:alias w:val="preambule"/>
            <w:tag w:val="part_b22f97998422421dbbe70b460a795cf5"/>
            <w:lock w:val="sdtLocked"/>
            <w:richText/>
          </w:sdtPr>
          <w:sdtContent>
            <w:p>
              <w:pPr>
                <w:ind w:firstLine="709"/>
                <w:jc w:val="both"/>
              </w:pPr>
              <w:r>
                <w:rPr>
                  <w:kern w:val="3"/>
                  <w:lang w:eastAsia="hi-IN" w:bidi="hi-IN"/>
                </w:rPr>
                <w:t xml:space="preserve">Radviliškio rajono savivaldybės taryba </w:t>
              </w:r>
              <w:r>
                <w:rPr>
                  <w:spacing w:val="50"/>
                  <w:kern w:val="3"/>
                  <w:lang w:eastAsia="hi-IN" w:bidi="hi-IN"/>
                </w:rPr>
                <w:t>nusprendži</w:t>
              </w:r>
              <w:r>
                <w:rPr>
                  <w:kern w:val="3"/>
                  <w:lang w:eastAsia="hi-IN" w:bidi="hi-IN"/>
                </w:rPr>
                <w:t>a:</w:t>
              </w:r>
            </w:p>
          </w:sdtContent>
        </w:sdt>
        <w:sdt>
          <w:sdtPr>
            <w:alias w:val="pastraipa"/>
            <w:tag w:val="part_bc9eff846f5f475e8083bb2ae8b5ebfb"/>
            <w:lock w:val="sdtLocked"/>
            <w:richText/>
          </w:sdtPr>
          <w:sdtContent>
            <w:p>
              <w:pPr>
                <w:tabs>
                  <w:tab w:val="left" w:pos="709"/>
                </w:tabs>
                <w:overflowPunct w:val="0"/>
                <w:spacing w:line="276" w:lineRule="auto"/>
                <w:ind w:right="-22" w:firstLine="709"/>
                <w:jc w:val="both"/>
                <w:rPr>
                  <w:kern w:val="3"/>
                  <w:lang w:eastAsia="hi-IN" w:bidi="hi-IN"/>
                </w:rPr>
              </w:pPr>
              <w:r>
                <w:rPr>
                  <w:kern w:val="3"/>
                  <w:lang w:eastAsia="hi-IN" w:bidi="hi-IN"/>
                </w:rPr>
                <w:t>Pakeisti Radviliškio rajono savivaldybės viešosios bibliotekos teikiamų viešųjų paslaugų sąrašą ir kainas, patvirtintas Radviliškio rajono savivaldybės tarybos 2024 m. balandžio 11 d. sprendimu Nr. T-331 „Dėl Radviliškio rajono savivaldybės viešosios bibliotekos teikiamų viešųjų paslaugų sąrašo ir kainų nustatymo patvirtinimo“ (pridedama).</w:t>
              </w:r>
            </w:p>
            <w:p>
              <w:pPr>
                <w:tabs>
                  <w:tab w:val="left" w:pos="709"/>
                </w:tabs>
              </w:pPr>
            </w:p>
            <w:p>
              <w:pPr>
                <w:tabs>
                  <w:tab w:val="left" w:pos="709"/>
                </w:tabs>
                <w:overflowPunct w:val="0"/>
                <w:spacing w:line="276" w:lineRule="auto"/>
                <w:ind w:right="-143"/>
                <w:jc w:val="both"/>
              </w:pPr>
            </w:p>
          </w:sdtContent>
        </w:sdt>
        <w:sdt>
          <w:sdtPr>
            <w:alias w:val="signatura"/>
            <w:tag w:val="part_92deb81463e943d29e73964fc20bea59"/>
            <w:lock w:val="sdtLocked"/>
            <w:richText/>
          </w:sdtPr>
          <w:sdtContent>
            <w:p>
              <w:r>
                <w:rPr>
                  <w:szCs w:val="24"/>
                </w:rPr>
                <w:t xml:space="preserve">Savivaldybės meras </w:t>
                <w:tab/>
                <w:tab/>
                <w:tab/>
                <w:tab/>
                <w:t xml:space="preserve">               </w:t>
              </w: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sdtContent>
        </w:sdt>
      </w:sdtContent>
    </w:sdt>
    <w:sdt>
      <w:sdtPr>
        <w:alias w:val="patvirtinta"/>
        <w:tag w:val="part_c6330308610a4aff810fbb45c065f5f7"/>
        <w:lock w:val="sdtLocked"/>
        <w:richText/>
      </w:sdtPr>
      <w:sdtContent>
        <w:p>
          <w:pPr>
            <w:ind w:left="3888" w:firstLine="1296"/>
          </w:pPr>
          <w:r>
            <w:t>PATVIRTINTA</w:t>
          </w:r>
        </w:p>
        <w:p>
          <w:pPr>
            <w:ind w:left="3888" w:firstLine="1296"/>
          </w:pPr>
          <w:r>
            <w:t>Radviliškio rajono savivaldybės tarybos</w:t>
          </w:r>
        </w:p>
        <w:p>
          <w:pPr>
            <w:ind w:left="3888" w:firstLine="1296"/>
          </w:pPr>
          <w:r>
            <w:t>2024 m. balandžio 11 d. sprendimu Nr. T-331</w:t>
          </w:r>
        </w:p>
        <w:p>
          <w:pPr>
            <w:ind w:left="3888" w:firstLine="1296"/>
          </w:pPr>
          <w:r>
            <w:t xml:space="preserve">(2025 m. rugpjūčio       d. sprendimo Nr. T-</w:t>
          </w:r>
        </w:p>
        <w:p>
          <w:pPr>
            <w:ind w:left="3888" w:firstLine="1296"/>
          </w:pPr>
          <w:r>
            <w:t>redakcija)</w:t>
          </w:r>
        </w:p>
        <w:p>
          <w:pPr>
            <w:jc w:val="center"/>
          </w:pPr>
        </w:p>
        <w:p>
          <w:pPr>
            <w:jc w:val="center"/>
            <w:rPr>
              <w:b/>
              <w:bCs/>
              <w:szCs w:val="24"/>
              <w:lang w:eastAsia="lt-LT"/>
            </w:rPr>
          </w:pPr>
          <w:sdt>
            <w:sdtPr>
              <w:alias w:val="Pavadinimas"/>
              <w:tag w:val="title_c6330308610a4aff810fbb45c065f5f7"/>
              <w:lock w:val="sdtLocked"/>
              <w:richText/>
            </w:sdtPr>
            <w:sdtContent>
              <w:r>
                <w:rPr>
                  <w:b/>
                  <w:bCs/>
                  <w:szCs w:val="24"/>
                  <w:lang w:eastAsia="lt-LT"/>
                </w:rPr>
                <w:t xml:space="preserve">RADVILIŠKIO </w:t>
              </w:r>
              <w:r>
                <w:rPr>
                  <w:b/>
                </w:rPr>
                <w:t xml:space="preserve">RAJONO SAVIVALDYBĖS VIEŠOSIOS BIBLIOTEKOS </w:t>
              </w:r>
              <w:r>
                <w:rPr>
                  <w:b/>
                  <w:bCs/>
                  <w:szCs w:val="24"/>
                  <w:lang w:eastAsia="lt-LT"/>
                </w:rPr>
                <w:t xml:space="preserve">TEIKIAMŲ </w:t>
              </w:r>
              <w:r>
                <w:rPr>
                  <w:b/>
                  <w:bCs/>
                  <w:color w:val="000000"/>
                  <w:szCs w:val="24"/>
                  <w:lang w:eastAsia="lt-LT"/>
                </w:rPr>
                <w:t xml:space="preserve">VIEŠŲJŲ </w:t>
              </w:r>
              <w:r>
                <w:rPr>
                  <w:b/>
                  <w:bCs/>
                  <w:szCs w:val="24"/>
                  <w:lang w:eastAsia="lt-LT"/>
                </w:rPr>
                <w:t>PASLAUGŲ SĄRAŠAS IR KAINOS</w:t>
              </w:r>
            </w:sdtContent>
          </w:sdt>
        </w:p>
        <w:p>
          <w:pPr>
            <w:ind w:firstLine="720"/>
            <w:jc w:val="center"/>
            <w:rPr>
              <w:b/>
              <w:szCs w:val="24"/>
              <w:lang w:eastAsia="lt-L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7"/>
            <w:gridCol w:w="3225"/>
            <w:gridCol w:w="2442"/>
            <w:gridCol w:w="2384"/>
          </w:tblGrid>
          <w:tr>
            <w:trPr>
              <w:trHeight w:val="271"/>
              <w:jc w:val="center"/>
            </w:trPr>
            <w:tc>
              <w:tcPr>
                <w:tcW w:w="1117" w:type="dxa"/>
              </w:tcPr>
              <w:p>
                <w:pPr>
                  <w:jc w:val="center"/>
                  <w:rPr>
                    <w:szCs w:val="24"/>
                  </w:rPr>
                </w:pPr>
                <w:r>
                  <w:rPr>
                    <w:szCs w:val="24"/>
                  </w:rPr>
                  <w:t>Eil. Nr.</w:t>
                </w:r>
              </w:p>
            </w:tc>
            <w:tc>
              <w:tcPr>
                <w:tcW w:w="3225" w:type="dxa"/>
              </w:tcPr>
              <w:p>
                <w:pPr>
                  <w:jc w:val="center"/>
                  <w:rPr>
                    <w:szCs w:val="24"/>
                  </w:rPr>
                </w:pPr>
                <w:r>
                  <w:rPr>
                    <w:szCs w:val="24"/>
                  </w:rPr>
                  <w:t>Paslaugos pavadinimas</w:t>
                </w:r>
              </w:p>
            </w:tc>
            <w:tc>
              <w:tcPr>
                <w:tcW w:w="2442" w:type="dxa"/>
              </w:tcPr>
              <w:p>
                <w:pPr>
                  <w:jc w:val="center"/>
                  <w:rPr>
                    <w:szCs w:val="24"/>
                  </w:rPr>
                </w:pPr>
                <w:r>
                  <w:rPr>
                    <w:szCs w:val="24"/>
                  </w:rPr>
                  <w:t>Kiekis</w:t>
                </w:r>
              </w:p>
            </w:tc>
            <w:tc>
              <w:tcPr>
                <w:tcW w:w="2384" w:type="dxa"/>
              </w:tcPr>
              <w:p>
                <w:pPr>
                  <w:jc w:val="center"/>
                  <w:rPr>
                    <w:szCs w:val="24"/>
                  </w:rPr>
                </w:pPr>
                <w:r>
                  <w:rPr>
                    <w:szCs w:val="24"/>
                  </w:rPr>
                  <w:t>Kaina, Eur</w:t>
                </w:r>
              </w:p>
            </w:tc>
          </w:tr>
          <w:tr>
            <w:trPr>
              <w:trHeight w:val="271"/>
              <w:jc w:val="center"/>
            </w:trPr>
            <w:tc>
              <w:tcPr>
                <w:tcW w:w="1117" w:type="dxa"/>
              </w:tcPr>
              <w:p>
                <w:pPr>
                  <w:jc w:val="center"/>
                  <w:rPr>
                    <w:szCs w:val="24"/>
                  </w:rPr>
                </w:pPr>
                <w:r>
                  <w:rPr>
                    <w:szCs w:val="24"/>
                  </w:rPr>
                  <w:t>1.</w:t>
                </w:r>
              </w:p>
            </w:tc>
            <w:tc>
              <w:tcPr>
                <w:tcW w:w="8051" w:type="dxa"/>
                <w:gridSpan w:val="3"/>
              </w:tcPr>
              <w:p>
                <w:pPr>
                  <w:rPr>
                    <w:b/>
                    <w:szCs w:val="24"/>
                  </w:rPr>
                </w:pPr>
                <w:r>
                  <w:rPr>
                    <w:b/>
                    <w:szCs w:val="24"/>
                  </w:rPr>
                  <w:t xml:space="preserve">Nespalvotas  kopijavimas/spausdinimas</w:t>
                </w:r>
              </w:p>
            </w:tc>
          </w:tr>
          <w:tr>
            <w:trPr>
              <w:trHeight w:val="286"/>
              <w:jc w:val="center"/>
            </w:trPr>
            <w:tc>
              <w:tcPr>
                <w:tcW w:w="1117" w:type="dxa"/>
              </w:tcPr>
              <w:p>
                <w:pPr>
                  <w:jc w:val="center"/>
                  <w:rPr>
                    <w:szCs w:val="24"/>
                  </w:rPr>
                </w:pPr>
                <w:r>
                  <w:rPr>
                    <w:szCs w:val="24"/>
                  </w:rPr>
                  <w:t>1.1.</w:t>
                </w:r>
              </w:p>
            </w:tc>
            <w:tc>
              <w:tcPr>
                <w:tcW w:w="3225" w:type="dxa"/>
              </w:tcPr>
              <w:p>
                <w:pPr>
                  <w:rPr>
                    <w:szCs w:val="24"/>
                  </w:rPr>
                </w:pPr>
                <w:r>
                  <w:rPr>
                    <w:szCs w:val="24"/>
                  </w:rPr>
                  <w:t>A4 formatas</w:t>
                </w:r>
              </w:p>
            </w:tc>
            <w:tc>
              <w:tcPr>
                <w:tcW w:w="2442" w:type="dxa"/>
              </w:tcPr>
              <w:p>
                <w:pPr>
                  <w:jc w:val="center"/>
                  <w:rPr>
                    <w:szCs w:val="24"/>
                  </w:rPr>
                </w:pPr>
                <w:r>
                  <w:rPr>
                    <w:szCs w:val="24"/>
                  </w:rPr>
                  <w:t>1 kopija</w:t>
                </w:r>
              </w:p>
            </w:tc>
            <w:tc>
              <w:tcPr>
                <w:tcW w:w="2384" w:type="dxa"/>
              </w:tcPr>
              <w:p>
                <w:pPr>
                  <w:jc w:val="center"/>
                  <w:rPr>
                    <w:b/>
                    <w:szCs w:val="24"/>
                  </w:rPr>
                </w:pPr>
                <w:r>
                  <w:rPr>
                    <w:b/>
                    <w:szCs w:val="24"/>
                  </w:rPr>
                  <w:t>0,20</w:t>
                </w:r>
              </w:p>
            </w:tc>
          </w:tr>
          <w:tr>
            <w:trPr>
              <w:trHeight w:val="271"/>
              <w:jc w:val="center"/>
            </w:trPr>
            <w:tc>
              <w:tcPr>
                <w:tcW w:w="1117" w:type="dxa"/>
              </w:tcPr>
              <w:p>
                <w:pPr>
                  <w:jc w:val="center"/>
                  <w:rPr>
                    <w:szCs w:val="24"/>
                  </w:rPr>
                </w:pPr>
                <w:r>
                  <w:rPr>
                    <w:szCs w:val="24"/>
                  </w:rPr>
                  <w:t>1.2.</w:t>
                </w:r>
              </w:p>
            </w:tc>
            <w:tc>
              <w:tcPr>
                <w:tcW w:w="3225" w:type="dxa"/>
              </w:tcPr>
              <w:p>
                <w:pPr>
                  <w:rPr>
                    <w:szCs w:val="24"/>
                  </w:rPr>
                </w:pPr>
                <w:r>
                  <w:rPr>
                    <w:szCs w:val="24"/>
                  </w:rPr>
                  <w:t>A3 formatas</w:t>
                </w:r>
              </w:p>
            </w:tc>
            <w:tc>
              <w:tcPr>
                <w:tcW w:w="2442" w:type="dxa"/>
              </w:tcPr>
              <w:p>
                <w:pPr>
                  <w:jc w:val="center"/>
                  <w:rPr>
                    <w:szCs w:val="24"/>
                  </w:rPr>
                </w:pPr>
                <w:r>
                  <w:rPr>
                    <w:szCs w:val="24"/>
                  </w:rPr>
                  <w:t>1 kopija</w:t>
                </w:r>
              </w:p>
            </w:tc>
            <w:tc>
              <w:tcPr>
                <w:tcW w:w="2384" w:type="dxa"/>
              </w:tcPr>
              <w:p>
                <w:pPr>
                  <w:jc w:val="center"/>
                  <w:rPr>
                    <w:b/>
                    <w:szCs w:val="24"/>
                  </w:rPr>
                </w:pPr>
                <w:r>
                  <w:rPr>
                    <w:b/>
                    <w:szCs w:val="24"/>
                  </w:rPr>
                  <w:t>0,30</w:t>
                </w:r>
              </w:p>
            </w:tc>
          </w:tr>
          <w:tr>
            <w:trPr>
              <w:trHeight w:val="813"/>
              <w:jc w:val="center"/>
            </w:trPr>
            <w:tc>
              <w:tcPr>
                <w:tcW w:w="1117" w:type="dxa"/>
              </w:tcPr>
              <w:p>
                <w:pPr>
                  <w:jc w:val="center"/>
                  <w:rPr>
                    <w:szCs w:val="24"/>
                  </w:rPr>
                </w:pPr>
                <w:r>
                  <w:rPr>
                    <w:szCs w:val="24"/>
                  </w:rPr>
                  <w:t>1.3.</w:t>
                </w:r>
              </w:p>
            </w:tc>
            <w:tc>
              <w:tcPr>
                <w:tcW w:w="3225" w:type="dxa"/>
              </w:tcPr>
              <w:p>
                <w:pPr>
                  <w:rPr>
                    <w:szCs w:val="24"/>
                  </w:rPr>
                </w:pPr>
                <w:r>
                  <w:rPr>
                    <w:szCs w:val="24"/>
                  </w:rPr>
                  <w:t>Nuotraukų kopijavimas</w:t>
                </w:r>
              </w:p>
            </w:tc>
            <w:tc>
              <w:tcPr>
                <w:tcW w:w="2442" w:type="dxa"/>
              </w:tcPr>
              <w:p>
                <w:pPr>
                  <w:jc w:val="center"/>
                  <w:rPr>
                    <w:szCs w:val="24"/>
                  </w:rPr>
                </w:pPr>
                <w:r>
                  <w:rPr>
                    <w:szCs w:val="24"/>
                  </w:rPr>
                  <w:t>Jei vaizdas užima daugiau kaip pusę puslapio</w:t>
                </w:r>
              </w:p>
            </w:tc>
            <w:tc>
              <w:tcPr>
                <w:tcW w:w="2384" w:type="dxa"/>
              </w:tcPr>
              <w:p>
                <w:pPr>
                  <w:tabs>
                    <w:tab w:val="center" w:pos="1124"/>
                  </w:tabs>
                  <w:jc w:val="center"/>
                  <w:rPr>
                    <w:b/>
                    <w:szCs w:val="24"/>
                  </w:rPr>
                </w:pPr>
                <w:r>
                  <w:rPr>
                    <w:b/>
                    <w:szCs w:val="24"/>
                  </w:rPr>
                  <w:t>0,30</w:t>
                </w:r>
              </w:p>
            </w:tc>
          </w:tr>
          <w:tr>
            <w:trPr>
              <w:trHeight w:val="286"/>
              <w:jc w:val="center"/>
            </w:trPr>
            <w:tc>
              <w:tcPr>
                <w:tcW w:w="1117" w:type="dxa"/>
              </w:tcPr>
              <w:p>
                <w:pPr>
                  <w:jc w:val="center"/>
                  <w:rPr>
                    <w:szCs w:val="24"/>
                  </w:rPr>
                </w:pPr>
                <w:r>
                  <w:rPr>
                    <w:szCs w:val="24"/>
                  </w:rPr>
                  <w:t>2.</w:t>
                </w:r>
              </w:p>
            </w:tc>
            <w:tc>
              <w:tcPr>
                <w:tcW w:w="8051" w:type="dxa"/>
                <w:gridSpan w:val="3"/>
              </w:tcPr>
              <w:p>
                <w:pPr>
                  <w:tabs>
                    <w:tab w:val="left" w:pos="2580"/>
                  </w:tabs>
                  <w:rPr>
                    <w:b/>
                    <w:szCs w:val="24"/>
                  </w:rPr>
                </w:pPr>
                <w:r>
                  <w:rPr>
                    <w:b/>
                    <w:szCs w:val="24"/>
                  </w:rPr>
                  <w:t>Spalvotas kopijavimas, spausdinimas</w:t>
                </w:r>
              </w:p>
            </w:tc>
          </w:tr>
          <w:tr>
            <w:trPr>
              <w:trHeight w:val="1100"/>
              <w:jc w:val="center"/>
            </w:trPr>
            <w:tc>
              <w:tcPr>
                <w:tcW w:w="1117" w:type="dxa"/>
              </w:tcPr>
              <w:p>
                <w:pPr>
                  <w:jc w:val="center"/>
                  <w:rPr>
                    <w:szCs w:val="24"/>
                  </w:rPr>
                </w:pPr>
              </w:p>
              <w:p>
                <w:pPr>
                  <w:jc w:val="center"/>
                  <w:rPr>
                    <w:szCs w:val="24"/>
                  </w:rPr>
                </w:pPr>
                <w:r>
                  <w:rPr>
                    <w:szCs w:val="24"/>
                  </w:rPr>
                  <w:t>2.1.</w:t>
                </w:r>
              </w:p>
            </w:tc>
            <w:tc>
              <w:tcPr>
                <w:tcW w:w="3225" w:type="dxa"/>
              </w:tcPr>
              <w:p>
                <w:pPr>
                  <w:rPr>
                    <w:szCs w:val="24"/>
                  </w:rPr>
                </w:pPr>
              </w:p>
              <w:p>
                <w:pPr>
                  <w:rPr>
                    <w:szCs w:val="24"/>
                  </w:rPr>
                </w:pPr>
                <w:r>
                  <w:rPr>
                    <w:szCs w:val="24"/>
                  </w:rPr>
                  <w:t>A4 lapo formatas</w:t>
                </w:r>
              </w:p>
            </w:tc>
            <w:tc>
              <w:tcPr>
                <w:tcW w:w="2442" w:type="dxa"/>
              </w:tcPr>
              <w:p>
                <w:pPr>
                  <w:jc w:val="center"/>
                  <w:rPr>
                    <w:szCs w:val="24"/>
                  </w:rPr>
                </w:pPr>
              </w:p>
              <w:p>
                <w:pPr>
                  <w:jc w:val="center"/>
                  <w:rPr>
                    <w:szCs w:val="24"/>
                  </w:rPr>
                </w:pPr>
                <w:r>
                  <w:rPr>
                    <w:szCs w:val="24"/>
                  </w:rPr>
                  <w:t xml:space="preserve">1 kopija </w:t>
                </w:r>
              </w:p>
              <w:p>
                <w:pPr>
                  <w:jc w:val="center"/>
                  <w:rPr>
                    <w:szCs w:val="24"/>
                  </w:rPr>
                </w:pPr>
              </w:p>
              <w:p>
                <w:pPr>
                  <w:jc w:val="center"/>
                  <w:rPr>
                    <w:szCs w:val="24"/>
                  </w:rPr>
                </w:pPr>
              </w:p>
            </w:tc>
            <w:tc>
              <w:tcPr>
                <w:tcW w:w="2384" w:type="dxa"/>
              </w:tcPr>
              <w:p>
                <w:pPr>
                  <w:jc w:val="center"/>
                  <w:rPr>
                    <w:b/>
                    <w:szCs w:val="24"/>
                  </w:rPr>
                </w:pPr>
                <w:r>
                  <w:rPr>
                    <w:b/>
                    <w:szCs w:val="24"/>
                  </w:rPr>
                  <w:t>0,40</w:t>
                </w:r>
              </w:p>
              <w:p>
                <w:pPr>
                  <w:jc w:val="center"/>
                  <w:rPr>
                    <w:szCs w:val="24"/>
                  </w:rPr>
                </w:pPr>
                <w:r>
                  <w:rPr>
                    <w:szCs w:val="24"/>
                  </w:rPr>
                  <w:t xml:space="preserve">(jei pilnai dengiama – </w:t>
                </w:r>
                <w:r>
                  <w:rPr>
                    <w:b/>
                    <w:szCs w:val="24"/>
                  </w:rPr>
                  <w:t>0,60</w:t>
                </w:r>
                <w:r>
                  <w:rPr>
                    <w:szCs w:val="24"/>
                  </w:rPr>
                  <w:t>)</w:t>
                </w:r>
              </w:p>
            </w:tc>
          </w:tr>
          <w:tr>
            <w:trPr>
              <w:trHeight w:val="829"/>
              <w:jc w:val="center"/>
            </w:trPr>
            <w:tc>
              <w:tcPr>
                <w:tcW w:w="1117" w:type="dxa"/>
              </w:tcPr>
              <w:p>
                <w:pPr>
                  <w:jc w:val="center"/>
                  <w:rPr>
                    <w:szCs w:val="24"/>
                  </w:rPr>
                </w:pPr>
                <w:r>
                  <w:rPr>
                    <w:szCs w:val="24"/>
                  </w:rPr>
                  <w:t>2.2.</w:t>
                </w:r>
              </w:p>
            </w:tc>
            <w:tc>
              <w:tcPr>
                <w:tcW w:w="3225" w:type="dxa"/>
              </w:tcPr>
              <w:p>
                <w:pPr>
                  <w:rPr>
                    <w:szCs w:val="24"/>
                  </w:rPr>
                </w:pPr>
                <w:r>
                  <w:rPr>
                    <w:szCs w:val="24"/>
                  </w:rPr>
                  <w:t>A3 lapo formatas</w:t>
                </w:r>
              </w:p>
            </w:tc>
            <w:tc>
              <w:tcPr>
                <w:tcW w:w="2442" w:type="dxa"/>
              </w:tcPr>
              <w:p>
                <w:pPr>
                  <w:jc w:val="center"/>
                  <w:rPr>
                    <w:szCs w:val="24"/>
                  </w:rPr>
                </w:pPr>
                <w:r>
                  <w:rPr>
                    <w:szCs w:val="24"/>
                  </w:rPr>
                  <w:t>1 kopija</w:t>
                </w:r>
              </w:p>
            </w:tc>
            <w:tc>
              <w:tcPr>
                <w:tcW w:w="2384" w:type="dxa"/>
              </w:tcPr>
              <w:p>
                <w:pPr>
                  <w:jc w:val="center"/>
                  <w:rPr>
                    <w:szCs w:val="24"/>
                  </w:rPr>
                </w:pPr>
                <w:r>
                  <w:rPr>
                    <w:b/>
                    <w:szCs w:val="24"/>
                  </w:rPr>
                  <w:t>0,80</w:t>
                </w:r>
              </w:p>
              <w:p>
                <w:pPr>
                  <w:jc w:val="center"/>
                  <w:rPr>
                    <w:szCs w:val="24"/>
                  </w:rPr>
                </w:pPr>
                <w:r>
                  <w:rPr>
                    <w:szCs w:val="24"/>
                  </w:rPr>
                  <w:t xml:space="preserve">(jei pilnai dengiama – </w:t>
                </w:r>
                <w:r>
                  <w:rPr>
                    <w:b/>
                    <w:szCs w:val="24"/>
                  </w:rPr>
                  <w:t>1,00</w:t>
                </w:r>
                <w:r>
                  <w:rPr>
                    <w:szCs w:val="24"/>
                  </w:rPr>
                  <w:t>)</w:t>
                </w:r>
              </w:p>
            </w:tc>
          </w:tr>
          <w:tr>
            <w:trPr>
              <w:trHeight w:val="271"/>
              <w:jc w:val="center"/>
            </w:trPr>
            <w:tc>
              <w:tcPr>
                <w:tcW w:w="1117" w:type="dxa"/>
              </w:tcPr>
              <w:p>
                <w:pPr>
                  <w:jc w:val="center"/>
                  <w:rPr>
                    <w:szCs w:val="24"/>
                  </w:rPr>
                </w:pPr>
                <w:r>
                  <w:rPr>
                    <w:szCs w:val="24"/>
                  </w:rPr>
                  <w:t>2.3</w:t>
                </w:r>
              </w:p>
            </w:tc>
            <w:tc>
              <w:tcPr>
                <w:tcW w:w="3225" w:type="dxa"/>
              </w:tcPr>
              <w:p>
                <w:pPr>
                  <w:rPr>
                    <w:szCs w:val="24"/>
                  </w:rPr>
                </w:pPr>
                <w:r>
                  <w:rPr>
                    <w:szCs w:val="24"/>
                  </w:rPr>
                  <w:t>Nuotraukų kopijavimas</w:t>
                </w:r>
              </w:p>
            </w:tc>
            <w:tc>
              <w:tcPr>
                <w:tcW w:w="2442" w:type="dxa"/>
              </w:tcPr>
              <w:p>
                <w:pPr>
                  <w:jc w:val="center"/>
                  <w:rPr>
                    <w:szCs w:val="24"/>
                  </w:rPr>
                </w:pPr>
                <w:r>
                  <w:rPr>
                    <w:szCs w:val="24"/>
                  </w:rPr>
                  <w:t>1 kopija</w:t>
                </w:r>
              </w:p>
            </w:tc>
            <w:tc>
              <w:tcPr>
                <w:tcW w:w="2384" w:type="dxa"/>
              </w:tcPr>
              <w:p>
                <w:pPr>
                  <w:jc w:val="center"/>
                  <w:rPr>
                    <w:b/>
                    <w:szCs w:val="24"/>
                  </w:rPr>
                </w:pPr>
                <w:r>
                  <w:rPr>
                    <w:b/>
                    <w:szCs w:val="24"/>
                  </w:rPr>
                  <w:t>0,80</w:t>
                </w:r>
              </w:p>
            </w:tc>
          </w:tr>
          <w:tr>
            <w:trPr>
              <w:trHeight w:val="271"/>
              <w:jc w:val="center"/>
            </w:trPr>
            <w:tc>
              <w:tcPr>
                <w:tcW w:w="1117" w:type="dxa"/>
              </w:tcPr>
              <w:p>
                <w:pPr>
                  <w:jc w:val="center"/>
                  <w:rPr>
                    <w:szCs w:val="24"/>
                  </w:rPr>
                </w:pPr>
                <w:r>
                  <w:rPr>
                    <w:szCs w:val="24"/>
                  </w:rPr>
                  <w:t>3.</w:t>
                </w:r>
              </w:p>
            </w:tc>
            <w:tc>
              <w:tcPr>
                <w:tcW w:w="8051" w:type="dxa"/>
                <w:gridSpan w:val="3"/>
              </w:tcPr>
              <w:p>
                <w:pPr>
                  <w:tabs>
                    <w:tab w:val="left" w:pos="3315"/>
                  </w:tabs>
                  <w:rPr>
                    <w:b/>
                    <w:szCs w:val="24"/>
                  </w:rPr>
                </w:pPr>
                <w:r>
                  <w:rPr>
                    <w:b/>
                    <w:szCs w:val="24"/>
                  </w:rPr>
                  <w:t>Skenavimas</w:t>
                </w:r>
              </w:p>
            </w:tc>
          </w:tr>
          <w:tr>
            <w:trPr>
              <w:trHeight w:val="271"/>
              <w:jc w:val="center"/>
            </w:trPr>
            <w:tc>
              <w:tcPr>
                <w:tcW w:w="1117" w:type="dxa"/>
              </w:tcPr>
              <w:p>
                <w:pPr>
                  <w:jc w:val="center"/>
                  <w:rPr>
                    <w:szCs w:val="24"/>
                  </w:rPr>
                </w:pPr>
                <w:r>
                  <w:rPr>
                    <w:szCs w:val="24"/>
                  </w:rPr>
                  <w:t>3.1.</w:t>
                </w:r>
              </w:p>
            </w:tc>
            <w:tc>
              <w:tcPr>
                <w:tcW w:w="3225" w:type="dxa"/>
              </w:tcPr>
              <w:p>
                <w:pPr>
                  <w:rPr>
                    <w:szCs w:val="24"/>
                  </w:rPr>
                </w:pPr>
                <w:r>
                  <w:rPr>
                    <w:szCs w:val="24"/>
                  </w:rPr>
                  <w:t>A4 lapo formatas</w:t>
                </w:r>
              </w:p>
            </w:tc>
            <w:tc>
              <w:tcPr>
                <w:tcW w:w="2442" w:type="dxa"/>
              </w:tcPr>
              <w:p>
                <w:pPr>
                  <w:jc w:val="center"/>
                  <w:rPr>
                    <w:szCs w:val="24"/>
                  </w:rPr>
                </w:pPr>
                <w:r>
                  <w:rPr>
                    <w:szCs w:val="24"/>
                  </w:rPr>
                  <w:t>1 kopija</w:t>
                </w:r>
              </w:p>
            </w:tc>
            <w:tc>
              <w:tcPr>
                <w:tcW w:w="2384" w:type="dxa"/>
              </w:tcPr>
              <w:p>
                <w:pPr>
                  <w:jc w:val="center"/>
                  <w:rPr>
                    <w:b/>
                    <w:szCs w:val="24"/>
                  </w:rPr>
                </w:pPr>
                <w:r>
                  <w:rPr>
                    <w:b/>
                    <w:szCs w:val="24"/>
                  </w:rPr>
                  <w:t>0,30</w:t>
                </w:r>
              </w:p>
            </w:tc>
          </w:tr>
          <w:tr>
            <w:trPr>
              <w:trHeight w:val="271"/>
              <w:jc w:val="center"/>
            </w:trPr>
            <w:tc>
              <w:tcPr>
                <w:tcW w:w="1117" w:type="dxa"/>
              </w:tcPr>
              <w:p>
                <w:pPr>
                  <w:jc w:val="center"/>
                  <w:rPr>
                    <w:szCs w:val="24"/>
                  </w:rPr>
                </w:pPr>
                <w:r>
                  <w:rPr>
                    <w:szCs w:val="24"/>
                  </w:rPr>
                  <w:t>3.2.</w:t>
                </w:r>
              </w:p>
            </w:tc>
            <w:tc>
              <w:tcPr>
                <w:tcW w:w="3225" w:type="dxa"/>
              </w:tcPr>
              <w:p>
                <w:pPr>
                  <w:rPr>
                    <w:szCs w:val="24"/>
                  </w:rPr>
                </w:pPr>
                <w:r>
                  <w:rPr>
                    <w:szCs w:val="24"/>
                  </w:rPr>
                  <w:t>A3 lapo formatas</w:t>
                </w:r>
              </w:p>
            </w:tc>
            <w:tc>
              <w:tcPr>
                <w:tcW w:w="2442" w:type="dxa"/>
              </w:tcPr>
              <w:p>
                <w:pPr>
                  <w:jc w:val="center"/>
                  <w:rPr>
                    <w:szCs w:val="24"/>
                  </w:rPr>
                </w:pPr>
                <w:r>
                  <w:rPr>
                    <w:szCs w:val="24"/>
                  </w:rPr>
                  <w:t>1 kopija</w:t>
                </w:r>
              </w:p>
            </w:tc>
            <w:tc>
              <w:tcPr>
                <w:tcW w:w="2384" w:type="dxa"/>
              </w:tcPr>
              <w:p>
                <w:pPr>
                  <w:tabs>
                    <w:tab w:val="center" w:pos="1124"/>
                  </w:tabs>
                  <w:jc w:val="center"/>
                  <w:rPr>
                    <w:b/>
                    <w:szCs w:val="24"/>
                  </w:rPr>
                </w:pPr>
                <w:r>
                  <w:rPr>
                    <w:b/>
                    <w:szCs w:val="24"/>
                  </w:rPr>
                  <w:t>0,40</w:t>
                </w:r>
              </w:p>
            </w:tc>
          </w:tr>
          <w:tr>
            <w:trPr>
              <w:trHeight w:val="271"/>
              <w:jc w:val="center"/>
            </w:trPr>
            <w:tc>
              <w:tcPr>
                <w:tcW w:w="1117" w:type="dxa"/>
              </w:tcPr>
              <w:p>
                <w:pPr>
                  <w:jc w:val="center"/>
                  <w:rPr>
                    <w:szCs w:val="24"/>
                  </w:rPr>
                </w:pPr>
                <w:r>
                  <w:rPr>
                    <w:szCs w:val="24"/>
                  </w:rPr>
                  <w:t>4.</w:t>
                </w:r>
              </w:p>
            </w:tc>
            <w:tc>
              <w:tcPr>
                <w:tcW w:w="8051" w:type="dxa"/>
                <w:gridSpan w:val="3"/>
              </w:tcPr>
              <w:p>
                <w:pPr>
                  <w:tabs>
                    <w:tab w:val="left" w:pos="3075"/>
                  </w:tabs>
                  <w:rPr>
                    <w:b/>
                    <w:szCs w:val="24"/>
                  </w:rPr>
                </w:pPr>
                <w:r>
                  <w:rPr>
                    <w:b/>
                    <w:szCs w:val="24"/>
                  </w:rPr>
                  <w:t>Knygrišio paslaugos</w:t>
                </w:r>
              </w:p>
            </w:tc>
          </w:tr>
          <w:tr>
            <w:trPr>
              <w:trHeight w:val="542"/>
              <w:jc w:val="center"/>
            </w:trPr>
            <w:tc>
              <w:tcPr>
                <w:tcW w:w="1117" w:type="dxa"/>
              </w:tcPr>
              <w:p>
                <w:pPr>
                  <w:jc w:val="center"/>
                  <w:rPr>
                    <w:szCs w:val="24"/>
                  </w:rPr>
                </w:pPr>
                <w:r>
                  <w:rPr>
                    <w:szCs w:val="24"/>
                  </w:rPr>
                  <w:t>4.1.</w:t>
                </w:r>
              </w:p>
            </w:tc>
            <w:tc>
              <w:tcPr>
                <w:tcW w:w="3225" w:type="dxa"/>
              </w:tcPr>
              <w:p>
                <w:pPr>
                  <w:tabs>
                    <w:tab w:val="left" w:pos="180"/>
                  </w:tabs>
                  <w:rPr>
                    <w:szCs w:val="24"/>
                  </w:rPr>
                </w:pPr>
                <w:r>
                  <w:rPr>
                    <w:szCs w:val="24"/>
                  </w:rPr>
                  <w:t>Įrišimas kompensatoriumi</w:t>
                </w:r>
              </w:p>
            </w:tc>
            <w:tc>
              <w:tcPr>
                <w:tcW w:w="2442" w:type="dxa"/>
              </w:tcPr>
              <w:p>
                <w:pPr>
                  <w:jc w:val="center"/>
                  <w:rPr>
                    <w:szCs w:val="24"/>
                  </w:rPr>
                </w:pPr>
                <w:r>
                  <w:rPr>
                    <w:szCs w:val="24"/>
                  </w:rPr>
                  <w:t>1 vnt.</w:t>
                </w:r>
              </w:p>
            </w:tc>
            <w:tc>
              <w:tcPr>
                <w:tcW w:w="2384" w:type="dxa"/>
              </w:tcPr>
              <w:p>
                <w:pPr>
                  <w:jc w:val="center"/>
                  <w:rPr>
                    <w:b/>
                    <w:szCs w:val="24"/>
                  </w:rPr>
                </w:pPr>
                <w:r>
                  <w:rPr>
                    <w:b/>
                    <w:szCs w:val="24"/>
                  </w:rPr>
                  <w:t>3,00</w:t>
                </w:r>
              </w:p>
            </w:tc>
          </w:tr>
          <w:tr>
            <w:trPr>
              <w:trHeight w:val="271"/>
              <w:jc w:val="center"/>
            </w:trPr>
            <w:tc>
              <w:tcPr>
                <w:tcW w:w="1117" w:type="dxa"/>
              </w:tcPr>
              <w:p>
                <w:pPr>
                  <w:jc w:val="center"/>
                  <w:rPr>
                    <w:szCs w:val="24"/>
                  </w:rPr>
                </w:pPr>
                <w:r>
                  <w:rPr>
                    <w:szCs w:val="24"/>
                  </w:rPr>
                  <w:t>5.</w:t>
                </w:r>
              </w:p>
            </w:tc>
            <w:tc>
              <w:tcPr>
                <w:tcW w:w="8051" w:type="dxa"/>
                <w:gridSpan w:val="3"/>
              </w:tcPr>
              <w:p>
                <w:pPr>
                  <w:rPr>
                    <w:b/>
                    <w:szCs w:val="24"/>
                  </w:rPr>
                </w:pPr>
                <w:r>
                  <w:rPr>
                    <w:b/>
                    <w:szCs w:val="24"/>
                  </w:rPr>
                  <w:t>Laminavimas</w:t>
                </w:r>
              </w:p>
            </w:tc>
          </w:tr>
          <w:tr>
            <w:trPr>
              <w:trHeight w:val="286"/>
              <w:jc w:val="center"/>
            </w:trPr>
            <w:tc>
              <w:tcPr>
                <w:tcW w:w="1117" w:type="dxa"/>
              </w:tcPr>
              <w:p>
                <w:pPr>
                  <w:jc w:val="center"/>
                  <w:rPr>
                    <w:szCs w:val="24"/>
                  </w:rPr>
                </w:pPr>
                <w:r>
                  <w:rPr>
                    <w:szCs w:val="24"/>
                  </w:rPr>
                  <w:t>5.1.</w:t>
                </w:r>
              </w:p>
            </w:tc>
            <w:tc>
              <w:tcPr>
                <w:tcW w:w="3225" w:type="dxa"/>
              </w:tcPr>
              <w:p>
                <w:pPr>
                  <w:rPr>
                    <w:szCs w:val="24"/>
                  </w:rPr>
                </w:pPr>
                <w:r>
                  <w:rPr>
                    <w:szCs w:val="24"/>
                  </w:rPr>
                  <w:t>A4 formatas</w:t>
                </w:r>
              </w:p>
            </w:tc>
            <w:tc>
              <w:tcPr>
                <w:tcW w:w="2442" w:type="dxa"/>
              </w:tcPr>
              <w:p>
                <w:pPr>
                  <w:jc w:val="center"/>
                  <w:rPr>
                    <w:szCs w:val="24"/>
                  </w:rPr>
                </w:pPr>
                <w:r>
                  <w:rPr>
                    <w:szCs w:val="24"/>
                  </w:rPr>
                  <w:t>1 vnt.</w:t>
                </w:r>
              </w:p>
            </w:tc>
            <w:tc>
              <w:tcPr>
                <w:tcW w:w="2384" w:type="dxa"/>
              </w:tcPr>
              <w:p>
                <w:pPr>
                  <w:jc w:val="center"/>
                  <w:rPr>
                    <w:b/>
                    <w:szCs w:val="24"/>
                  </w:rPr>
                </w:pPr>
                <w:r>
                  <w:rPr>
                    <w:b/>
                    <w:szCs w:val="24"/>
                  </w:rPr>
                  <w:t>1,00</w:t>
                </w:r>
              </w:p>
            </w:tc>
          </w:tr>
          <w:tr>
            <w:trPr>
              <w:trHeight w:val="271"/>
              <w:jc w:val="center"/>
            </w:trPr>
            <w:tc>
              <w:tcPr>
                <w:tcW w:w="1117" w:type="dxa"/>
              </w:tcPr>
              <w:p>
                <w:pPr>
                  <w:jc w:val="center"/>
                  <w:rPr>
                    <w:szCs w:val="24"/>
                  </w:rPr>
                </w:pPr>
                <w:r>
                  <w:rPr>
                    <w:szCs w:val="24"/>
                  </w:rPr>
                  <w:t>5.2.</w:t>
                </w:r>
              </w:p>
            </w:tc>
            <w:tc>
              <w:tcPr>
                <w:tcW w:w="3225" w:type="dxa"/>
              </w:tcPr>
              <w:p>
                <w:pPr>
                  <w:rPr>
                    <w:szCs w:val="24"/>
                  </w:rPr>
                </w:pPr>
                <w:r>
                  <w:rPr>
                    <w:szCs w:val="24"/>
                  </w:rPr>
                  <w:t>A5 formatas</w:t>
                </w:r>
              </w:p>
            </w:tc>
            <w:tc>
              <w:tcPr>
                <w:tcW w:w="2442" w:type="dxa"/>
              </w:tcPr>
              <w:p>
                <w:pPr>
                  <w:jc w:val="center"/>
                  <w:rPr>
                    <w:szCs w:val="24"/>
                  </w:rPr>
                </w:pPr>
                <w:r>
                  <w:rPr>
                    <w:szCs w:val="24"/>
                  </w:rPr>
                  <w:t>1 vnt.</w:t>
                </w:r>
              </w:p>
            </w:tc>
            <w:tc>
              <w:tcPr>
                <w:tcW w:w="2384" w:type="dxa"/>
              </w:tcPr>
              <w:p>
                <w:pPr>
                  <w:jc w:val="center"/>
                  <w:rPr>
                    <w:b/>
                    <w:szCs w:val="24"/>
                  </w:rPr>
                </w:pPr>
                <w:r>
                  <w:rPr>
                    <w:b/>
                    <w:szCs w:val="24"/>
                  </w:rPr>
                  <w:t>0,50</w:t>
                </w:r>
              </w:p>
            </w:tc>
          </w:tr>
          <w:tr>
            <w:trPr>
              <w:trHeight w:val="1100"/>
              <w:jc w:val="center"/>
            </w:trPr>
            <w:tc>
              <w:tcPr>
                <w:tcW w:w="1117" w:type="dxa"/>
              </w:tcPr>
              <w:p>
                <w:pPr>
                  <w:jc w:val="center"/>
                  <w:rPr>
                    <w:szCs w:val="24"/>
                  </w:rPr>
                </w:pPr>
                <w:r>
                  <w:rPr>
                    <w:szCs w:val="24"/>
                  </w:rPr>
                  <w:t>6.</w:t>
                </w:r>
              </w:p>
            </w:tc>
            <w:tc>
              <w:tcPr>
                <w:tcW w:w="3225" w:type="dxa"/>
              </w:tcPr>
              <w:p>
                <w:pPr>
                  <w:rPr>
                    <w:szCs w:val="24"/>
                  </w:rPr>
                </w:pPr>
                <w:r>
                  <w:rPr>
                    <w:szCs w:val="24"/>
                  </w:rPr>
                  <w:t>Delspinigiai</w:t>
                </w:r>
              </w:p>
            </w:tc>
            <w:tc>
              <w:tcPr>
                <w:tcW w:w="2442" w:type="dxa"/>
              </w:tcPr>
              <w:p>
                <w:pPr>
                  <w:jc w:val="center"/>
                  <w:rPr>
                    <w:szCs w:val="24"/>
                  </w:rPr>
                </w:pPr>
                <w:r>
                  <w:rPr>
                    <w:szCs w:val="24"/>
                  </w:rPr>
                  <w:t>Už vieną dokumentą už kiekvieną pavėluotą dieną</w:t>
                </w:r>
              </w:p>
            </w:tc>
            <w:tc>
              <w:tcPr>
                <w:tcW w:w="2384" w:type="dxa"/>
              </w:tcPr>
              <w:p>
                <w:pPr>
                  <w:jc w:val="center"/>
                  <w:rPr>
                    <w:b/>
                    <w:szCs w:val="24"/>
                  </w:rPr>
                </w:pPr>
                <w:r>
                  <w:rPr>
                    <w:b/>
                    <w:szCs w:val="24"/>
                  </w:rPr>
                  <w:t>0,05</w:t>
                </w:r>
              </w:p>
            </w:tc>
          </w:tr>
          <w:tr>
            <w:trPr>
              <w:trHeight w:val="829"/>
              <w:jc w:val="center"/>
            </w:trPr>
            <w:tc>
              <w:tcPr>
                <w:tcW w:w="1117" w:type="dxa"/>
              </w:tcPr>
              <w:p>
                <w:pPr>
                  <w:jc w:val="center"/>
                  <w:rPr>
                    <w:szCs w:val="24"/>
                  </w:rPr>
                </w:pPr>
                <w:r>
                  <w:rPr>
                    <w:szCs w:val="24"/>
                  </w:rPr>
                  <w:t>7.</w:t>
                </w:r>
              </w:p>
            </w:tc>
            <w:tc>
              <w:tcPr>
                <w:tcW w:w="3225" w:type="dxa"/>
              </w:tcPr>
              <w:p>
                <w:pPr>
                  <w:rPr>
                    <w:szCs w:val="24"/>
                  </w:rPr>
                </w:pPr>
                <w:r>
                  <w:rPr>
                    <w:szCs w:val="24"/>
                  </w:rPr>
                  <w:t>Tarpbibliotekinio abonemento paslauga (TBA-S)</w:t>
                </w:r>
              </w:p>
            </w:tc>
            <w:tc>
              <w:tcPr>
                <w:tcW w:w="2442" w:type="dxa"/>
              </w:tcPr>
              <w:p>
                <w:pPr>
                  <w:jc w:val="center"/>
                  <w:rPr>
                    <w:szCs w:val="24"/>
                  </w:rPr>
                </w:pPr>
                <w:r>
                  <w:rPr>
                    <w:szCs w:val="24"/>
                  </w:rPr>
                  <w:t>Paslauga nemokama</w:t>
                </w:r>
              </w:p>
            </w:tc>
            <w:tc>
              <w:tcPr>
                <w:tcW w:w="2384" w:type="dxa"/>
              </w:tcPr>
              <w:p>
                <w:pPr>
                  <w:jc w:val="center"/>
                  <w:rPr>
                    <w:szCs w:val="24"/>
                  </w:rPr>
                </w:pPr>
                <w:r>
                  <w:rPr>
                    <w:szCs w:val="24"/>
                  </w:rPr>
                  <w:t>-</w:t>
                </w:r>
              </w:p>
            </w:tc>
          </w:tr>
          <w:tr>
            <w:trPr>
              <w:trHeight w:val="271"/>
              <w:jc w:val="center"/>
            </w:trPr>
            <w:tc>
              <w:tcPr>
                <w:tcW w:w="1117" w:type="dxa"/>
              </w:tcPr>
              <w:p>
                <w:pPr>
                  <w:jc w:val="center"/>
                  <w:rPr>
                    <w:szCs w:val="24"/>
                  </w:rPr>
                </w:pPr>
                <w:r>
                  <w:rPr>
                    <w:szCs w:val="24"/>
                  </w:rPr>
                  <w:t>8.</w:t>
                </w:r>
              </w:p>
            </w:tc>
            <w:tc>
              <w:tcPr>
                <w:tcW w:w="8051" w:type="dxa"/>
                <w:gridSpan w:val="3"/>
              </w:tcPr>
              <w:p>
                <w:pPr>
                  <w:rPr>
                    <w:b/>
                    <w:szCs w:val="24"/>
                  </w:rPr>
                </w:pPr>
                <w:r>
                  <w:rPr>
                    <w:b/>
                    <w:szCs w:val="24"/>
                  </w:rPr>
                  <w:t>Maketavimas</w:t>
                </w:r>
              </w:p>
            </w:tc>
          </w:tr>
          <w:tr>
            <w:trPr>
              <w:trHeight w:val="271"/>
              <w:jc w:val="center"/>
            </w:trPr>
            <w:tc>
              <w:tcPr>
                <w:tcW w:w="1117" w:type="dxa"/>
              </w:tcPr>
              <w:p>
                <w:pPr>
                  <w:jc w:val="center"/>
                  <w:rPr>
                    <w:szCs w:val="24"/>
                  </w:rPr>
                </w:pPr>
                <w:r>
                  <w:rPr>
                    <w:szCs w:val="24"/>
                  </w:rPr>
                  <w:t>8.1.</w:t>
                </w:r>
              </w:p>
            </w:tc>
            <w:tc>
              <w:tcPr>
                <w:tcW w:w="3225" w:type="dxa"/>
              </w:tcPr>
              <w:p>
                <w:pPr>
                  <w:rPr>
                    <w:szCs w:val="24"/>
                  </w:rPr>
                </w:pPr>
                <w:r>
                  <w:rPr>
                    <w:szCs w:val="24"/>
                  </w:rPr>
                  <w:t>Skrajutė</w:t>
                </w:r>
              </w:p>
            </w:tc>
            <w:tc>
              <w:tcPr>
                <w:tcW w:w="2442" w:type="dxa"/>
              </w:tcPr>
              <w:p>
                <w:pPr>
                  <w:jc w:val="center"/>
                  <w:rPr>
                    <w:szCs w:val="24"/>
                  </w:rPr>
                </w:pPr>
                <w:r>
                  <w:rPr>
                    <w:szCs w:val="24"/>
                  </w:rPr>
                  <w:t>1 vnt.</w:t>
                </w:r>
              </w:p>
            </w:tc>
            <w:tc>
              <w:tcPr>
                <w:tcW w:w="2384" w:type="dxa"/>
              </w:tcPr>
              <w:p>
                <w:pPr>
                  <w:jc w:val="center"/>
                  <w:rPr>
                    <w:b/>
                    <w:szCs w:val="24"/>
                  </w:rPr>
                </w:pPr>
                <w:r>
                  <w:rPr>
                    <w:b/>
                    <w:szCs w:val="24"/>
                  </w:rPr>
                  <w:t>13,00</w:t>
                </w:r>
              </w:p>
            </w:tc>
          </w:tr>
          <w:tr>
            <w:trPr>
              <w:trHeight w:val="271"/>
              <w:jc w:val="center"/>
            </w:trPr>
            <w:tc>
              <w:tcPr>
                <w:tcW w:w="1117" w:type="dxa"/>
              </w:tcPr>
              <w:p>
                <w:pPr>
                  <w:jc w:val="center"/>
                  <w:rPr>
                    <w:szCs w:val="24"/>
                  </w:rPr>
                </w:pPr>
                <w:r>
                  <w:rPr>
                    <w:szCs w:val="24"/>
                  </w:rPr>
                  <w:t>8.2.</w:t>
                </w:r>
              </w:p>
            </w:tc>
            <w:tc>
              <w:tcPr>
                <w:tcW w:w="3225" w:type="dxa"/>
              </w:tcPr>
              <w:p>
                <w:pPr>
                  <w:rPr>
                    <w:szCs w:val="24"/>
                  </w:rPr>
                </w:pPr>
                <w:r>
                  <w:rPr>
                    <w:szCs w:val="24"/>
                  </w:rPr>
                  <w:t>Lankstinukas</w:t>
                </w:r>
              </w:p>
            </w:tc>
            <w:tc>
              <w:tcPr>
                <w:tcW w:w="2442" w:type="dxa"/>
              </w:tcPr>
              <w:p>
                <w:pPr>
                  <w:jc w:val="center"/>
                  <w:rPr>
                    <w:szCs w:val="24"/>
                  </w:rPr>
                </w:pPr>
                <w:r>
                  <w:rPr>
                    <w:szCs w:val="24"/>
                  </w:rPr>
                  <w:t>1 vnt.</w:t>
                </w:r>
              </w:p>
            </w:tc>
            <w:tc>
              <w:tcPr>
                <w:tcW w:w="2384" w:type="dxa"/>
              </w:tcPr>
              <w:p>
                <w:pPr>
                  <w:jc w:val="center"/>
                  <w:rPr>
                    <w:b/>
                    <w:szCs w:val="24"/>
                  </w:rPr>
                </w:pPr>
                <w:r>
                  <w:rPr>
                    <w:b/>
                    <w:szCs w:val="24"/>
                  </w:rPr>
                  <w:t>28,00</w:t>
                </w:r>
              </w:p>
            </w:tc>
          </w:tr>
          <w:tr>
            <w:trPr>
              <w:trHeight w:val="271"/>
              <w:jc w:val="center"/>
            </w:trPr>
            <w:tc>
              <w:tcPr>
                <w:tcW w:w="1117" w:type="dxa"/>
              </w:tcPr>
              <w:p>
                <w:pPr>
                  <w:jc w:val="center"/>
                  <w:rPr>
                    <w:szCs w:val="24"/>
                  </w:rPr>
                </w:pPr>
                <w:r>
                  <w:rPr>
                    <w:szCs w:val="24"/>
                  </w:rPr>
                  <w:t>8.3.</w:t>
                </w:r>
              </w:p>
            </w:tc>
            <w:tc>
              <w:tcPr>
                <w:tcW w:w="3225" w:type="dxa"/>
              </w:tcPr>
              <w:p>
                <w:pPr>
                  <w:rPr>
                    <w:szCs w:val="24"/>
                  </w:rPr>
                </w:pPr>
                <w:r>
                  <w:rPr>
                    <w:szCs w:val="24"/>
                  </w:rPr>
                  <w:t>Vizitinė kortelė</w:t>
                </w:r>
              </w:p>
            </w:tc>
            <w:tc>
              <w:tcPr>
                <w:tcW w:w="2442" w:type="dxa"/>
              </w:tcPr>
              <w:p>
                <w:pPr>
                  <w:jc w:val="center"/>
                  <w:rPr>
                    <w:szCs w:val="24"/>
                  </w:rPr>
                </w:pPr>
                <w:r>
                  <w:rPr>
                    <w:szCs w:val="24"/>
                  </w:rPr>
                  <w:t>1 vnt.</w:t>
                </w:r>
              </w:p>
            </w:tc>
            <w:tc>
              <w:tcPr>
                <w:tcW w:w="2384" w:type="dxa"/>
              </w:tcPr>
              <w:p>
                <w:pPr>
                  <w:jc w:val="center"/>
                  <w:rPr>
                    <w:b/>
                    <w:szCs w:val="24"/>
                  </w:rPr>
                </w:pPr>
                <w:r>
                  <w:rPr>
                    <w:b/>
                    <w:szCs w:val="24"/>
                  </w:rPr>
                  <w:t>9,00</w:t>
                </w:r>
              </w:p>
            </w:tc>
          </w:tr>
          <w:tr>
            <w:trPr>
              <w:trHeight w:val="557"/>
              <w:jc w:val="center"/>
            </w:trPr>
            <w:tc>
              <w:tcPr>
                <w:tcW w:w="1117" w:type="dxa"/>
              </w:tcPr>
              <w:p>
                <w:pPr>
                  <w:jc w:val="center"/>
                  <w:rPr>
                    <w:szCs w:val="24"/>
                  </w:rPr>
                </w:pPr>
                <w:r>
                  <w:rPr>
                    <w:szCs w:val="24"/>
                  </w:rPr>
                  <w:t>8.4</w:t>
                </w:r>
              </w:p>
            </w:tc>
            <w:tc>
              <w:tcPr>
                <w:tcW w:w="3225" w:type="dxa"/>
              </w:tcPr>
              <w:p>
                <w:pPr>
                  <w:rPr>
                    <w:szCs w:val="24"/>
                  </w:rPr>
                </w:pPr>
                <w:r>
                  <w:rPr>
                    <w:szCs w:val="24"/>
                  </w:rPr>
                  <w:t>Teksto rinkimas kompiuteriu</w:t>
                </w:r>
              </w:p>
            </w:tc>
            <w:tc>
              <w:tcPr>
                <w:tcW w:w="2442" w:type="dxa"/>
              </w:tcPr>
              <w:p>
                <w:pPr>
                  <w:jc w:val="center"/>
                  <w:rPr>
                    <w:szCs w:val="24"/>
                  </w:rPr>
                </w:pPr>
                <w:r>
                  <w:rPr>
                    <w:szCs w:val="24"/>
                  </w:rPr>
                  <w:t>1 puslapis 12 šriftas</w:t>
                </w:r>
              </w:p>
            </w:tc>
            <w:tc>
              <w:tcPr>
                <w:tcW w:w="2384" w:type="dxa"/>
              </w:tcPr>
              <w:p>
                <w:pPr>
                  <w:jc w:val="center"/>
                  <w:rPr>
                    <w:b/>
                    <w:szCs w:val="24"/>
                  </w:rPr>
                </w:pPr>
                <w:r>
                  <w:rPr>
                    <w:b/>
                    <w:szCs w:val="24"/>
                  </w:rPr>
                  <w:t>2,00</w:t>
                </w:r>
              </w:p>
            </w:tc>
          </w:tr>
          <w:tr>
            <w:trPr>
              <w:trHeight w:val="542"/>
              <w:jc w:val="center"/>
            </w:trPr>
            <w:tc>
              <w:tcPr>
                <w:tcW w:w="1117" w:type="dxa"/>
              </w:tcPr>
              <w:p>
                <w:pPr>
                  <w:jc w:val="center"/>
                  <w:rPr>
                    <w:szCs w:val="24"/>
                  </w:rPr>
                </w:pPr>
                <w:r>
                  <w:rPr>
                    <w:szCs w:val="24"/>
                  </w:rPr>
                  <w:t>9.</w:t>
                </w:r>
              </w:p>
            </w:tc>
            <w:tc>
              <w:tcPr>
                <w:tcW w:w="8051" w:type="dxa"/>
                <w:gridSpan w:val="3"/>
              </w:tcPr>
              <w:p>
                <w:pPr>
                  <w:tabs>
                    <w:tab w:val="left" w:pos="2790"/>
                  </w:tabs>
                  <w:jc w:val="both"/>
                  <w:rPr>
                    <w:b/>
                    <w:szCs w:val="24"/>
                  </w:rPr>
                </w:pPr>
                <w:r>
                  <w:rPr>
                    <w:b/>
                    <w:szCs w:val="24"/>
                  </w:rPr>
                  <w:t xml:space="preserve">Konferencijų salės suteikimo paslauga </w:t>
                </w:r>
                <w:r>
                  <w:rPr>
                    <w:szCs w:val="24"/>
                  </w:rPr>
                  <w:t>(Patalpos žymėjimo indeksas 3-6)</w:t>
                </w:r>
              </w:p>
            </w:tc>
          </w:tr>
          <w:tr>
            <w:trPr>
              <w:trHeight w:val="271"/>
              <w:jc w:val="center"/>
            </w:trPr>
            <w:tc>
              <w:tcPr>
                <w:tcW w:w="1117" w:type="dxa"/>
              </w:tcPr>
              <w:p>
                <w:pPr>
                  <w:jc w:val="center"/>
                  <w:rPr>
                    <w:szCs w:val="24"/>
                  </w:rPr>
                </w:pPr>
                <w:r>
                  <w:rPr>
                    <w:szCs w:val="24"/>
                  </w:rPr>
                  <w:t>9.1.</w:t>
                </w:r>
              </w:p>
            </w:tc>
            <w:tc>
              <w:tcPr>
                <w:tcW w:w="3225" w:type="dxa"/>
              </w:tcPr>
              <w:p>
                <w:pPr>
                  <w:rPr>
                    <w:szCs w:val="24"/>
                  </w:rPr>
                </w:pPr>
                <w:r>
                  <w:rPr>
                    <w:szCs w:val="24"/>
                  </w:rPr>
                  <w:t xml:space="preserve">Be  konferencijų įrangos</w:t>
                </w:r>
              </w:p>
            </w:tc>
            <w:tc>
              <w:tcPr>
                <w:tcW w:w="2442" w:type="dxa"/>
              </w:tcPr>
              <w:p>
                <w:pPr>
                  <w:jc w:val="center"/>
                  <w:rPr>
                    <w:szCs w:val="24"/>
                  </w:rPr>
                </w:pPr>
                <w:r>
                  <w:rPr>
                    <w:szCs w:val="24"/>
                  </w:rPr>
                  <w:t>1 val.</w:t>
                </w:r>
              </w:p>
            </w:tc>
            <w:tc>
              <w:tcPr>
                <w:tcW w:w="2384" w:type="dxa"/>
              </w:tcPr>
              <w:p>
                <w:pPr>
                  <w:jc w:val="center"/>
                  <w:rPr>
                    <w:b/>
                    <w:szCs w:val="24"/>
                  </w:rPr>
                </w:pPr>
                <w:r>
                  <w:rPr>
                    <w:b/>
                    <w:szCs w:val="24"/>
                  </w:rPr>
                  <w:t>15,00</w:t>
                </w:r>
              </w:p>
            </w:tc>
          </w:tr>
          <w:tr>
            <w:trPr>
              <w:trHeight w:val="271"/>
              <w:jc w:val="center"/>
            </w:trPr>
            <w:tc>
              <w:tcPr>
                <w:tcW w:w="1117" w:type="dxa"/>
              </w:tcPr>
              <w:p>
                <w:pPr>
                  <w:jc w:val="center"/>
                  <w:rPr>
                    <w:szCs w:val="24"/>
                  </w:rPr>
                </w:pPr>
                <w:r>
                  <w:rPr>
                    <w:szCs w:val="24"/>
                  </w:rPr>
                  <w:t>9.2.</w:t>
                </w:r>
              </w:p>
            </w:tc>
            <w:tc>
              <w:tcPr>
                <w:tcW w:w="3225" w:type="dxa"/>
              </w:tcPr>
              <w:p>
                <w:pPr>
                  <w:rPr>
                    <w:szCs w:val="24"/>
                  </w:rPr>
                </w:pPr>
                <w:r>
                  <w:rPr>
                    <w:szCs w:val="24"/>
                  </w:rPr>
                  <w:t>Su konferencijų įranga</w:t>
                </w:r>
              </w:p>
            </w:tc>
            <w:tc>
              <w:tcPr>
                <w:tcW w:w="2442" w:type="dxa"/>
              </w:tcPr>
              <w:p>
                <w:pPr>
                  <w:jc w:val="center"/>
                  <w:rPr>
                    <w:szCs w:val="24"/>
                  </w:rPr>
                </w:pPr>
                <w:r>
                  <w:rPr>
                    <w:szCs w:val="24"/>
                  </w:rPr>
                  <w:t>1 val.</w:t>
                </w:r>
              </w:p>
            </w:tc>
            <w:tc>
              <w:tcPr>
                <w:tcW w:w="2384" w:type="dxa"/>
              </w:tcPr>
              <w:p>
                <w:pPr>
                  <w:jc w:val="center"/>
                  <w:rPr>
                    <w:b/>
                    <w:szCs w:val="24"/>
                  </w:rPr>
                </w:pPr>
                <w:r>
                  <w:rPr>
                    <w:b/>
                    <w:szCs w:val="24"/>
                  </w:rPr>
                  <w:t>20,00</w:t>
                </w:r>
              </w:p>
            </w:tc>
          </w:tr>
          <w:tr>
            <w:trPr>
              <w:trHeight w:val="271"/>
              <w:jc w:val="center"/>
            </w:trPr>
            <w:tc>
              <w:tcPr>
                <w:tcW w:w="1117" w:type="dxa"/>
              </w:tcPr>
              <w:p>
                <w:pPr>
                  <w:jc w:val="center"/>
                  <w:rPr>
                    <w:szCs w:val="24"/>
                  </w:rPr>
                </w:pPr>
                <w:r>
                  <w:rPr>
                    <w:szCs w:val="24"/>
                  </w:rPr>
                  <w:t>10.</w:t>
                </w:r>
              </w:p>
            </w:tc>
            <w:tc>
              <w:tcPr>
                <w:tcW w:w="3225" w:type="dxa"/>
              </w:tcPr>
              <w:p>
                <w:pPr>
                  <w:rPr>
                    <w:szCs w:val="24"/>
                  </w:rPr>
                </w:pPr>
                <w:r>
                  <w:rPr>
                    <w:szCs w:val="24"/>
                  </w:rPr>
                  <w:t>Masažinis fotelis</w:t>
                </w:r>
              </w:p>
            </w:tc>
            <w:tc>
              <w:tcPr>
                <w:tcW w:w="2442" w:type="dxa"/>
              </w:tcPr>
              <w:p>
                <w:pPr>
                  <w:jc w:val="center"/>
                  <w:rPr>
                    <w:szCs w:val="24"/>
                  </w:rPr>
                </w:pPr>
                <w:r>
                  <w:rPr>
                    <w:szCs w:val="24"/>
                  </w:rPr>
                  <w:t>20 min.</w:t>
                </w:r>
              </w:p>
            </w:tc>
            <w:tc>
              <w:tcPr>
                <w:tcW w:w="2384" w:type="dxa"/>
              </w:tcPr>
              <w:p>
                <w:pPr>
                  <w:jc w:val="center"/>
                  <w:rPr>
                    <w:b/>
                    <w:szCs w:val="24"/>
                  </w:rPr>
                </w:pPr>
                <w:r>
                  <w:rPr>
                    <w:b/>
                    <w:szCs w:val="24"/>
                  </w:rPr>
                  <w:t>1,00</w:t>
                </w:r>
              </w:p>
            </w:tc>
          </w:tr>
          <w:tr>
            <w:trPr>
              <w:trHeight w:val="542"/>
              <w:jc w:val="center"/>
            </w:trPr>
            <w:tc>
              <w:tcPr>
                <w:tcW w:w="1117" w:type="dxa"/>
              </w:tcPr>
              <w:p>
                <w:pPr>
                  <w:jc w:val="center"/>
                  <w:rPr>
                    <w:szCs w:val="24"/>
                  </w:rPr>
                </w:pPr>
                <w:r>
                  <w:rPr>
                    <w:szCs w:val="24"/>
                  </w:rPr>
                  <w:t>11.</w:t>
                </w:r>
              </w:p>
            </w:tc>
            <w:tc>
              <w:tcPr>
                <w:tcW w:w="3225" w:type="dxa"/>
              </w:tcPr>
              <w:p>
                <w:pPr>
                  <w:rPr>
                    <w:szCs w:val="24"/>
                  </w:rPr>
                </w:pPr>
                <w:r>
                  <w:rPr>
                    <w:szCs w:val="24"/>
                  </w:rPr>
                  <w:t>Leidybinės, suvenyrinės produkcijos platinimas</w:t>
                </w:r>
              </w:p>
            </w:tc>
            <w:tc>
              <w:tcPr>
                <w:tcW w:w="2442" w:type="dxa"/>
              </w:tcPr>
              <w:p>
                <w:pPr>
                  <w:jc w:val="center"/>
                  <w:rPr>
                    <w:szCs w:val="24"/>
                  </w:rPr>
                </w:pPr>
                <w:r>
                  <w:rPr>
                    <w:szCs w:val="24"/>
                  </w:rPr>
                  <w:t>vnt.</w:t>
                </w:r>
              </w:p>
            </w:tc>
            <w:tc>
              <w:tcPr>
                <w:tcW w:w="2384" w:type="dxa"/>
              </w:tcPr>
              <w:p>
                <w:pPr>
                  <w:jc w:val="center"/>
                  <w:rPr>
                    <w:b/>
                    <w:szCs w:val="24"/>
                  </w:rPr>
                </w:pPr>
                <w:r>
                  <w:rPr>
                    <w:b/>
                    <w:szCs w:val="24"/>
                  </w:rPr>
                  <w:t>savikaina</w:t>
                </w:r>
              </w:p>
            </w:tc>
          </w:tr>
        </w:tbl>
        <w:p>
          <w:pPr>
            <w:tabs>
              <w:tab w:val="left" w:pos="5103"/>
            </w:tabs>
            <w:rPr>
              <w:szCs w:val="24"/>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p>
          <w:pPr>
            <w:ind w:left="-120"/>
            <w:jc w:val="center"/>
            <w:rPr>
              <w:b/>
              <w:bCs/>
              <w:sz w:val="22"/>
              <w:szCs w:val="22"/>
              <w:lang w:eastAsia="lt-LT"/>
            </w:rPr>
          </w:pPr>
        </w:p>
        <w:p>
          <w:pPr>
            <w:rPr>
              <w:sz w:val="20"/>
            </w:rPr>
          </w:pPr>
        </w:p>
        <w:sdt>
          <w:sdtPr>
            <w:alias w:val="skirsnis"/>
            <w:tag w:val="part_9d4feab8f197418eb2a2ea20b8583524"/>
            <w:lock w:val="sdtLocked"/>
            <w:richText/>
          </w:sdtPr>
          <w:sdtContent>
            <w:sdt>
              <w:sdtPr>
                <w:alias w:val="Pavadinimas"/>
                <w:tag w:val="title_9d4feab8f197418eb2a2ea20b8583524"/>
                <w:lock w:val="sdtLocked"/>
                <w:richText/>
              </w:sdtPr>
              <w:sdtContent>
                <w:p>
                  <w:pPr>
                    <w:ind w:left="-120"/>
                    <w:jc w:val="center"/>
                    <w:rPr>
                      <w:b/>
                      <w:bCs/>
                      <w:szCs w:val="24"/>
                      <w:lang w:eastAsia="lt-LT"/>
                    </w:rPr>
                  </w:pPr>
                  <w:r>
                    <w:rPr>
                      <w:b/>
                      <w:bCs/>
                      <w:szCs w:val="24"/>
                      <w:lang w:eastAsia="lt-LT"/>
                    </w:rPr>
                    <w:t xml:space="preserve">RADVILIŠKIO RAJONO SAVIVALDYBĖS TARYBOS SPRENDIMO PROJEKTO </w:t>
                  </w:r>
                </w:p>
                <w:p>
                  <w:pPr>
                    <w:jc w:val="center"/>
                    <w:rPr>
                      <w:b/>
                      <w:bCs/>
                      <w:szCs w:val="24"/>
                    </w:rPr>
                  </w:pPr>
                  <w:r>
                    <w:rPr>
                      <w:b/>
                      <w:bCs/>
                      <w:szCs w:val="24"/>
                    </w:rPr>
                    <w:t>„DĖL RADVILIŠKIO RAJONO SAVIVALDYBĖS VIEŠOSIOS BIBLIOTEKOS TEIKIAMŲ VIEŠŲJŲ PASLAUGŲ SĄRAŠO IR KAINŲ PAKEITIMO“</w:t>
                  </w:r>
                </w:p>
                <w:p>
                  <w:pPr>
                    <w:ind w:left="-120"/>
                    <w:jc w:val="center"/>
                    <w:rPr>
                      <w:szCs w:val="24"/>
                      <w:lang w:val="en-US" w:eastAsia="lt-LT"/>
                    </w:rPr>
                  </w:pPr>
                  <w:r>
                    <w:rPr>
                      <w:b/>
                      <w:bCs/>
                      <w:szCs w:val="24"/>
                      <w:lang w:eastAsia="lt-LT"/>
                    </w:rPr>
                    <w:t>AIŠKINAMASIS RAŠTAS</w:t>
                  </w:r>
                </w:p>
              </w:sdtContent>
            </w:sdt>
            <w:p>
              <w:pPr>
                <w:rPr>
                  <w:sz w:val="20"/>
                </w:rPr>
              </w:pPr>
            </w:p>
            <w:p>
              <w:pPr>
                <w:ind w:left="-120"/>
                <w:jc w:val="center"/>
                <w:rPr>
                  <w:szCs w:val="24"/>
                  <w:lang w:eastAsia="lt-LT"/>
                </w:rPr>
              </w:pPr>
              <w:r>
                <w:rPr>
                  <w:szCs w:val="24"/>
                  <w:lang w:eastAsia="lt-LT"/>
                </w:rPr>
                <w:t>2025 m. liepos 30 d. </w:t>
              </w:r>
            </w:p>
            <w:p>
              <w:pPr>
                <w:jc w:val="center"/>
                <w:rPr>
                  <w:szCs w:val="24"/>
                </w:rPr>
              </w:pPr>
              <w:r>
                <w:rPr>
                  <w:szCs w:val="24"/>
                </w:rPr>
                <w:t>Radviliškis</w:t>
              </w:r>
            </w:p>
            <w:p>
              <w:pPr>
                <w:ind w:right="191" w:firstLine="62"/>
                <w:jc w:val="both"/>
                <w:rPr>
                  <w:szCs w:val="24"/>
                  <w:lang w:val="en-US" w:eastAsia="lt-LT"/>
                </w:rPr>
              </w:pPr>
            </w:p>
            <w:sdt>
              <w:sdtPr>
                <w:alias w:val="1 p."/>
                <w:tag w:val="part_26275ae68c584b138d4862fd99feb7b7"/>
                <w:lock w:val="sdtLocked"/>
                <w:richText/>
              </w:sdtPr>
              <w:sdtContent>
                <w:p>
                  <w:pPr>
                    <w:ind w:firstLine="720"/>
                    <w:jc w:val="both"/>
                    <w:rPr>
                      <w:szCs w:val="24"/>
                      <w:lang w:val="en-US" w:eastAsia="lt-LT"/>
                    </w:rPr>
                  </w:pPr>
                  <w:sdt>
                    <w:sdtPr>
                      <w:alias w:val="Numeris"/>
                      <w:tag w:val="nr_26275ae68c584b138d4862fd99feb7b7"/>
                      <w:lock w:val="sdtLocked"/>
                      <w:richText/>
                    </w:sdtPr>
                    <w:sdtContent>
                      <w:r>
                        <w:rPr>
                          <w:b/>
                          <w:bCs/>
                          <w:szCs w:val="24"/>
                          <w:lang w:eastAsia="lt-LT"/>
                        </w:rPr>
                        <w:t>1</w:t>
                      </w:r>
                    </w:sdtContent>
                  </w:sdt>
                  <w:r>
                    <w:rPr>
                      <w:b/>
                      <w:bCs/>
                      <w:szCs w:val="24"/>
                      <w:lang w:eastAsia="lt-LT"/>
                    </w:rPr>
                    <w:t xml:space="preserve">. Sprendimo projekto rengimą paskatinusios priežastys, parengto sprendimo projekto tikslas ir uždaviniai. </w:t>
                  </w:r>
                </w:p>
                <w:p>
                  <w:pPr>
                    <w:ind w:firstLine="720"/>
                    <w:jc w:val="both"/>
                    <w:rPr>
                      <w:szCs w:val="24"/>
                      <w:lang w:eastAsia="lt-LT"/>
                    </w:rPr>
                  </w:pPr>
                  <w:r>
                    <w:rPr>
                      <w:szCs w:val="24"/>
                      <w:lang w:eastAsia="lt-LT"/>
                    </w:rPr>
                    <w:t>Sprendimo projekto rengimą paskatino siekis pagerinti Radviliškio viešosios bibliotekos paslaugų prieinamumą gyventojams, ypač vaikams ir šeimoms, pašalinant finansines kliūtis. Tikslas – skatinti kultūrinį ir švietėjišką įsitraukimą, didinant bibliotekos lankytojų skaičių.</w:t>
                  </w:r>
                </w:p>
              </w:sdtContent>
            </w:sdt>
            <w:sdt>
              <w:sdtPr>
                <w:alias w:val="2 p."/>
                <w:tag w:val="part_16b3ebfa2c5a4eb5bd0c64a3752adf25"/>
                <w:lock w:val="sdtLocked"/>
                <w:richText/>
              </w:sdtPr>
              <w:sdtContent>
                <w:p>
                  <w:pPr>
                    <w:ind w:firstLine="720"/>
                    <w:rPr>
                      <w:b/>
                      <w:bCs/>
                      <w:szCs w:val="24"/>
                      <w:lang w:eastAsia="lt-LT"/>
                    </w:rPr>
                  </w:pPr>
                  <w:sdt>
                    <w:sdtPr>
                      <w:alias w:val="Numeris"/>
                      <w:tag w:val="nr_16b3ebfa2c5a4eb5bd0c64a3752adf25"/>
                      <w:lock w:val="sdtLocked"/>
                      <w:richText/>
                    </w:sdtPr>
                    <w:sdtContent>
                      <w:r>
                        <w:rPr>
                          <w:b/>
                          <w:bCs/>
                          <w:szCs w:val="24"/>
                          <w:lang w:eastAsia="lt-LT"/>
                        </w:rPr>
                        <w:t>2</w:t>
                      </w:r>
                    </w:sdtContent>
                  </w:sdt>
                  <w:r>
                    <w:rPr>
                      <w:b/>
                      <w:bCs/>
                      <w:szCs w:val="24"/>
                      <w:lang w:eastAsia="lt-LT"/>
                    </w:rPr>
                    <w:t>. Projekto iniciatoriai (institucija, asmenys, ar piliečių atstovai) ir rengėjai.</w:t>
                  </w:r>
                </w:p>
                <w:p>
                  <w:pPr>
                    <w:ind w:firstLine="720"/>
                    <w:rPr>
                      <w:szCs w:val="24"/>
                      <w:lang w:eastAsia="lt-LT"/>
                    </w:rPr>
                  </w:pPr>
                  <w:r>
                    <w:rPr>
                      <w:szCs w:val="24"/>
                      <w:lang w:eastAsia="lt-LT"/>
                    </w:rPr>
                    <w:t>Projekto iniciatorius – Radviliškio rajono savivaldybės Kultūros, paveldosaugos ir turizmo skyrius. Projekto rengėja – Kultūros, paveldosaugos ir turizmo skyriaus vyriausioji specialistė Milda Mineikytė-Juknė.</w:t>
                  </w:r>
                </w:p>
              </w:sdtContent>
            </w:sdt>
            <w:sdt>
              <w:sdtPr>
                <w:alias w:val="3 p."/>
                <w:tag w:val="part_20058fa064f64072aa5c078a7324e7a5"/>
                <w:lock w:val="sdtLocked"/>
                <w:richText/>
              </w:sdtPr>
              <w:sdtContent>
                <w:p>
                  <w:pPr>
                    <w:ind w:firstLine="720"/>
                    <w:rPr>
                      <w:szCs w:val="24"/>
                    </w:rPr>
                  </w:pPr>
                  <w:sdt>
                    <w:sdtPr>
                      <w:alias w:val="Numeris"/>
                      <w:tag w:val="nr_20058fa064f64072aa5c078a7324e7a5"/>
                      <w:lock w:val="sdtLocked"/>
                      <w:richText/>
                    </w:sdtPr>
                    <w:sdtContent>
                      <w:r>
                        <w:rPr>
                          <w:b/>
                          <w:bCs/>
                          <w:color w:val="000000"/>
                          <w:szCs w:val="24"/>
                          <w:lang w:eastAsia="lt-LT"/>
                        </w:rPr>
                        <w:t>3</w:t>
                      </w:r>
                    </w:sdtContent>
                  </w:sdt>
                  <w:r>
                    <w:rPr>
                      <w:b/>
                      <w:bCs/>
                      <w:color w:val="000000"/>
                      <w:szCs w:val="24"/>
                      <w:lang w:eastAsia="lt-LT"/>
                    </w:rPr>
                    <w:t>.  Kaip šiuo metu yra reguliuojami sprendimo projekte aptarti teisiniai santykiai.</w:t>
                  </w:r>
                </w:p>
                <w:p>
                  <w:pPr>
                    <w:ind w:firstLine="720"/>
                    <w:jc w:val="both"/>
                    <w:rPr>
                      <w:szCs w:val="24"/>
                    </w:rPr>
                  </w:pPr>
                  <w:r>
                    <w:rPr>
                      <w:szCs w:val="24"/>
                      <w:lang w:eastAsia="lt-LT"/>
                    </w:rPr>
                    <w:t>Pagal Radviliškio rajono savivaldybės tarybos 2024 m. balandžio 11 d. sprendimą Nr. T-331 buvo patvirtintas Radviliškio viešosios bibliotekos teikiamų viešųjų paslaugų sąrašas ir kainos. Kai kurios bibliotekos paslaugos, tokios kaip skaitytojo pažymėjimai ar edukacinės veiklos, buvo mokamos. Šiuo sprendimo projektu siūloma šias paslaugas išbraukti iš mokamų, taip keičiant ankstesnį reguliavimą.</w:t>
                  </w:r>
                  <w:r>
                    <w:rPr>
                      <w:b/>
                      <w:bCs/>
                      <w:szCs w:val="24"/>
                      <w:lang w:eastAsia="lt-LT"/>
                    </w:rPr>
                    <w:t xml:space="preserve"> </w:t>
                  </w:r>
                  <w:r>
                    <w:rPr>
                      <w:bCs/>
                      <w:szCs w:val="24"/>
                    </w:rPr>
                    <w:t>Sprendimo projekte numatyta</w:t>
                  </w:r>
                  <w:r>
                    <w:rPr>
                      <w:b/>
                      <w:szCs w:val="24"/>
                    </w:rPr>
                    <w:t xml:space="preserve"> </w:t>
                  </w:r>
                  <w:r>
                    <w:rPr>
                      <w:bCs/>
                      <w:szCs w:val="24"/>
                    </w:rPr>
                    <w:t>p</w:t>
                  </w:r>
                  <w:r>
                    <w:rPr>
                      <w:szCs w:val="24"/>
                      <w:lang w:eastAsia="lt-LT"/>
                    </w:rPr>
                    <w:t>akeisti Radviliškio rajono savivaldybės tarybos 2024 m. balandžio 11 d. sprendimu Nr. T-331 patvirtintą Radviliškio viešosios bibliotekos mokamų paslaugų sąrašą, išbraukiant šias paslaugas:</w:t>
                  </w:r>
                </w:p>
              </w:sdtContent>
            </w:sdt>
            <w:sdt>
              <w:sdtPr>
                <w:alias w:val="1 p."/>
                <w:tag w:val="part_629cdc7e5e234970b73cc33c5f40b468"/>
                <w:lock w:val="sdtLocked"/>
                <w:richText/>
              </w:sdtPr>
              <w:sdtContent>
                <w:p>
                  <w:pPr>
                    <w:tabs>
                      <w:tab w:val="left" w:pos="993"/>
                    </w:tabs>
                    <w:ind w:firstLine="709"/>
                    <w:jc w:val="both"/>
                    <w:rPr>
                      <w:szCs w:val="24"/>
                      <w:lang w:eastAsia="lt-LT"/>
                    </w:rPr>
                  </w:pPr>
                  <w:sdt>
                    <w:sdtPr>
                      <w:alias w:val="Numeris"/>
                      <w:tag w:val="nr_629cdc7e5e234970b73cc33c5f40b468"/>
                      <w:lock w:val="sdtLocked"/>
                      <w:richText/>
                    </w:sdtPr>
                    <w:sdtContent>
                      <w:r>
                        <w:rPr>
                          <w:szCs w:val="24"/>
                          <w:lang w:eastAsia="lt-LT"/>
                        </w:rPr>
                        <w:t>1</w:t>
                      </w:r>
                    </w:sdtContent>
                  </w:sdt>
                  <w:r>
                    <w:rPr>
                      <w:szCs w:val="24"/>
                      <w:lang w:eastAsia="lt-LT"/>
                    </w:rPr>
                    <w:t>.</w:t>
                    <w:tab/>
                  </w:r>
                  <w:r>
                    <w:rPr>
                      <w:b/>
                      <w:bCs/>
                      <w:szCs w:val="24"/>
                      <w:lang w:eastAsia="lt-LT"/>
                    </w:rPr>
                    <w:t>Skaitytojo pažymėjimai (plastikiniai)</w:t>
                  </w:r>
                  <w:r>
                    <w:rPr>
                      <w:szCs w:val="24"/>
                      <w:lang w:eastAsia="lt-LT"/>
                    </w:rPr>
                    <w:t xml:space="preserve"> – tiek suaugusiems, tiek vaikams, mokiniams ir žaislotekos lankytojams.</w:t>
                  </w:r>
                </w:p>
              </w:sdtContent>
            </w:sdt>
            <w:sdt>
              <w:sdtPr>
                <w:alias w:val="2 p."/>
                <w:tag w:val="part_9ffd7246638542bb8a3b4018166e92aa"/>
                <w:lock w:val="sdtLocked"/>
                <w:richText/>
              </w:sdtPr>
              <w:sdtContent>
                <w:p>
                  <w:pPr>
                    <w:tabs>
                      <w:tab w:val="left" w:pos="993"/>
                    </w:tabs>
                    <w:ind w:firstLine="709"/>
                    <w:jc w:val="both"/>
                    <w:rPr>
                      <w:szCs w:val="24"/>
                      <w:lang w:eastAsia="lt-LT"/>
                    </w:rPr>
                  </w:pPr>
                  <w:sdt>
                    <w:sdtPr>
                      <w:alias w:val="Numeris"/>
                      <w:tag w:val="nr_9ffd7246638542bb8a3b4018166e92aa"/>
                      <w:lock w:val="sdtLocked"/>
                      <w:richText/>
                    </w:sdtPr>
                    <w:sdtContent>
                      <w:r>
                        <w:rPr>
                          <w:szCs w:val="24"/>
                          <w:lang w:eastAsia="lt-LT"/>
                        </w:rPr>
                        <w:t>2</w:t>
                      </w:r>
                    </w:sdtContent>
                  </w:sdt>
                  <w:r>
                    <w:rPr>
                      <w:szCs w:val="24"/>
                      <w:lang w:eastAsia="lt-LT"/>
                    </w:rPr>
                    <w:t>.</w:t>
                    <w:tab/>
                  </w:r>
                  <w:r>
                    <w:rPr>
                      <w:b/>
                      <w:bCs/>
                      <w:szCs w:val="24"/>
                      <w:lang w:eastAsia="lt-LT"/>
                    </w:rPr>
                    <w:t>Skaitytojo pažymėjimo dublikatai</w:t>
                  </w:r>
                  <w:r>
                    <w:rPr>
                      <w:szCs w:val="24"/>
                      <w:lang w:eastAsia="lt-LT"/>
                    </w:rPr>
                    <w:t xml:space="preserve"> – visoms vartotojų grupėms.</w:t>
                  </w:r>
                </w:p>
              </w:sdtContent>
            </w:sdt>
            <w:sdt>
              <w:sdtPr>
                <w:alias w:val="3 p."/>
                <w:tag w:val="part_e79490d0ae37470c90ad48d711b01984"/>
                <w:lock w:val="sdtLocked"/>
                <w:richText/>
              </w:sdtPr>
              <w:sdtContent>
                <w:p>
                  <w:pPr>
                    <w:tabs>
                      <w:tab w:val="left" w:pos="993"/>
                    </w:tabs>
                    <w:ind w:firstLine="709"/>
                    <w:jc w:val="both"/>
                    <w:rPr>
                      <w:szCs w:val="24"/>
                      <w:lang w:eastAsia="lt-LT"/>
                    </w:rPr>
                  </w:pPr>
                  <w:sdt>
                    <w:sdtPr>
                      <w:alias w:val="Numeris"/>
                      <w:tag w:val="nr_e79490d0ae37470c90ad48d711b01984"/>
                      <w:lock w:val="sdtLocked"/>
                      <w:richText/>
                    </w:sdtPr>
                    <w:sdtContent>
                      <w:r>
                        <w:rPr>
                          <w:szCs w:val="24"/>
                          <w:lang w:eastAsia="lt-LT"/>
                        </w:rPr>
                        <w:t>3</w:t>
                      </w:r>
                    </w:sdtContent>
                  </w:sdt>
                  <w:r>
                    <w:rPr>
                      <w:szCs w:val="24"/>
                      <w:lang w:eastAsia="lt-LT"/>
                    </w:rPr>
                    <w:t>.</w:t>
                    <w:tab/>
                  </w:r>
                  <w:r>
                    <w:rPr>
                      <w:b/>
                      <w:bCs/>
                      <w:szCs w:val="24"/>
                      <w:lang w:eastAsia="lt-LT"/>
                    </w:rPr>
                    <w:t>Edukacinė veikla</w:t>
                  </w:r>
                  <w:r>
                    <w:rPr>
                      <w:szCs w:val="24"/>
                      <w:lang w:eastAsia="lt-LT"/>
                    </w:rPr>
                    <w:t xml:space="preserve"> – piešimas ant šviečiančių molbertų vaikams.</w:t>
                  </w:r>
                </w:p>
                <w:p>
                  <w:pPr>
                    <w:ind w:firstLine="709"/>
                    <w:jc w:val="both"/>
                    <w:rPr>
                      <w:szCs w:val="24"/>
                      <w:lang w:eastAsia="lt-LT"/>
                    </w:rPr>
                  </w:pPr>
                  <w:r>
                    <w:rPr>
                      <w:szCs w:val="24"/>
                      <w:lang w:eastAsia="lt-LT"/>
                    </w:rPr>
                    <w:t xml:space="preserve">Tai reiškia, kad šios paslaugos bus teikiamos </w:t>
                  </w:r>
                  <w:r>
                    <w:rPr>
                      <w:b/>
                      <w:bCs/>
                      <w:szCs w:val="24"/>
                      <w:lang w:eastAsia="lt-LT"/>
                    </w:rPr>
                    <w:t>nemokamai</w:t>
                  </w:r>
                  <w:r>
                    <w:rPr>
                      <w:szCs w:val="24"/>
                      <w:lang w:eastAsia="lt-LT"/>
                    </w:rPr>
                    <w:t>.</w:t>
                  </w:r>
                </w:p>
              </w:sdtContent>
            </w:sdt>
            <w:sdt>
              <w:sdtPr>
                <w:alias w:val="4 p."/>
                <w:tag w:val="part_a2f2d0d5a81f462ebfccc87f3fb60602"/>
                <w:lock w:val="sdtLocked"/>
                <w:richText/>
              </w:sdtPr>
              <w:sdtContent>
                <w:p>
                  <w:pPr>
                    <w:ind w:firstLine="709"/>
                    <w:jc w:val="both"/>
                    <w:rPr>
                      <w:szCs w:val="24"/>
                      <w:lang w:eastAsia="lt-LT"/>
                    </w:rPr>
                  </w:pPr>
                  <w:sdt>
                    <w:sdtPr>
                      <w:alias w:val="Numeris"/>
                      <w:tag w:val="nr_a2f2d0d5a81f462ebfccc87f3fb60602"/>
                      <w:lock w:val="sdtLocked"/>
                      <w:richText/>
                    </w:sdtPr>
                    <w:sdtContent>
                      <w:r>
                        <w:rPr>
                          <w:b/>
                          <w:bCs/>
                          <w:szCs w:val="24"/>
                          <w:lang w:eastAsia="lt-LT"/>
                        </w:rPr>
                        <w:t>4</w:t>
                      </w:r>
                    </w:sdtContent>
                  </w:sdt>
                  <w:r>
                    <w:rPr>
                      <w:b/>
                      <w:bCs/>
                      <w:szCs w:val="24"/>
                      <w:lang w:eastAsia="lt-LT"/>
                    </w:rPr>
                    <w:t>. Kokios siūlomos naujos teisinio reguliavimo nuostatos, kokių teigiamų rezultatų laukiama.</w:t>
                  </w:r>
                </w:p>
                <w:p>
                  <w:pPr>
                    <w:ind w:firstLine="709"/>
                    <w:rPr>
                      <w:szCs w:val="24"/>
                      <w:lang w:eastAsia="lt-LT"/>
                    </w:rPr>
                  </w:pPr>
                  <w:r>
                    <w:rPr>
                      <w:szCs w:val="24"/>
                      <w:lang w:eastAsia="lt-LT"/>
                    </w:rPr>
                    <w:t>Neigiama pasekmė – nenumatoma.</w:t>
                  </w:r>
                </w:p>
                <w:p>
                  <w:pPr>
                    <w:ind w:firstLine="709"/>
                    <w:jc w:val="both"/>
                    <w:rPr>
                      <w:szCs w:val="24"/>
                      <w:lang w:eastAsia="lt-LT"/>
                    </w:rPr>
                  </w:pPr>
                  <w:r>
                    <w:rPr>
                      <w:szCs w:val="24"/>
                      <w:lang w:eastAsia="lt-LT"/>
                    </w:rPr>
                    <w:t>Teigiama pasekmė – daugiau gyventojų, ypač vaikai ir socialiai jautrios grupės, galės nemokamai naudotis bibliotekos paslaugomis, todėl didės lankytojų skaičius, bus skatinamas skaitymas, kūrybiškumas ir kultūrinis aktyvumas.</w:t>
                  </w:r>
                </w:p>
              </w:sdtContent>
            </w:sdt>
            <w:sdt>
              <w:sdtPr>
                <w:alias w:val="5 p."/>
                <w:tag w:val="part_31db63d584f04b58b45de3ecd546d4e5"/>
                <w:lock w:val="sdtLocked"/>
                <w:richText/>
              </w:sdtPr>
              <w:sdtContent>
                <w:p>
                  <w:pPr>
                    <w:ind w:firstLine="709"/>
                    <w:jc w:val="both"/>
                    <w:rPr>
                      <w:b/>
                      <w:bCs/>
                      <w:szCs w:val="24"/>
                      <w:lang w:eastAsia="lt-LT"/>
                    </w:rPr>
                  </w:pPr>
                  <w:sdt>
                    <w:sdtPr>
                      <w:alias w:val="Numeris"/>
                      <w:tag w:val="nr_31db63d584f04b58b45de3ecd546d4e5"/>
                      <w:lock w:val="sdtLocked"/>
                      <w:richText/>
                    </w:sdtPr>
                    <w:sdtContent>
                      <w:r>
                        <w:rPr>
                          <w:b/>
                          <w:bCs/>
                          <w:szCs w:val="24"/>
                          <w:lang w:eastAsia="lt-LT"/>
                        </w:rPr>
                        <w:t>5</w:t>
                      </w:r>
                    </w:sdtContent>
                  </w:sdt>
                  <w:r>
                    <w:rPr>
                      <w:b/>
                      <w:bCs/>
                      <w:szCs w:val="24"/>
                      <w:lang w:eastAsia="lt-LT"/>
                    </w:rPr>
                    <w:t>. Galimos neigiamos priimto sprendimo projekto pasekmės ir kokių priemonių reiktų imtis, kad tokių pasekmių būtų išvengta.</w:t>
                  </w:r>
                </w:p>
                <w:p>
                  <w:pPr>
                    <w:ind w:firstLine="709"/>
                    <w:rPr>
                      <w:szCs w:val="24"/>
                      <w:lang w:eastAsia="lt-LT"/>
                    </w:rPr>
                  </w:pPr>
                  <w:r>
                    <w:rPr>
                      <w:szCs w:val="24"/>
                      <w:lang w:eastAsia="lt-LT"/>
                    </w:rPr>
                    <w:t>Neigiamų pasekmių nenumatoma.</w:t>
                  </w:r>
                </w:p>
              </w:sdtContent>
            </w:sdt>
            <w:sdt>
              <w:sdtPr>
                <w:alias w:val="6 p."/>
                <w:tag w:val="part_e971b001300d4e52b9569e892aa94a22"/>
                <w:lock w:val="sdtLocked"/>
                <w:richText/>
              </w:sdtPr>
              <w:sdtContent>
                <w:p>
                  <w:pPr>
                    <w:tabs>
                      <w:tab w:val="left" w:pos="1276"/>
                    </w:tabs>
                    <w:ind w:firstLine="744"/>
                    <w:jc w:val="both"/>
                    <w:rPr>
                      <w:b/>
                      <w:bCs/>
                      <w:iCs/>
                      <w:szCs w:val="24"/>
                    </w:rPr>
                  </w:pPr>
                  <w:sdt>
                    <w:sdtPr>
                      <w:alias w:val="Numeris"/>
                      <w:tag w:val="nr_e971b001300d4e52b9569e892aa94a22"/>
                      <w:lock w:val="sdtLocked"/>
                      <w:richText/>
                    </w:sdtPr>
                    <w:sdtContent>
                      <w:r>
                        <w:rPr>
                          <w:b/>
                          <w:bCs/>
                          <w:iCs/>
                          <w:szCs w:val="24"/>
                        </w:rPr>
                        <w:t>6</w:t>
                      </w:r>
                    </w:sdtContent>
                  </w:sdt>
                  <w:r>
                    <w:rPr>
                      <w:b/>
                      <w:bCs/>
                      <w:iCs/>
                      <w:szCs w:val="24"/>
                    </w:rPr>
                    <w:t>. Kokius teisės aktus būtina priimti, kokius galiojančius teisės aktus būtina pakeisti</w:t>
                  </w:r>
                </w:p>
              </w:sdtContent>
            </w:sdt>
          </w:sdtContent>
        </w:sdt>
        <w:sdt>
          <w:sdtPr>
            <w:alias w:val="skirsnis"/>
            <w:tag w:val="part_80eb1390f4334f2c954b5f1fe68839a4"/>
            <w:lock w:val="sdtLocked"/>
            <w:richText/>
          </w:sdtPr>
          <w:sdtContent>
            <w:p>
              <w:pPr>
                <w:tabs>
                  <w:tab w:val="left" w:pos="1276"/>
                </w:tabs>
                <w:jc w:val="both"/>
                <w:rPr>
                  <w:b/>
                  <w:bCs/>
                  <w:iCs/>
                  <w:szCs w:val="24"/>
                </w:rPr>
              </w:pPr>
              <w:sdt>
                <w:sdtPr>
                  <w:alias w:val="Pavadinimas"/>
                  <w:tag w:val="title_80eb1390f4334f2c954b5f1fe68839a4"/>
                  <w:lock w:val="sdtLocked"/>
                  <w:richText/>
                </w:sdtPr>
                <w:sdtContent>
                  <w:r>
                    <w:rPr>
                      <w:b/>
                      <w:bCs/>
                      <w:iCs/>
                      <w:szCs w:val="24"/>
                    </w:rPr>
                    <w:t>ar pripažinti netekusiais galios priėmus sprendimo projektą.</w:t>
                  </w:r>
                </w:sdtContent>
              </w:sdt>
            </w:p>
            <w:p>
              <w:pPr>
                <w:tabs>
                  <w:tab w:val="left" w:pos="1276"/>
                </w:tabs>
                <w:ind w:firstLine="744"/>
                <w:jc w:val="both"/>
                <w:rPr>
                  <w:iCs/>
                  <w:szCs w:val="24"/>
                </w:rPr>
              </w:pPr>
              <w:r>
                <w:rPr>
                  <w:iCs/>
                  <w:szCs w:val="24"/>
                </w:rPr>
                <w:t>Priėmus šį sprendimą, bus pakeistas Radviliškio rajono savivaldybės tarybos 2024 m. balandžio 11 d. sprendimas Nr. T-331.</w:t>
              </w:r>
            </w:p>
            <w:sdt>
              <w:sdtPr>
                <w:alias w:val="7 p."/>
                <w:tag w:val="part_103ce85332214bdb9caabf370896515a"/>
                <w:lock w:val="sdtLocked"/>
                <w:richText/>
              </w:sdtPr>
              <w:sdtContent>
                <w:p>
                  <w:pPr>
                    <w:ind w:firstLine="744"/>
                    <w:jc w:val="both"/>
                    <w:rPr>
                      <w:b/>
                      <w:bCs/>
                      <w:iCs/>
                      <w:szCs w:val="24"/>
                    </w:rPr>
                  </w:pPr>
                  <w:sdt>
                    <w:sdtPr>
                      <w:alias w:val="Numeris"/>
                      <w:tag w:val="nr_103ce85332214bdb9caabf370896515a"/>
                      <w:lock w:val="sdtLocked"/>
                      <w:richText/>
                    </w:sdtPr>
                    <w:sdtContent>
                      <w:r>
                        <w:rPr>
                          <w:b/>
                          <w:bCs/>
                          <w:iCs/>
                          <w:szCs w:val="24"/>
                        </w:rPr>
                        <w:t>7</w:t>
                      </w:r>
                    </w:sdtContent>
                  </w:sdt>
                  <w:r>
                    <w:rPr>
                      <w:b/>
                      <w:bCs/>
                      <w:iCs/>
                      <w:szCs w:val="24"/>
                    </w:rPr>
                    <w:t>. Sprendimo projektui įgyvendinti reikalingos lėšos, finansavimo šaltiniai.</w:t>
                  </w:r>
                </w:p>
                <w:p>
                  <w:pPr>
                    <w:ind w:firstLine="709"/>
                    <w:jc w:val="both"/>
                    <w:rPr>
                      <w:b/>
                      <w:bCs/>
                      <w:iCs/>
                      <w:szCs w:val="24"/>
                    </w:rPr>
                  </w:pPr>
                  <w:r>
                    <w:rPr>
                      <w:iCs/>
                      <w:szCs w:val="24"/>
                    </w:rPr>
                    <w:t>Sprendimo projektui įgyvendinti lėšų nereikės.</w:t>
                  </w:r>
                  <w:r>
                    <w:rPr>
                      <w:b/>
                      <w:bCs/>
                      <w:iCs/>
                      <w:szCs w:val="24"/>
                    </w:rPr>
                    <w:t xml:space="preserve"> </w:t>
                  </w:r>
                </w:p>
              </w:sdtContent>
            </w:sdt>
            <w:sdt>
              <w:sdtPr>
                <w:alias w:val="8 p."/>
                <w:tag w:val="part_36ddc052cbff40928046a81f629cf204"/>
                <w:lock w:val="sdtLocked"/>
                <w:richText/>
              </w:sdtPr>
              <w:sdtContent>
                <w:p>
                  <w:pPr>
                    <w:ind w:firstLine="744"/>
                    <w:jc w:val="both"/>
                    <w:rPr>
                      <w:b/>
                      <w:bCs/>
                      <w:iCs/>
                      <w:szCs w:val="24"/>
                    </w:rPr>
                  </w:pPr>
                  <w:sdt>
                    <w:sdtPr>
                      <w:alias w:val="Numeris"/>
                      <w:tag w:val="nr_36ddc052cbff40928046a81f629cf204"/>
                      <w:lock w:val="sdtLocked"/>
                      <w:richText/>
                    </w:sdtPr>
                    <w:sdtContent>
                      <w:r>
                        <w:rPr>
                          <w:b/>
                          <w:bCs/>
                          <w:iCs/>
                          <w:szCs w:val="24"/>
                        </w:rPr>
                        <w:t>8</w:t>
                      </w:r>
                    </w:sdtContent>
                  </w:sdt>
                  <w:r>
                    <w:rPr>
                      <w:b/>
                      <w:bCs/>
                      <w:iCs/>
                      <w:szCs w:val="24"/>
                    </w:rPr>
                    <w:t>. Sprendimo projekto rengimo metu gauti specialistų vertinimai ir išvados.</w:t>
                  </w:r>
                </w:p>
                <w:p>
                  <w:pPr>
                    <w:spacing w:line="290" w:lineRule="exact"/>
                    <w:ind w:firstLine="709"/>
                    <w:jc w:val="both"/>
                    <w:rPr>
                      <w:bCs/>
                      <w:szCs w:val="24"/>
                    </w:rPr>
                  </w:pPr>
                  <w:r>
                    <w:rPr>
                      <w:bCs/>
                      <w:szCs w:val="24"/>
                    </w:rPr>
                    <w:t>Sprendimo projektas</w:t>
                  </w:r>
                  <w:r>
                    <w:rPr>
                      <w:b/>
                      <w:szCs w:val="24"/>
                    </w:rPr>
                    <w:t xml:space="preserve"> </w:t>
                  </w:r>
                  <w:r>
                    <w:rPr>
                      <w:bCs/>
                      <w:szCs w:val="24"/>
                    </w:rPr>
                    <w:t>suderintas su Savivaldybės administracijos direktore, juristu, kalbininku, vicemerais ir meru.</w:t>
                  </w:r>
                </w:p>
              </w:sdtContent>
            </w:sdt>
            <w:sdt>
              <w:sdtPr>
                <w:alias w:val="9 p."/>
                <w:tag w:val="part_17271317998743c8b429d938bd3d7949"/>
                <w:lock w:val="sdtLocked"/>
                <w:richText/>
              </w:sdtPr>
              <w:sdtContent>
                <w:p>
                  <w:pPr>
                    <w:spacing w:line="290" w:lineRule="exact"/>
                    <w:ind w:firstLine="709"/>
                    <w:jc w:val="both"/>
                    <w:rPr>
                      <w:bCs/>
                      <w:szCs w:val="24"/>
                    </w:rPr>
                  </w:pPr>
                  <w:sdt>
                    <w:sdtPr>
                      <w:alias w:val="Numeris"/>
                      <w:tag w:val="nr_17271317998743c8b429d938bd3d7949"/>
                      <w:lock w:val="sdtLocked"/>
                      <w:richText/>
                    </w:sdtPr>
                    <w:sdtContent>
                      <w:r>
                        <w:rPr>
                          <w:b/>
                          <w:bCs/>
                          <w:iCs/>
                          <w:szCs w:val="24"/>
                        </w:rPr>
                        <w:t>9</w:t>
                      </w:r>
                    </w:sdtContent>
                  </w:sdt>
                  <w:r>
                    <w:rPr>
                      <w:b/>
                      <w:bCs/>
                      <w:iCs/>
                      <w:szCs w:val="24"/>
                    </w:rPr>
                    <w:t>. Numatomo teisinio reguliavimo poveikio vertinimo rezultatai.</w:t>
                  </w:r>
                </w:p>
                <w:p>
                  <w:pPr>
                    <w:ind w:firstLine="709"/>
                    <w:jc w:val="both"/>
                    <w:rPr>
                      <w:iCs/>
                      <w:szCs w:val="24"/>
                    </w:rPr>
                  </w:pPr>
                  <w:r>
                    <w:rPr>
                      <w:szCs w:val="24"/>
                    </w:rPr>
                    <w:t xml:space="preserve">Rezultatai nenumatomi. </w:t>
                  </w:r>
                </w:p>
              </w:sdtContent>
            </w:sdt>
            <w:sdt>
              <w:sdtPr>
                <w:alias w:val="10 p."/>
                <w:tag w:val="part_ce40e09a84ed45bc921327c45f8cc435"/>
                <w:lock w:val="sdtLocked"/>
                <w:richText/>
              </w:sdtPr>
              <w:sdtContent>
                <w:p>
                  <w:pPr>
                    <w:ind w:firstLine="709"/>
                    <w:jc w:val="both"/>
                    <w:rPr>
                      <w:iCs/>
                      <w:szCs w:val="24"/>
                    </w:rPr>
                  </w:pPr>
                  <w:sdt>
                    <w:sdtPr>
                      <w:alias w:val="Numeris"/>
                      <w:tag w:val="nr_ce40e09a84ed45bc921327c45f8cc435"/>
                      <w:lock w:val="sdtLocked"/>
                      <w:richText/>
                    </w:sdtPr>
                    <w:sdtContent>
                      <w:r>
                        <w:rPr>
                          <w:b/>
                          <w:bCs/>
                          <w:iCs/>
                          <w:szCs w:val="24"/>
                        </w:rPr>
                        <w:t>10</w:t>
                      </w:r>
                    </w:sdtContent>
                  </w:sdt>
                  <w:r>
                    <w:rPr>
                      <w:b/>
                      <w:bCs/>
                      <w:iCs/>
                      <w:szCs w:val="24"/>
                    </w:rPr>
                    <w:t>. Sprendimo projekto antikorupcinis vertinimas.</w:t>
                  </w:r>
                </w:p>
                <w:p>
                  <w:pPr>
                    <w:ind w:firstLine="709"/>
                    <w:jc w:val="both"/>
                    <w:rPr>
                      <w:iCs/>
                      <w:szCs w:val="24"/>
                    </w:rPr>
                  </w:pPr>
                  <w:r>
                    <w:rPr>
                      <w:szCs w:val="24"/>
                    </w:rPr>
                    <w:t xml:space="preserve">Antikorupciniam vertinimui sprendimo projektas neteikiamas. </w:t>
                  </w:r>
                </w:p>
              </w:sdtContent>
            </w:sdt>
            <w:sdt>
              <w:sdtPr>
                <w:alias w:val="11 p."/>
                <w:tag w:val="part_815dcf9fe47947e5989faba81f4806da"/>
                <w:lock w:val="sdtLocked"/>
                <w:richText/>
              </w:sdtPr>
              <w:sdtContent>
                <w:p>
                  <w:pPr>
                    <w:ind w:firstLine="709"/>
                    <w:jc w:val="both"/>
                    <w:rPr>
                      <w:iCs/>
                      <w:szCs w:val="24"/>
                    </w:rPr>
                  </w:pPr>
                  <w:sdt>
                    <w:sdtPr>
                      <w:alias w:val="Numeris"/>
                      <w:tag w:val="nr_815dcf9fe47947e5989faba81f4806da"/>
                      <w:lock w:val="sdtLocked"/>
                      <w:richText/>
                    </w:sdtPr>
                    <w:sdtContent>
                      <w:r>
                        <w:rPr>
                          <w:b/>
                          <w:bCs/>
                          <w:iCs/>
                          <w:szCs w:val="24"/>
                        </w:rPr>
                        <w:t>11</w:t>
                      </w:r>
                    </w:sdtContent>
                  </w:sdt>
                  <w:r>
                    <w:rPr>
                      <w:b/>
                      <w:bCs/>
                      <w:iCs/>
                      <w:szCs w:val="24"/>
                    </w:rPr>
                    <w:t>. Kiti, iniciatoriaus nuomone, reikalingi pagrindimai ir paaiškinimai.</w:t>
                  </w:r>
                </w:p>
                <w:p>
                  <w:pPr>
                    <w:ind w:firstLine="709"/>
                    <w:jc w:val="both"/>
                    <w:rPr>
                      <w:iCs/>
                      <w:szCs w:val="24"/>
                    </w:rPr>
                  </w:pPr>
                  <w:r>
                    <w:rPr>
                      <w:iCs/>
                      <w:szCs w:val="24"/>
                    </w:rPr>
                    <w:t>Nėra.</w:t>
                  </w:r>
                </w:p>
              </w:sdtContent>
            </w:sdt>
            <w:sdt>
              <w:sdtPr>
                <w:alias w:val="12 p."/>
                <w:tag w:val="part_d4b044130a244450b253bc6dd7907989"/>
                <w:lock w:val="sdtLocked"/>
                <w:richText/>
              </w:sdtPr>
              <w:sdtContent>
                <w:p>
                  <w:pPr>
                    <w:ind w:firstLine="709"/>
                    <w:jc w:val="both"/>
                    <w:rPr>
                      <w:iCs/>
                      <w:szCs w:val="24"/>
                    </w:rPr>
                  </w:pPr>
                  <w:sdt>
                    <w:sdtPr>
                      <w:alias w:val="Numeris"/>
                      <w:tag w:val="nr_d4b044130a244450b253bc6dd7907989"/>
                      <w:lock w:val="sdtLocked"/>
                      <w:richText/>
                    </w:sdtPr>
                    <w:sdtContent>
                      <w:r>
                        <w:rPr>
                          <w:b/>
                          <w:bCs/>
                          <w:iCs/>
                          <w:szCs w:val="24"/>
                        </w:rPr>
                        <w:t>12</w:t>
                      </w:r>
                    </w:sdtContent>
                  </w:sdt>
                  <w:r>
                    <w:rPr>
                      <w:b/>
                      <w:bCs/>
                      <w:iCs/>
                      <w:szCs w:val="24"/>
                    </w:rPr>
                    <w:t>. Pridedami dokumentai.</w:t>
                  </w:r>
                </w:p>
                <w:p>
                  <w:pPr>
                    <w:ind w:firstLine="709"/>
                    <w:jc w:val="both"/>
                    <w:rPr>
                      <w:iCs/>
                      <w:szCs w:val="24"/>
                    </w:rPr>
                  </w:pPr>
                  <w:r>
                    <w:rPr>
                      <w:bCs/>
                      <w:iCs/>
                      <w:szCs w:val="24"/>
                    </w:rPr>
                    <w:t xml:space="preserve">Lyginamasis variantas. </w:t>
                  </w:r>
                </w:p>
                <w:p>
                  <w:pPr>
                    <w:jc w:val="both"/>
                    <w:rPr>
                      <w:szCs w:val="24"/>
                    </w:rPr>
                  </w:pPr>
                </w:p>
                <w:p>
                  <w:pPr>
                    <w:jc w:val="both"/>
                    <w:rPr>
                      <w:szCs w:val="24"/>
                    </w:rPr>
                  </w:pPr>
                </w:p>
                <w:p>
                  <w:pPr>
                    <w:jc w:val="both"/>
                    <w:rPr>
                      <w:szCs w:val="24"/>
                    </w:rPr>
                  </w:pPr>
                </w:p>
                <w:p>
                  <w:pPr>
                    <w:jc w:val="both"/>
                    <w:rPr>
                      <w:szCs w:val="24"/>
                      <w:lang w:eastAsia="lt-LT"/>
                    </w:rPr>
                  </w:pPr>
                  <w:r>
                    <w:rPr>
                      <w:szCs w:val="24"/>
                    </w:rPr>
                    <w:t xml:space="preserve">Kultūros, paveldosaugos ir turizmo skyriaus vyriausioji specialistė                   Milda Mineikytė-Juknė </w:t>
                  </w:r>
                </w:p>
                <w:p>
                  <w:pPr>
                    <w:jc w:val="both"/>
                    <w:rPr>
                      <w:szCs w:val="24"/>
                      <w:lang w:eastAsia="lt-LT"/>
                    </w:rPr>
                  </w:pPr>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ptos Display">
    <w:altName w:val="Arial"/>
    <w:charset w:val="00"/>
    <w:family w:val="swiss"/>
    <w:pitch w:val="variable"/>
    <w:sig w:usb0="20000287" w:usb1="00000003" w:usb2="00000000" w:usb3="00000000" w:csb0="0000019F" w:csb1="00000000"/>
  </w:font>
  <w:font w:name="Aptos">
    <w:altName w:val="Times New Roman"/>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50B3"/>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932205-2DD7-4CFC-9E86-C47A5606E6A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8204712">
      <w:bodyDiv w:val="1"/>
      <w:marLeft w:val="0"/>
      <w:marRight w:val="0"/>
      <w:marTop w:val="0"/>
      <w:marBottom w:val="0"/>
      <w:divBdr>
        <w:top w:val="none" w:sz="0" w:space="0" w:color="auto"/>
        <w:left w:val="none" w:sz="0" w:space="0" w:color="auto"/>
        <w:bottom w:val="none" w:sz="0" w:space="0" w:color="auto"/>
        <w:right w:val="none" w:sz="0" w:space="0" w:color="auto"/>
      </w:divBdr>
    </w:div>
    <w:div w:id="297686853">
      <w:bodyDiv w:val="1"/>
      <w:marLeft w:val="0"/>
      <w:marRight w:val="0"/>
      <w:marTop w:val="0"/>
      <w:marBottom w:val="0"/>
      <w:divBdr>
        <w:top w:val="none" w:sz="0" w:space="0" w:color="auto"/>
        <w:left w:val="none" w:sz="0" w:space="0" w:color="auto"/>
        <w:bottom w:val="none" w:sz="0" w:space="0" w:color="auto"/>
        <w:right w:val="none" w:sz="0" w:space="0" w:color="auto"/>
      </w:divBdr>
    </w:div>
    <w:div w:id="591739777">
      <w:bodyDiv w:val="1"/>
      <w:marLeft w:val="0"/>
      <w:marRight w:val="0"/>
      <w:marTop w:val="0"/>
      <w:marBottom w:val="0"/>
      <w:divBdr>
        <w:top w:val="none" w:sz="0" w:space="0" w:color="auto"/>
        <w:left w:val="none" w:sz="0" w:space="0" w:color="auto"/>
        <w:bottom w:val="none" w:sz="0" w:space="0" w:color="auto"/>
        <w:right w:val="none" w:sz="0" w:space="0" w:color="auto"/>
      </w:divBdr>
    </w:div>
    <w:div w:id="624166359">
      <w:bodyDiv w:val="1"/>
      <w:marLeft w:val="0"/>
      <w:marRight w:val="0"/>
      <w:marTop w:val="0"/>
      <w:marBottom w:val="0"/>
      <w:divBdr>
        <w:top w:val="none" w:sz="0" w:space="0" w:color="auto"/>
        <w:left w:val="none" w:sz="0" w:space="0" w:color="auto"/>
        <w:bottom w:val="none" w:sz="0" w:space="0" w:color="auto"/>
        <w:right w:val="none" w:sz="0" w:space="0" w:color="auto"/>
      </w:divBdr>
    </w:div>
    <w:div w:id="634261848">
      <w:bodyDiv w:val="1"/>
      <w:marLeft w:val="0"/>
      <w:marRight w:val="0"/>
      <w:marTop w:val="0"/>
      <w:marBottom w:val="0"/>
      <w:divBdr>
        <w:top w:val="none" w:sz="0" w:space="0" w:color="auto"/>
        <w:left w:val="none" w:sz="0" w:space="0" w:color="auto"/>
        <w:bottom w:val="none" w:sz="0" w:space="0" w:color="auto"/>
        <w:right w:val="none" w:sz="0" w:space="0" w:color="auto"/>
      </w:divBdr>
    </w:div>
    <w:div w:id="644968150">
      <w:bodyDiv w:val="1"/>
      <w:marLeft w:val="0"/>
      <w:marRight w:val="0"/>
      <w:marTop w:val="0"/>
      <w:marBottom w:val="0"/>
      <w:divBdr>
        <w:top w:val="none" w:sz="0" w:space="0" w:color="auto"/>
        <w:left w:val="none" w:sz="0" w:space="0" w:color="auto"/>
        <w:bottom w:val="none" w:sz="0" w:space="0" w:color="auto"/>
        <w:right w:val="none" w:sz="0" w:space="0" w:color="auto"/>
      </w:divBdr>
    </w:div>
    <w:div w:id="649480263">
      <w:bodyDiv w:val="1"/>
      <w:marLeft w:val="0"/>
      <w:marRight w:val="0"/>
      <w:marTop w:val="0"/>
      <w:marBottom w:val="0"/>
      <w:divBdr>
        <w:top w:val="none" w:sz="0" w:space="0" w:color="auto"/>
        <w:left w:val="none" w:sz="0" w:space="0" w:color="auto"/>
        <w:bottom w:val="none" w:sz="0" w:space="0" w:color="auto"/>
        <w:right w:val="none" w:sz="0" w:space="0" w:color="auto"/>
      </w:divBdr>
    </w:div>
    <w:div w:id="660044098">
      <w:bodyDiv w:val="1"/>
      <w:marLeft w:val="0"/>
      <w:marRight w:val="0"/>
      <w:marTop w:val="0"/>
      <w:marBottom w:val="0"/>
      <w:divBdr>
        <w:top w:val="none" w:sz="0" w:space="0" w:color="auto"/>
        <w:left w:val="none" w:sz="0" w:space="0" w:color="auto"/>
        <w:bottom w:val="none" w:sz="0" w:space="0" w:color="auto"/>
        <w:right w:val="none" w:sz="0" w:space="0" w:color="auto"/>
      </w:divBdr>
    </w:div>
    <w:div w:id="669259387">
      <w:bodyDiv w:val="1"/>
      <w:marLeft w:val="0"/>
      <w:marRight w:val="0"/>
      <w:marTop w:val="0"/>
      <w:marBottom w:val="0"/>
      <w:divBdr>
        <w:top w:val="none" w:sz="0" w:space="0" w:color="auto"/>
        <w:left w:val="none" w:sz="0" w:space="0" w:color="auto"/>
        <w:bottom w:val="none" w:sz="0" w:space="0" w:color="auto"/>
        <w:right w:val="none" w:sz="0" w:space="0" w:color="auto"/>
      </w:divBdr>
    </w:div>
    <w:div w:id="721752893">
      <w:bodyDiv w:val="1"/>
      <w:marLeft w:val="0"/>
      <w:marRight w:val="0"/>
      <w:marTop w:val="0"/>
      <w:marBottom w:val="0"/>
      <w:divBdr>
        <w:top w:val="none" w:sz="0" w:space="0" w:color="auto"/>
        <w:left w:val="none" w:sz="0" w:space="0" w:color="auto"/>
        <w:bottom w:val="none" w:sz="0" w:space="0" w:color="auto"/>
        <w:right w:val="none" w:sz="0" w:space="0" w:color="auto"/>
      </w:divBdr>
    </w:div>
    <w:div w:id="901133977">
      <w:bodyDiv w:val="1"/>
      <w:marLeft w:val="0"/>
      <w:marRight w:val="0"/>
      <w:marTop w:val="0"/>
      <w:marBottom w:val="0"/>
      <w:divBdr>
        <w:top w:val="none" w:sz="0" w:space="0" w:color="auto"/>
        <w:left w:val="none" w:sz="0" w:space="0" w:color="auto"/>
        <w:bottom w:val="none" w:sz="0" w:space="0" w:color="auto"/>
        <w:right w:val="none" w:sz="0" w:space="0" w:color="auto"/>
      </w:divBdr>
    </w:div>
    <w:div w:id="933509889">
      <w:bodyDiv w:val="1"/>
      <w:marLeft w:val="0"/>
      <w:marRight w:val="0"/>
      <w:marTop w:val="0"/>
      <w:marBottom w:val="0"/>
      <w:divBdr>
        <w:top w:val="none" w:sz="0" w:space="0" w:color="auto"/>
        <w:left w:val="none" w:sz="0" w:space="0" w:color="auto"/>
        <w:bottom w:val="none" w:sz="0" w:space="0" w:color="auto"/>
        <w:right w:val="none" w:sz="0" w:space="0" w:color="auto"/>
      </w:divBdr>
    </w:div>
    <w:div w:id="1013724069">
      <w:bodyDiv w:val="1"/>
      <w:marLeft w:val="0"/>
      <w:marRight w:val="0"/>
      <w:marTop w:val="0"/>
      <w:marBottom w:val="0"/>
      <w:divBdr>
        <w:top w:val="none" w:sz="0" w:space="0" w:color="auto"/>
        <w:left w:val="none" w:sz="0" w:space="0" w:color="auto"/>
        <w:bottom w:val="none" w:sz="0" w:space="0" w:color="auto"/>
        <w:right w:val="none" w:sz="0" w:space="0" w:color="auto"/>
      </w:divBdr>
    </w:div>
    <w:div w:id="1106851155">
      <w:bodyDiv w:val="1"/>
      <w:marLeft w:val="0"/>
      <w:marRight w:val="0"/>
      <w:marTop w:val="0"/>
      <w:marBottom w:val="0"/>
      <w:divBdr>
        <w:top w:val="none" w:sz="0" w:space="0" w:color="auto"/>
        <w:left w:val="none" w:sz="0" w:space="0" w:color="auto"/>
        <w:bottom w:val="none" w:sz="0" w:space="0" w:color="auto"/>
        <w:right w:val="none" w:sz="0" w:space="0" w:color="auto"/>
      </w:divBdr>
    </w:div>
    <w:div w:id="1188831219">
      <w:bodyDiv w:val="1"/>
      <w:marLeft w:val="0"/>
      <w:marRight w:val="0"/>
      <w:marTop w:val="0"/>
      <w:marBottom w:val="0"/>
      <w:divBdr>
        <w:top w:val="none" w:sz="0" w:space="0" w:color="auto"/>
        <w:left w:val="none" w:sz="0" w:space="0" w:color="auto"/>
        <w:bottom w:val="none" w:sz="0" w:space="0" w:color="auto"/>
        <w:right w:val="none" w:sz="0" w:space="0" w:color="auto"/>
      </w:divBdr>
    </w:div>
    <w:div w:id="1198929418">
      <w:bodyDiv w:val="1"/>
      <w:marLeft w:val="0"/>
      <w:marRight w:val="0"/>
      <w:marTop w:val="0"/>
      <w:marBottom w:val="0"/>
      <w:divBdr>
        <w:top w:val="none" w:sz="0" w:space="0" w:color="auto"/>
        <w:left w:val="none" w:sz="0" w:space="0" w:color="auto"/>
        <w:bottom w:val="none" w:sz="0" w:space="0" w:color="auto"/>
        <w:right w:val="none" w:sz="0" w:space="0" w:color="auto"/>
      </w:divBdr>
      <w:divsChild>
        <w:div w:id="2313072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97107508">
      <w:bodyDiv w:val="1"/>
      <w:marLeft w:val="0"/>
      <w:marRight w:val="0"/>
      <w:marTop w:val="0"/>
      <w:marBottom w:val="0"/>
      <w:divBdr>
        <w:top w:val="none" w:sz="0" w:space="0" w:color="auto"/>
        <w:left w:val="none" w:sz="0" w:space="0" w:color="auto"/>
        <w:bottom w:val="none" w:sz="0" w:space="0" w:color="auto"/>
        <w:right w:val="none" w:sz="0" w:space="0" w:color="auto"/>
      </w:divBdr>
    </w:div>
    <w:div w:id="1309822786">
      <w:bodyDiv w:val="1"/>
      <w:marLeft w:val="0"/>
      <w:marRight w:val="0"/>
      <w:marTop w:val="0"/>
      <w:marBottom w:val="0"/>
      <w:divBdr>
        <w:top w:val="none" w:sz="0" w:space="0" w:color="auto"/>
        <w:left w:val="none" w:sz="0" w:space="0" w:color="auto"/>
        <w:bottom w:val="none" w:sz="0" w:space="0" w:color="auto"/>
        <w:right w:val="none" w:sz="0" w:space="0" w:color="auto"/>
      </w:divBdr>
    </w:div>
    <w:div w:id="1359046402">
      <w:bodyDiv w:val="1"/>
      <w:marLeft w:val="0"/>
      <w:marRight w:val="0"/>
      <w:marTop w:val="0"/>
      <w:marBottom w:val="0"/>
      <w:divBdr>
        <w:top w:val="none" w:sz="0" w:space="0" w:color="auto"/>
        <w:left w:val="none" w:sz="0" w:space="0" w:color="auto"/>
        <w:bottom w:val="none" w:sz="0" w:space="0" w:color="auto"/>
        <w:right w:val="none" w:sz="0" w:space="0" w:color="auto"/>
      </w:divBdr>
    </w:div>
    <w:div w:id="1419057268">
      <w:bodyDiv w:val="1"/>
      <w:marLeft w:val="0"/>
      <w:marRight w:val="0"/>
      <w:marTop w:val="0"/>
      <w:marBottom w:val="0"/>
      <w:divBdr>
        <w:top w:val="none" w:sz="0" w:space="0" w:color="auto"/>
        <w:left w:val="none" w:sz="0" w:space="0" w:color="auto"/>
        <w:bottom w:val="none" w:sz="0" w:space="0" w:color="auto"/>
        <w:right w:val="none" w:sz="0" w:space="0" w:color="auto"/>
      </w:divBdr>
    </w:div>
    <w:div w:id="1428815960">
      <w:bodyDiv w:val="1"/>
      <w:marLeft w:val="0"/>
      <w:marRight w:val="0"/>
      <w:marTop w:val="0"/>
      <w:marBottom w:val="0"/>
      <w:divBdr>
        <w:top w:val="none" w:sz="0" w:space="0" w:color="auto"/>
        <w:left w:val="none" w:sz="0" w:space="0" w:color="auto"/>
        <w:bottom w:val="none" w:sz="0" w:space="0" w:color="auto"/>
        <w:right w:val="none" w:sz="0" w:space="0" w:color="auto"/>
      </w:divBdr>
    </w:div>
    <w:div w:id="1561820808">
      <w:bodyDiv w:val="1"/>
      <w:marLeft w:val="0"/>
      <w:marRight w:val="0"/>
      <w:marTop w:val="0"/>
      <w:marBottom w:val="0"/>
      <w:divBdr>
        <w:top w:val="none" w:sz="0" w:space="0" w:color="auto"/>
        <w:left w:val="none" w:sz="0" w:space="0" w:color="auto"/>
        <w:bottom w:val="none" w:sz="0" w:space="0" w:color="auto"/>
        <w:right w:val="none" w:sz="0" w:space="0" w:color="auto"/>
      </w:divBdr>
    </w:div>
    <w:div w:id="1659072914">
      <w:bodyDiv w:val="1"/>
      <w:marLeft w:val="0"/>
      <w:marRight w:val="0"/>
      <w:marTop w:val="0"/>
      <w:marBottom w:val="0"/>
      <w:divBdr>
        <w:top w:val="none" w:sz="0" w:space="0" w:color="auto"/>
        <w:left w:val="none" w:sz="0" w:space="0" w:color="auto"/>
        <w:bottom w:val="none" w:sz="0" w:space="0" w:color="auto"/>
        <w:right w:val="none" w:sz="0" w:space="0" w:color="auto"/>
      </w:divBdr>
    </w:div>
    <w:div w:id="1669020572">
      <w:bodyDiv w:val="1"/>
      <w:marLeft w:val="0"/>
      <w:marRight w:val="0"/>
      <w:marTop w:val="0"/>
      <w:marBottom w:val="0"/>
      <w:divBdr>
        <w:top w:val="none" w:sz="0" w:space="0" w:color="auto"/>
        <w:left w:val="none" w:sz="0" w:space="0" w:color="auto"/>
        <w:bottom w:val="none" w:sz="0" w:space="0" w:color="auto"/>
        <w:right w:val="none" w:sz="0" w:space="0" w:color="auto"/>
      </w:divBdr>
      <w:divsChild>
        <w:div w:id="4359948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88290862">
      <w:bodyDiv w:val="1"/>
      <w:marLeft w:val="0"/>
      <w:marRight w:val="0"/>
      <w:marTop w:val="0"/>
      <w:marBottom w:val="0"/>
      <w:divBdr>
        <w:top w:val="none" w:sz="0" w:space="0" w:color="auto"/>
        <w:left w:val="none" w:sz="0" w:space="0" w:color="auto"/>
        <w:bottom w:val="none" w:sz="0" w:space="0" w:color="auto"/>
        <w:right w:val="none" w:sz="0" w:space="0" w:color="auto"/>
      </w:divBdr>
    </w:div>
    <w:div w:id="1790124031">
      <w:bodyDiv w:val="1"/>
      <w:marLeft w:val="0"/>
      <w:marRight w:val="0"/>
      <w:marTop w:val="0"/>
      <w:marBottom w:val="0"/>
      <w:divBdr>
        <w:top w:val="none" w:sz="0" w:space="0" w:color="auto"/>
        <w:left w:val="none" w:sz="0" w:space="0" w:color="auto"/>
        <w:bottom w:val="none" w:sz="0" w:space="0" w:color="auto"/>
        <w:right w:val="none" w:sz="0" w:space="0" w:color="auto"/>
      </w:divBdr>
    </w:div>
    <w:div w:id="1820489264">
      <w:bodyDiv w:val="1"/>
      <w:marLeft w:val="0"/>
      <w:marRight w:val="0"/>
      <w:marTop w:val="0"/>
      <w:marBottom w:val="0"/>
      <w:divBdr>
        <w:top w:val="none" w:sz="0" w:space="0" w:color="auto"/>
        <w:left w:val="none" w:sz="0" w:space="0" w:color="auto"/>
        <w:bottom w:val="none" w:sz="0" w:space="0" w:color="auto"/>
        <w:right w:val="none" w:sz="0" w:space="0" w:color="auto"/>
      </w:divBdr>
    </w:div>
    <w:div w:id="2005745245">
      <w:bodyDiv w:val="1"/>
      <w:marLeft w:val="0"/>
      <w:marRight w:val="0"/>
      <w:marTop w:val="0"/>
      <w:marBottom w:val="0"/>
      <w:divBdr>
        <w:top w:val="none" w:sz="0" w:space="0" w:color="auto"/>
        <w:left w:val="none" w:sz="0" w:space="0" w:color="auto"/>
        <w:bottom w:val="none" w:sz="0" w:space="0" w:color="auto"/>
        <w:right w:val="none" w:sz="0" w:space="0" w:color="auto"/>
      </w:divBdr>
    </w:div>
    <w:div w:id="2136632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941eb11224745fc9b8796163a0257e6" PartId="6f6ae3e0a4984a0f8993cfcfb70a195b">
    <Part Type="preambule" DocPartId="c860d2db352c4779a2a8c1078eb509d5" PartId="b22f97998422421dbbe70b460a795cf5"/>
    <Part Type="pastraipa" DocPartId="03cd3caae2db45f4a6d7703c40d3b982" PartId="bc9eff846f5f475e8083bb2ae8b5ebfb"/>
    <Part Type="signatura" DocPartId="40f150d4ea2f455584026d49da1089d4" PartId="92deb81463e943d29e73964fc20bea59"/>
  </Part>
  <Part Type="patvirtinta" Title="RADVILIŠKIO RAJONO SAVIVALDYBĖS VIEŠOSIOS BIBLIOTEKOS TEIKIAMŲ VIEŠŲJŲ PASLAUGŲ SĄRAŠAS IR KAINOS" DocPartId="410bbfa24c4a456a97ff62d2e421ad0a" PartId="c6330308610a4aff810fbb45c065f5f7">
    <Part Type="skirsnis" Title="RADVILIŠKIO RAJONO SAVIVALDYBĖS TARYBOS SPRENDIMO PROJEKTO „DĖL RADVILIŠKIO RAJONO SAVIVALDYBĖS VIEŠOSIOS BIBLIOTEKOS TEIKIAMŲ VIEŠŲJŲ PASLAUGŲ SĄRAŠO IR KAINŲ PAKEITIMO“ AIŠKINAMASIS RAŠTAS" DocPartId="e31dcf3bbf5741c98a638a01a71ac3c2" PartId="9d4feab8f197418eb2a2ea20b8583524">
      <Part Type="punktas" Nr="1" Abbr="1 p." DocPartId="53071d102f044a91a47a7bf125df4b30" PartId="26275ae68c584b138d4862fd99feb7b7"/>
      <Part Type="punktas" Nr="2" Abbr="2 p." DocPartId="e377bc62b4644729b629eed2653886c9" PartId="16b3ebfa2c5a4eb5bd0c64a3752adf25"/>
      <Part Type="punktas" Nr="3" Abbr="3 p." DocPartId="705930d9bd6847afbb891da83a3d639f" PartId="20058fa064f64072aa5c078a7324e7a5"/>
      <Part Type="punktas" Nr="1" Abbr="1 p." Notes="Numeris ne iš eilės. Trūksta dalių? [DocDalys]" DocPartId="ec9d91661f024157a73e3ad2a9757823" PartId="629cdc7e5e234970b73cc33c5f40b468"/>
      <Part Type="punktas" Nr="2" Abbr="2 p." DocPartId="f70a460ddadc486e8fb4b9fc2f70984d" PartId="9ffd7246638542bb8a3b4018166e92aa"/>
      <Part Type="punktas" Nr="3" Abbr="3 p." DocPartId="af0142c4652e4bd3abf61f50dfc7c567" PartId="e79490d0ae37470c90ad48d711b01984"/>
      <Part Type="punktas" Nr="4" Abbr="4 p." DocPartId="bfa3750fd860402e861b8899c28d22bd" PartId="a2f2d0d5a81f462ebfccc87f3fb60602"/>
      <Part Type="punktas" Nr="5" Abbr="5 p." DocPartId="a5fc5b3449a143feb749e059cc3dca0e" PartId="31db63d584f04b58b45de3ecd546d4e5"/>
      <Part Type="punktas" Nr="6" Abbr="6 p." DocPartId="ef58746cd5fe43ef8e05bef8a6d192dd" PartId="e971b001300d4e52b9569e892aa94a22"/>
    </Part>
    <Part Type="skirsnis" Title="ar pripažinti netekusiais galios priėmus sprendimo projektą." DocPartId="d61f9d68d50e4d71b01b42b6c210d23d" PartId="80eb1390f4334f2c954b5f1fe68839a4">
      <Part Type="punktas" Nr="7" Abbr="7 p." DocPartId="55d579ebf36449f09820b904032ca33d" PartId="103ce85332214bdb9caabf370896515a"/>
      <Part Type="punktas" Nr="8" Abbr="8 p." DocPartId="c042c3c94e3e46cd91892a48f20292c4" PartId="36ddc052cbff40928046a81f629cf204"/>
      <Part Type="punktas" Nr="9" Abbr="9 p." DocPartId="bf59726057964bb195749a5dc9e753e2" PartId="17271317998743c8b429d938bd3d7949"/>
      <Part Type="punktas" Nr="10" Abbr="10 p." DocPartId="ca26b3388ee34e8b8e8c5a67cd822298" PartId="ce40e09a84ed45bc921327c45f8cc435"/>
      <Part Type="punktas" Nr="11" Abbr="11 p." DocPartId="6e1ac3393a7f4e93962d4312924db990" PartId="815dcf9fe47947e5989faba81f4806da"/>
      <Part Type="punktas" Nr="12" Abbr="12 p." DocPartId="1bf3286344d64ed7ae0bf77cb300df37" PartId="d4b044130a244450b253bc6dd7907989"/>
    </Part>
  </Part>
</Parts>
</file>

<file path=customXml/itemProps1.xml><?xml version="1.0" encoding="utf-8"?>
<ds:datastoreItem xmlns:ds="http://schemas.openxmlformats.org/officeDocument/2006/customXml" ds:itemID="{3833EA64-8478-4FEF-9019-1237F8E91B5D}">
  <ds:schemaRefs>
    <ds:schemaRef ds:uri="http://schemas.openxmlformats.org/officeDocument/2006/bibliography"/>
  </ds:schemaRefs>
</ds:datastoreItem>
</file>

<file path=customXml/itemProps2.xml><?xml version="1.0" encoding="utf-8"?>
<ds:datastoreItem xmlns:ds="http://schemas.openxmlformats.org/officeDocument/2006/customXml" ds:itemID="{324DB6AC-43AA-4CAF-A547-0985FC3C196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714</Words>
  <Characters>4998</Characters>
  <Application>Microsoft Office Word</Application>
  <DocSecurity>4</DocSecurity>
  <Lines>263</Lines>
  <Paragraphs>184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5528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2025-08-18T07:04:00Z</dcterms:created>
  <dc:creator>Milda Mineikytė-Juknė</dc:creator>
  <lastModifiedBy>adlibuser</lastModifiedBy>
  <lastPrinted>2025-07-31T07:27:00Z</lastPrinted>
  <dcterms:modified xsi:type="dcterms:W3CDTF">2025-08-18T07:04:00Z</dcterms:modified>
  <revision>2</revision>
</coreProperties>
</file>