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adc2b395e3a4fc3a6a9169166d4d807"/>
        <w:lock w:val="sdtLocked"/>
        <w:richText/>
      </w:sdtPr>
      <w:sdtContent>
        <w:p w14:paraId="6622D8E4" w14:textId="4B659500">
          <w:pPr>
            <w:tabs>
              <w:tab w:val="left" w:pos="0"/>
              <w:tab w:val="left" w:pos="916"/>
              <w:tab w:val="left" w:pos="1832"/>
              <w:tab w:val="left" w:pos="2748"/>
              <w:tab w:val="left" w:pos="3664"/>
              <w:tab w:val="left" w:pos="4580"/>
              <w:tab w:val="left" w:pos="5496"/>
              <w:tab w:val="left" w:pos="6412"/>
              <w:tab w:val="left" w:pos="6946"/>
              <w:tab w:val="left" w:pos="7328"/>
              <w:tab w:val="left" w:pos="9160"/>
              <w:tab w:val="left" w:pos="10076"/>
              <w:tab w:val="left" w:pos="10992"/>
              <w:tab w:val="left" w:pos="11908"/>
              <w:tab w:val="left" w:pos="12824"/>
              <w:tab w:val="left" w:pos="13740"/>
              <w:tab w:val="left" w:pos="14656"/>
            </w:tabs>
            <w:jc w:val="right"/>
            <w:rPr>
              <w:b/>
              <w:szCs w:val="24"/>
              <w:lang w:eastAsia="lt-LT"/>
            </w:rPr>
          </w:pPr>
          <w:r>
            <w:rPr>
              <w:b/>
              <w:szCs w:val="24"/>
              <w:lang w:eastAsia="lt-LT"/>
            </w:rPr>
            <w:t>Projektas</w:t>
          </w:r>
        </w:p>
        <w:p w14:paraId="444B8BDD" w14:textId="34779447">
          <w:pPr>
            <w:tabs>
              <w:tab w:val="left" w:pos="0"/>
              <w:tab w:val="left" w:pos="916"/>
              <w:tab w:val="left" w:pos="1832"/>
              <w:tab w:val="left" w:pos="2748"/>
              <w:tab w:val="left" w:pos="3664"/>
              <w:tab w:val="left" w:pos="4580"/>
              <w:tab w:val="left" w:pos="5496"/>
              <w:tab w:val="left" w:pos="6412"/>
              <w:tab w:val="left" w:pos="6946"/>
              <w:tab w:val="left" w:pos="7328"/>
              <w:tab w:val="left" w:pos="9160"/>
              <w:tab w:val="left" w:pos="10076"/>
              <w:tab w:val="left" w:pos="10992"/>
              <w:tab w:val="left" w:pos="11908"/>
              <w:tab w:val="left" w:pos="12824"/>
              <w:tab w:val="left" w:pos="13740"/>
              <w:tab w:val="left" w:pos="14656"/>
            </w:tabs>
            <w:rPr>
              <w:b/>
              <w:szCs w:val="24"/>
              <w:lang w:eastAsia="lt-LT"/>
            </w:rPr>
          </w:pPr>
        </w:p>
        <w:p w14:paraId="6622D8E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22"/>
              <w:szCs w:val="22"/>
              <w:lang w:eastAsia="lt-LT"/>
            </w:rPr>
          </w:pPr>
        </w:p>
        <w:p w14:paraId="16ABC03C"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bCs/>
              <w:szCs w:val="24"/>
              <w:lang w:eastAsia="lt-LT"/>
            </w:rPr>
          </w:pPr>
        </w:p>
        <w:p w14:paraId="6622D8E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bCs/>
              <w:szCs w:val="24"/>
              <w:lang w:eastAsia="lt-LT"/>
            </w:rPr>
            <w:t>LIETUVOS RESPUBLIKOS VYRIAUSYBĖ</w:t>
          </w:r>
        </w:p>
        <w:p w14:paraId="6622D8E8"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p>
        <w:p w14:paraId="6622D8E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bCs/>
              <w:szCs w:val="24"/>
              <w:lang w:eastAsia="lt-LT"/>
            </w:rPr>
            <w:t>NUTARIMAS</w:t>
          </w:r>
        </w:p>
        <w:p w14:paraId="6622D8EA" w14:textId="67B74215">
          <w:pPr>
            <w:spacing w:line="276" w:lineRule="auto"/>
            <w:jc w:val="center"/>
            <w:rPr>
              <w:b/>
              <w:color w:val="000000"/>
              <w:szCs w:val="24"/>
              <w:lang w:eastAsia="lt-LT"/>
            </w:rPr>
          </w:pPr>
          <w:r>
            <w:rPr>
              <w:b/>
              <w:color w:val="000000"/>
              <w:szCs w:val="24"/>
              <w:lang w:eastAsia="lt-LT"/>
            </w:rPr>
            <w:t>DĖL LIETUVOS RESPUBLIKOS VYRIAUSYBĖS 2004 M. BALANDŽIO 29 D. NUTARIMO NR. 526 „DĖL DIENPINIGIŲ IR KITŲ KOMANDIRUOČIŲ IŠLAIDŲ APMOKĖJIMO“ PAKEITIMO</w:t>
          </w:r>
        </w:p>
        <w:p w14:paraId="6622D8E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szCs w:val="24"/>
              <w:lang w:eastAsia="lt-LT"/>
            </w:rPr>
          </w:pPr>
        </w:p>
        <w:p w14:paraId="6622D8EC" w14:textId="6A9C162C">
          <w:pPr>
            <w:spacing w:line="276" w:lineRule="auto"/>
            <w:jc w:val="center"/>
            <w:rPr>
              <w:szCs w:val="24"/>
              <w:lang w:eastAsia="lt-LT"/>
            </w:rPr>
          </w:pPr>
          <w:r>
            <w:rPr>
              <w:szCs w:val="24"/>
              <w:lang w:eastAsia="lt-LT"/>
            </w:rPr>
            <w:t>Nr.</w:t>
          </w:r>
        </w:p>
        <w:p w14:paraId="6622D8ED" w14:textId="77777777">
          <w:pPr>
            <w:spacing w:line="276" w:lineRule="auto"/>
            <w:jc w:val="center"/>
            <w:rPr>
              <w:szCs w:val="24"/>
              <w:lang w:eastAsia="lt-LT"/>
            </w:rPr>
          </w:pPr>
          <w:r>
            <w:rPr>
              <w:szCs w:val="24"/>
              <w:lang w:eastAsia="lt-LT"/>
            </w:rPr>
            <w:t>Vilnius</w:t>
          </w:r>
        </w:p>
        <w:p w14:paraId="6622D8EE" w14:textId="77777777">
          <w:pPr>
            <w:jc w:val="center"/>
            <w:rPr>
              <w:szCs w:val="24"/>
              <w:lang w:eastAsia="lt-LT"/>
            </w:rPr>
          </w:pPr>
        </w:p>
        <w:sdt>
          <w:sdtPr>
            <w:alias w:val="preambule"/>
            <w:tag w:val="part_74a24f83dfbb4fefbca4bae98dce7144"/>
            <w:lock w:val="sdtLocked"/>
            <w:richText/>
          </w:sdtPr>
          <w:sdtContent>
            <w:p w14:paraId="6622D8EF" w14:textId="274244DF">
              <w:pPr>
                <w:widowControl w:val="0"/>
                <w:spacing w:line="276" w:lineRule="auto"/>
                <w:ind w:firstLine="720"/>
                <w:jc w:val="both"/>
                <w:rPr>
                  <w:szCs w:val="24"/>
                  <w:lang w:eastAsia="lt-LT"/>
                </w:rPr>
              </w:pPr>
              <w:r>
                <w:rPr>
                  <w:szCs w:val="24"/>
                  <w:lang w:eastAsia="lt-LT"/>
                </w:rPr>
                <w:t xml:space="preserve">Lietuvos Respublikos Vyriausybė </w:t>
              </w:r>
              <w:r>
                <w:rPr>
                  <w:spacing w:val="60"/>
                  <w:szCs w:val="24"/>
                  <w:lang w:eastAsia="lt-LT"/>
                </w:rPr>
                <w:t>nutari</w:t>
              </w:r>
              <w:r>
                <w:rPr>
                  <w:szCs w:val="24"/>
                  <w:lang w:eastAsia="lt-LT"/>
                </w:rPr>
                <w:t>a:</w:t>
              </w:r>
            </w:p>
          </w:sdtContent>
        </w:sdt>
        <w:sdt>
          <w:sdtPr>
            <w:alias w:val="pastraipa"/>
            <w:tag w:val="part_d67d4837f788434cbef24842cfc43dd8"/>
            <w:lock w:val="sdtLocked"/>
            <w:richText/>
          </w:sdtPr>
          <w:sdtContent>
            <w:p w14:paraId="5B28A80B" w14:textId="7AF9B8C8">
              <w:pPr>
                <w:widowControl w:val="0"/>
                <w:spacing w:line="276" w:lineRule="auto"/>
                <w:ind w:firstLine="720"/>
                <w:jc w:val="both"/>
                <w:rPr>
                  <w:szCs w:val="24"/>
                  <w:lang w:eastAsia="lt-LT"/>
                </w:rPr>
              </w:pPr>
              <w:r>
                <w:rPr>
                  <w:szCs w:val="24"/>
                  <w:lang w:eastAsia="lt-LT"/>
                </w:rPr>
                <w:t>Pakeisti Komandiruočių išlaidų apmokėjimo biudžetinėse įstaigose taisykles, patvirtintas Lietuvos Respublikos Vyriausybės 2004 m. balandžio 29 d. nutarimu Nr. 526 „Dėl dienpinigių ir kitų komandiruočių išlaidų apmokėjimo“:</w:t>
              </w:r>
            </w:p>
          </w:sdtContent>
        </w:sdt>
        <w:sdt>
          <w:sdtPr>
            <w:alias w:val="1 p."/>
            <w:tag w:val="part_deea00f9cb7741f0bd05a6e9eeb7f918"/>
            <w:lock w:val="sdtLocked"/>
            <w:richText/>
          </w:sdtPr>
          <w:sdtContent>
            <w:p w14:paraId="5932D188" w14:textId="7CB8A68C">
              <w:pPr>
                <w:widowControl w:val="0"/>
                <w:spacing w:line="276" w:lineRule="auto"/>
                <w:ind w:left="993" w:hanging="273"/>
                <w:jc w:val="both"/>
                <w:rPr>
                  <w:szCs w:val="24"/>
                  <w:lang w:eastAsia="lt-LT"/>
                </w:rPr>
              </w:pPr>
              <w:sdt>
                <w:sdtPr>
                  <w:alias w:val="Numeris"/>
                  <w:tag w:val="nr_deea00f9cb7741f0bd05a6e9eeb7f918"/>
                  <w:lock w:val="sdtLocked"/>
                  <w:richText/>
                </w:sdtPr>
                <w:sdtContent>
                  <w:r>
                    <w:rPr>
                      <w:szCs w:val="24"/>
                      <w:lang w:eastAsia="lt-LT"/>
                    </w:rPr>
                    <w:t>1</w:t>
                  </w:r>
                </w:sdtContent>
              </w:sdt>
              <w:r>
                <w:rPr>
                  <w:szCs w:val="24"/>
                  <w:lang w:eastAsia="lt-LT"/>
                </w:rPr>
                <w:t>.</w:t>
                <w:tab/>
                <w:t>Pripažinti netekusiu galios 4 punktą.</w:t>
              </w:r>
            </w:p>
          </w:sdtContent>
        </w:sdt>
        <w:sdt>
          <w:sdtPr>
            <w:alias w:val="2 p."/>
            <w:tag w:val="part_8df09688db6649bbafb2787a78382356"/>
            <w:lock w:val="sdtLocked"/>
            <w:richText/>
          </w:sdtPr>
          <w:sdtContent>
            <w:p w14:paraId="03CA0B28" w14:textId="77777777">
              <w:pPr>
                <w:widowControl w:val="0"/>
                <w:spacing w:line="276" w:lineRule="auto"/>
                <w:ind w:firstLine="709"/>
                <w:jc w:val="both"/>
                <w:rPr>
                  <w:color w:val="000000"/>
                </w:rPr>
              </w:pPr>
              <w:sdt>
                <w:sdtPr>
                  <w:alias w:val="Numeris"/>
                  <w:tag w:val="nr_8df09688db6649bbafb2787a78382356"/>
                  <w:lock w:val="sdtLocked"/>
                  <w:richText/>
                </w:sdtPr>
                <w:sdtContent>
                  <w:r>
                    <w:rPr>
                      <w:color w:val="000000"/>
                    </w:rPr>
                    <w:t>2</w:t>
                  </w:r>
                </w:sdtContent>
              </w:sdt>
              <w:r>
                <w:rPr>
                  <w:color w:val="000000"/>
                </w:rPr>
                <w:t>. Pakeisti 7.11 papunktį ir jį išdėstyti taip:</w:t>
              </w:r>
            </w:p>
            <w:sdt>
              <w:sdtPr>
                <w:alias w:val="citata"/>
                <w:tag w:val="part_0ab2cc1bb88c42ffb1882b7918cd9a6e"/>
                <w:lock w:val="sdtLocked"/>
                <w:richText/>
              </w:sdtPr>
              <w:sdtContent>
                <w:sdt>
                  <w:sdtPr>
                    <w:alias w:val="7.11 pp."/>
                    <w:tag w:val="part_f23ac0b744ab47438e9283158571a0eb"/>
                    <w:lock w:val="sdtLocked"/>
                    <w:richText/>
                  </w:sdtPr>
                  <w:sdtContent>
                    <w:p w14:paraId="020E493F" w14:textId="50DDAFC1">
                      <w:pPr>
                        <w:widowControl w:val="0"/>
                        <w:spacing w:line="276" w:lineRule="auto"/>
                        <w:ind w:firstLine="709"/>
                        <w:jc w:val="both"/>
                        <w:rPr>
                          <w:szCs w:val="24"/>
                          <w:lang w:eastAsia="lt-LT"/>
                        </w:rPr>
                      </w:pPr>
                      <w:r>
                        <w:rPr>
                          <w:color w:val="000000"/>
                        </w:rPr>
                        <w:t>„</w:t>
                      </w:r>
                      <w:sdt>
                        <w:sdtPr>
                          <w:alias w:val="Numeris"/>
                          <w:tag w:val="nr_f23ac0b744ab47438e9283158571a0eb"/>
                          <w:lock w:val="sdtLocked"/>
                          <w:richText/>
                        </w:sdtPr>
                        <w:sdtContent>
                          <w:r>
                            <w:rPr>
                              <w:color w:val="000000"/>
                            </w:rPr>
                            <w:t>7.11</w:t>
                          </w:r>
                        </w:sdtContent>
                      </w:sdt>
                      <w:r>
                        <w:rPr>
                          <w:color w:val="000000"/>
                        </w:rPr>
                        <w:t xml:space="preserve">. kitos su komandiruote susijusios būtinos išlaidos (su Taisyklių </w:t>
                        <w:br/>
                        <w:t xml:space="preserve">7.2–7.9 papunkčiuose nurodytomis komandiruotės išlaidomis susijęs komisinis atlyginimas, apibrėžtas Lietuvos Respublikos mokėjimų įstatymo 2 straipsnyje, miesto (ekologinis), registracijos į reisą, registruoto bagažo mokesčiai, bagažo saugojimo,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w:t>
                      </w:r>
                    </w:p>
                    <w:p w14:paraId="01A35EC0" w14:textId="77777777">
                      <w:pPr>
                        <w:widowControl w:val="0"/>
                        <w:jc w:val="both"/>
                        <w:rPr>
                          <w:szCs w:val="24"/>
                          <w:lang w:eastAsia="lt-LT"/>
                        </w:rPr>
                      </w:pPr>
                    </w:p>
                    <w:p w14:paraId="76AD96F2" w14:textId="77777777">
                      <w:pPr>
                        <w:widowControl w:val="0"/>
                        <w:jc w:val="both"/>
                        <w:rPr>
                          <w:szCs w:val="24"/>
                          <w:lang w:eastAsia="lt-LT"/>
                        </w:rPr>
                      </w:pPr>
                    </w:p>
                    <w:p w14:paraId="2DA6D545" w14:textId="77777777">
                      <w:pPr>
                        <w:widowControl w:val="0"/>
                        <w:jc w:val="both"/>
                        <w:rPr>
                          <w:szCs w:val="24"/>
                          <w:lang w:eastAsia="lt-LT"/>
                        </w:rPr>
                      </w:pPr>
                    </w:p>
                  </w:sdtContent>
                </w:sdt>
              </w:sdtContent>
            </w:sdt>
          </w:sdtContent>
        </w:sdt>
        <w:sdt>
          <w:sdtPr>
            <w:alias w:val="signatura"/>
            <w:tag w:val="part_f2cea6f0e1ac4f5898d6b71662bbb776"/>
            <w:lock w:val="sdtLocked"/>
            <w:richText/>
          </w:sdtPr>
          <w:sdtContent>
            <w:p w14:paraId="79CBF565" w14:textId="76898B4A">
              <w:pPr>
                <w:spacing w:line="360" w:lineRule="atLeast"/>
                <w:jc w:val="both"/>
                <w:rPr>
                  <w:rFonts w:ascii="Arial" w:hAnsi="Arial" w:cs="Arial"/>
                  <w:sz w:val="20"/>
                  <w:szCs w:val="24"/>
                  <w:lang w:eastAsia="lt-LT"/>
                </w:rPr>
              </w:pPr>
              <w:r>
                <w:rPr>
                  <w:szCs w:val="24"/>
                  <w:lang w:eastAsia="lt-LT"/>
                </w:rPr>
                <w:t xml:space="preserve">Ministras Pirmininkas </w:t>
              </w:r>
            </w:p>
            <w:p w14:paraId="557A6FCB" w14:textId="551FAC24">
              <w:pPr>
                <w:rPr>
                  <w:szCs w:val="24"/>
                  <w:lang w:eastAsia="lt-LT"/>
                </w:rPr>
              </w:pPr>
            </w:p>
            <w:p w14:paraId="3B1BC269" w14:textId="77777777">
              <w:pPr>
                <w:rPr>
                  <w:szCs w:val="24"/>
                  <w:lang w:eastAsia="lt-LT"/>
                </w:rPr>
              </w:pPr>
            </w:p>
            <w:p w14:paraId="6129CFEB" w14:textId="77777777">
              <w:pPr>
                <w:rPr>
                  <w:szCs w:val="24"/>
                  <w:lang w:eastAsia="lt-LT"/>
                </w:rPr>
              </w:pPr>
            </w:p>
            <w:p w14:paraId="5D3BD932" w14:textId="02459D60">
              <w:pPr>
                <w:spacing w:line="360" w:lineRule="atLeast"/>
                <w:rPr>
                  <w:rFonts w:ascii="Arial" w:hAnsi="Arial" w:cs="Arial"/>
                  <w:sz w:val="20"/>
                  <w:szCs w:val="24"/>
                  <w:lang w:eastAsia="lt-LT"/>
                </w:rPr>
              </w:pPr>
              <w:r>
                <w:rPr>
                  <w:szCs w:val="24"/>
                  <w:lang w:eastAsia="lt-LT"/>
                </w:rPr>
                <w:t>Finansų ministras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1134"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DBDF86" w14:textId="77777777">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580762A8"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87D2E" w14:textId="77777777">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01259" w14:textId="77777777">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1474A2" w14:textId="77777777">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C9FDE9" w14:textId="77777777">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42676C60" w14:textId="77777777">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74CDD" w14:textId="77777777">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2D90A" w14:textId="05FF301B">
    <w:pPr>
      <w:widowControl w:val="0"/>
      <w:tabs>
        <w:tab w:val="center" w:pos="4819"/>
        <w:tab w:val="right" w:pos="9638"/>
      </w:tabs>
      <w:jc w:val="center"/>
      <w:rPr>
        <w:rFonts w:ascii="Arial" w:hAnsi="Arial" w:cs="Arial"/>
        <w:sz w:val="20"/>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14:paraId="6622D90B" w14:textId="77777777">
    <w:pPr>
      <w:widowControl w:val="0"/>
      <w:tabs>
        <w:tab w:val="center" w:pos="4819"/>
        <w:tab w:val="right" w:pos="9638"/>
      </w:tabs>
      <w:ind w:firstLine="720"/>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594F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6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622D8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772636">
      <w:bodyDiv w:val="1"/>
      <w:marLeft w:val="143"/>
      <w:marRight w:val="143"/>
      <w:marTop w:val="0"/>
      <w:marBottom w:val="0"/>
      <w:divBdr>
        <w:top w:val="none" w:sz="0" w:space="0" w:color="auto"/>
        <w:left w:val="none" w:sz="0" w:space="0" w:color="auto"/>
        <w:bottom w:val="none" w:sz="0" w:space="0" w:color="auto"/>
        <w:right w:val="none" w:sz="0" w:space="0" w:color="auto"/>
      </w:divBdr>
      <w:divsChild>
        <w:div w:id="1628242150">
          <w:marLeft w:val="0"/>
          <w:marRight w:val="0"/>
          <w:marTop w:val="0"/>
          <w:marBottom w:val="0"/>
          <w:divBdr>
            <w:top w:val="none" w:sz="0" w:space="0" w:color="auto"/>
            <w:left w:val="none" w:sz="0" w:space="0" w:color="auto"/>
            <w:bottom w:val="none" w:sz="0" w:space="0" w:color="auto"/>
            <w:right w:val="none" w:sz="0" w:space="0" w:color="auto"/>
          </w:divBdr>
        </w:div>
      </w:divsChild>
    </w:div>
    <w:div w:id="139883408">
      <w:bodyDiv w:val="1"/>
      <w:marLeft w:val="0"/>
      <w:marRight w:val="0"/>
      <w:marTop w:val="0"/>
      <w:marBottom w:val="0"/>
      <w:divBdr>
        <w:top w:val="none" w:sz="0" w:space="0" w:color="auto"/>
        <w:left w:val="none" w:sz="0" w:space="0" w:color="auto"/>
        <w:bottom w:val="none" w:sz="0" w:space="0" w:color="auto"/>
        <w:right w:val="none" w:sz="0" w:space="0" w:color="auto"/>
      </w:divBdr>
    </w:div>
    <w:div w:id="201746254">
      <w:bodyDiv w:val="1"/>
      <w:marLeft w:val="0"/>
      <w:marRight w:val="0"/>
      <w:marTop w:val="0"/>
      <w:marBottom w:val="0"/>
      <w:divBdr>
        <w:top w:val="none" w:sz="0" w:space="0" w:color="auto"/>
        <w:left w:val="none" w:sz="0" w:space="0" w:color="auto"/>
        <w:bottom w:val="none" w:sz="0" w:space="0" w:color="auto"/>
        <w:right w:val="none" w:sz="0" w:space="0" w:color="auto"/>
      </w:divBdr>
      <w:divsChild>
        <w:div w:id="911239195">
          <w:marLeft w:val="0"/>
          <w:marRight w:val="0"/>
          <w:marTop w:val="0"/>
          <w:marBottom w:val="0"/>
          <w:divBdr>
            <w:top w:val="none" w:sz="0" w:space="0" w:color="auto"/>
            <w:left w:val="none" w:sz="0" w:space="0" w:color="auto"/>
            <w:bottom w:val="none" w:sz="0" w:space="0" w:color="auto"/>
            <w:right w:val="none" w:sz="0" w:space="0" w:color="auto"/>
          </w:divBdr>
          <w:divsChild>
            <w:div w:id="24773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174248">
      <w:bodyDiv w:val="1"/>
      <w:marLeft w:val="0"/>
      <w:marRight w:val="0"/>
      <w:marTop w:val="0"/>
      <w:marBottom w:val="0"/>
      <w:divBdr>
        <w:top w:val="none" w:sz="0" w:space="0" w:color="auto"/>
        <w:left w:val="none" w:sz="0" w:space="0" w:color="auto"/>
        <w:bottom w:val="none" w:sz="0" w:space="0" w:color="auto"/>
        <w:right w:val="none" w:sz="0" w:space="0" w:color="auto"/>
      </w:divBdr>
    </w:div>
    <w:div w:id="353045957">
      <w:bodyDiv w:val="1"/>
      <w:marLeft w:val="143"/>
      <w:marRight w:val="143"/>
      <w:marTop w:val="0"/>
      <w:marBottom w:val="0"/>
      <w:divBdr>
        <w:top w:val="none" w:sz="0" w:space="0" w:color="auto"/>
        <w:left w:val="none" w:sz="0" w:space="0" w:color="auto"/>
        <w:bottom w:val="none" w:sz="0" w:space="0" w:color="auto"/>
        <w:right w:val="none" w:sz="0" w:space="0" w:color="auto"/>
      </w:divBdr>
      <w:divsChild>
        <w:div w:id="1390228824">
          <w:marLeft w:val="0"/>
          <w:marRight w:val="0"/>
          <w:marTop w:val="0"/>
          <w:marBottom w:val="0"/>
          <w:divBdr>
            <w:top w:val="none" w:sz="0" w:space="0" w:color="auto"/>
            <w:left w:val="none" w:sz="0" w:space="0" w:color="auto"/>
            <w:bottom w:val="none" w:sz="0" w:space="0" w:color="auto"/>
            <w:right w:val="none" w:sz="0" w:space="0" w:color="auto"/>
          </w:divBdr>
        </w:div>
      </w:divsChild>
    </w:div>
    <w:div w:id="630330611">
      <w:bodyDiv w:val="1"/>
      <w:marLeft w:val="0"/>
      <w:marRight w:val="0"/>
      <w:marTop w:val="0"/>
      <w:marBottom w:val="0"/>
      <w:divBdr>
        <w:top w:val="none" w:sz="0" w:space="0" w:color="auto"/>
        <w:left w:val="none" w:sz="0" w:space="0" w:color="auto"/>
        <w:bottom w:val="none" w:sz="0" w:space="0" w:color="auto"/>
        <w:right w:val="none" w:sz="0" w:space="0" w:color="auto"/>
      </w:divBdr>
    </w:div>
    <w:div w:id="817459880">
      <w:bodyDiv w:val="1"/>
      <w:marLeft w:val="0"/>
      <w:marRight w:val="0"/>
      <w:marTop w:val="0"/>
      <w:marBottom w:val="0"/>
      <w:divBdr>
        <w:top w:val="none" w:sz="0" w:space="0" w:color="auto"/>
        <w:left w:val="none" w:sz="0" w:space="0" w:color="auto"/>
        <w:bottom w:val="none" w:sz="0" w:space="0" w:color="auto"/>
        <w:right w:val="none" w:sz="0" w:space="0" w:color="auto"/>
      </w:divBdr>
    </w:div>
    <w:div w:id="951519017">
      <w:bodyDiv w:val="1"/>
      <w:marLeft w:val="143"/>
      <w:marRight w:val="143"/>
      <w:marTop w:val="0"/>
      <w:marBottom w:val="0"/>
      <w:divBdr>
        <w:top w:val="none" w:sz="0" w:space="0" w:color="auto"/>
        <w:left w:val="none" w:sz="0" w:space="0" w:color="auto"/>
        <w:bottom w:val="none" w:sz="0" w:space="0" w:color="auto"/>
        <w:right w:val="none" w:sz="0" w:space="0" w:color="auto"/>
      </w:divBdr>
      <w:divsChild>
        <w:div w:id="385105315">
          <w:marLeft w:val="0"/>
          <w:marRight w:val="0"/>
          <w:marTop w:val="0"/>
          <w:marBottom w:val="0"/>
          <w:divBdr>
            <w:top w:val="none" w:sz="0" w:space="0" w:color="auto"/>
            <w:left w:val="none" w:sz="0" w:space="0" w:color="auto"/>
            <w:bottom w:val="none" w:sz="0" w:space="0" w:color="auto"/>
            <w:right w:val="none" w:sz="0" w:space="0" w:color="auto"/>
          </w:divBdr>
        </w:div>
      </w:divsChild>
    </w:div>
    <w:div w:id="1080760522">
      <w:bodyDiv w:val="1"/>
      <w:marLeft w:val="143"/>
      <w:marRight w:val="143"/>
      <w:marTop w:val="0"/>
      <w:marBottom w:val="0"/>
      <w:divBdr>
        <w:top w:val="none" w:sz="0" w:space="0" w:color="auto"/>
        <w:left w:val="none" w:sz="0" w:space="0" w:color="auto"/>
        <w:bottom w:val="none" w:sz="0" w:space="0" w:color="auto"/>
        <w:right w:val="none" w:sz="0" w:space="0" w:color="auto"/>
      </w:divBdr>
      <w:divsChild>
        <w:div w:id="437870717">
          <w:marLeft w:val="0"/>
          <w:marRight w:val="0"/>
          <w:marTop w:val="0"/>
          <w:marBottom w:val="0"/>
          <w:divBdr>
            <w:top w:val="none" w:sz="0" w:space="0" w:color="auto"/>
            <w:left w:val="none" w:sz="0" w:space="0" w:color="auto"/>
            <w:bottom w:val="none" w:sz="0" w:space="0" w:color="auto"/>
            <w:right w:val="none" w:sz="0" w:space="0" w:color="auto"/>
          </w:divBdr>
        </w:div>
      </w:divsChild>
    </w:div>
    <w:div w:id="1432553712">
      <w:bodyDiv w:val="1"/>
      <w:marLeft w:val="0"/>
      <w:marRight w:val="0"/>
      <w:marTop w:val="0"/>
      <w:marBottom w:val="0"/>
      <w:divBdr>
        <w:top w:val="none" w:sz="0" w:space="0" w:color="auto"/>
        <w:left w:val="none" w:sz="0" w:space="0" w:color="auto"/>
        <w:bottom w:val="none" w:sz="0" w:space="0" w:color="auto"/>
        <w:right w:val="none" w:sz="0" w:space="0" w:color="auto"/>
      </w:divBdr>
    </w:div>
    <w:div w:id="1468816436">
      <w:bodyDiv w:val="1"/>
      <w:marLeft w:val="0"/>
      <w:marRight w:val="0"/>
      <w:marTop w:val="0"/>
      <w:marBottom w:val="0"/>
      <w:divBdr>
        <w:top w:val="none" w:sz="0" w:space="0" w:color="auto"/>
        <w:left w:val="none" w:sz="0" w:space="0" w:color="auto"/>
        <w:bottom w:val="none" w:sz="0" w:space="0" w:color="auto"/>
        <w:right w:val="none" w:sz="0" w:space="0" w:color="auto"/>
      </w:divBdr>
      <w:divsChild>
        <w:div w:id="1368598990">
          <w:marLeft w:val="0"/>
          <w:marRight w:val="0"/>
          <w:marTop w:val="0"/>
          <w:marBottom w:val="0"/>
          <w:divBdr>
            <w:top w:val="none" w:sz="0" w:space="0" w:color="auto"/>
            <w:left w:val="none" w:sz="0" w:space="0" w:color="auto"/>
            <w:bottom w:val="none" w:sz="0" w:space="0" w:color="auto"/>
            <w:right w:val="none" w:sz="0" w:space="0" w:color="auto"/>
          </w:divBdr>
          <w:divsChild>
            <w:div w:id="243029687">
              <w:marLeft w:val="0"/>
              <w:marRight w:val="0"/>
              <w:marTop w:val="0"/>
              <w:marBottom w:val="0"/>
              <w:divBdr>
                <w:top w:val="none" w:sz="0" w:space="0" w:color="auto"/>
                <w:left w:val="none" w:sz="0" w:space="0" w:color="auto"/>
                <w:bottom w:val="none" w:sz="0" w:space="0" w:color="auto"/>
                <w:right w:val="none" w:sz="0" w:space="0" w:color="auto"/>
              </w:divBdr>
              <w:divsChild>
                <w:div w:id="2123070977">
                  <w:marLeft w:val="0"/>
                  <w:marRight w:val="0"/>
                  <w:marTop w:val="0"/>
                  <w:marBottom w:val="0"/>
                  <w:divBdr>
                    <w:top w:val="none" w:sz="0" w:space="0" w:color="auto"/>
                    <w:left w:val="none" w:sz="0" w:space="0" w:color="auto"/>
                    <w:bottom w:val="none" w:sz="0" w:space="0" w:color="auto"/>
                    <w:right w:val="none" w:sz="0" w:space="0" w:color="auto"/>
                  </w:divBdr>
                  <w:divsChild>
                    <w:div w:id="942957768">
                      <w:marLeft w:val="0"/>
                      <w:marRight w:val="0"/>
                      <w:marTop w:val="0"/>
                      <w:marBottom w:val="0"/>
                      <w:divBdr>
                        <w:top w:val="none" w:sz="0" w:space="0" w:color="auto"/>
                        <w:left w:val="none" w:sz="0" w:space="0" w:color="auto"/>
                        <w:bottom w:val="none" w:sz="0" w:space="0" w:color="auto"/>
                        <w:right w:val="none" w:sz="0" w:space="0" w:color="auto"/>
                      </w:divBdr>
                      <w:divsChild>
                        <w:div w:id="57582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1061060">
      <w:bodyDiv w:val="1"/>
      <w:marLeft w:val="143"/>
      <w:marRight w:val="143"/>
      <w:marTop w:val="0"/>
      <w:marBottom w:val="0"/>
      <w:divBdr>
        <w:top w:val="none" w:sz="0" w:space="0" w:color="auto"/>
        <w:left w:val="none" w:sz="0" w:space="0" w:color="auto"/>
        <w:bottom w:val="none" w:sz="0" w:space="0" w:color="auto"/>
        <w:right w:val="none" w:sz="0" w:space="0" w:color="auto"/>
      </w:divBdr>
      <w:divsChild>
        <w:div w:id="801265963">
          <w:marLeft w:val="0"/>
          <w:marRight w:val="0"/>
          <w:marTop w:val="0"/>
          <w:marBottom w:val="0"/>
          <w:divBdr>
            <w:top w:val="none" w:sz="0" w:space="0" w:color="auto"/>
            <w:left w:val="none" w:sz="0" w:space="0" w:color="auto"/>
            <w:bottom w:val="none" w:sz="0" w:space="0" w:color="auto"/>
            <w:right w:val="none" w:sz="0" w:space="0" w:color="auto"/>
          </w:divBdr>
        </w:div>
      </w:divsChild>
    </w:div>
    <w:div w:id="2081632624">
      <w:bodyDiv w:val="1"/>
      <w:marLeft w:val="143"/>
      <w:marRight w:val="143"/>
      <w:marTop w:val="0"/>
      <w:marBottom w:val="0"/>
      <w:divBdr>
        <w:top w:val="none" w:sz="0" w:space="0" w:color="auto"/>
        <w:left w:val="none" w:sz="0" w:space="0" w:color="auto"/>
        <w:bottom w:val="none" w:sz="0" w:space="0" w:color="auto"/>
        <w:right w:val="none" w:sz="0" w:space="0" w:color="auto"/>
      </w:divBdr>
      <w:divsChild>
        <w:div w:id="17935932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a5adecaac3644923b5059678460ec8e3" PartId="6adc2b395e3a4fc3a6a9169166d4d807">
    <Part Type="preambule" DocPartId="bed1e569b2c6464893af53332c486943" PartId="74a24f83dfbb4fefbca4bae98dce7144"/>
    <Part Type="pastraipa" DocPartId="583bfe164f934f50809486747824019e" PartId="d67d4837f788434cbef24842cfc43dd8"/>
    <Part Type="punktas" Nr="1" Abbr="1 p." DocPartId="e2e59297aa56480f903f31cf5be34b34" PartId="deea00f9cb7741f0bd05a6e9eeb7f918"/>
    <Part Type="punktas" Nr="2" Abbr="2 p." DocPartId="96dc2efa2dca4ab0a963e41be4bdf4be" PartId="8df09688db6649bbafb2787a78382356">
      <Part Type="citata" DocPartId="45e6cbde1a154b7e8ce93a11b3381d9b" PartId="0ab2cc1bb88c42ffb1882b7918cd9a6e">
        <Part Type="papunktis" Nr="7.11" Abbr="7.11 pp." DocPartId="60881764856d4c33b62c0a67b1ab3f9f" PartId="f23ac0b744ab47438e9283158571a0eb"/>
      </Part>
    </Part>
    <Part Type="signatura" DocPartId="c4d2d37471a94336b0244ac25dc33d39" PartId="f2cea6f0e1ac4f5898d6b71662bbb776"/>
  </Part>
</Parts>
</file>

<file path=customXml/itemProps1.xml><?xml version="1.0" encoding="utf-8"?>
<ds:datastoreItem xmlns:ds="http://schemas.openxmlformats.org/officeDocument/2006/customXml" ds:itemID="{326DB8CA-790E-4FAD-9AC2-F5AE01ED134F}">
  <ds:schemaRefs>
    <ds:schemaRef ds:uri="http://schemas.openxmlformats.org/officeDocument/2006/bibliography"/>
  </ds:schemaRefs>
</ds:datastoreItem>
</file>

<file path=customXml/itemProps2.xml><?xml version="1.0" encoding="utf-8"?>
<ds:datastoreItem xmlns:ds="http://schemas.openxmlformats.org/officeDocument/2006/customXml" ds:itemID="{601CE7F5-FB76-465C-9721-1BEDF08102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170</Words>
  <Characters>1223</Characters>
  <Application>Microsoft Office Word</Application>
  <DocSecurity>4</DocSecurity>
  <Lines>38</Lines>
  <Paragraphs>14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1379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2021-11-18T14:28:00Z</dcterms:created>
  <dcterms:modified xsi:type="dcterms:W3CDTF">2021-11-18T14:28:00Z</dcterms:modified>
  <revision>1</revision>
</coreProperties>
</file>