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e7f87d8f04c4b189e38b88f1953709e"/>
        <w:lock w:val="sdtLocked"/>
        <w:richText/>
      </w:sdtPr>
      <w:sdtContent>
        <w:p w14:paraId="54221CFC" w14:textId="77777777">
          <w:pPr>
            <w:widowControl w:val="0"/>
            <w:suppressAutoHyphens/>
            <w:jc w:val="center"/>
            <w:rPr>
              <w:rFonts w:ascii="Thorndale" w:eastAsia="HG Mincho Light J" w:hAnsi="Thorndale"/>
              <w:b/>
              <w:color w:val="000000"/>
              <w:szCs w:val="24"/>
              <w:lang w:eastAsia="lt-LT"/>
            </w:rPr>
          </w:pPr>
        </w:p>
        <w:p w14:paraId="626E2C11" w14:textId="77777777">
          <w:pPr>
            <w:widowControl w:val="0"/>
            <w:suppressAutoHyphens/>
            <w:jc w:val="center"/>
            <w:rPr>
              <w:rFonts w:ascii="Thorndale" w:eastAsia="HG Mincho Light J" w:hAnsi="Thorndale"/>
              <w:b/>
              <w:color w:val="000000"/>
              <w:szCs w:val="24"/>
              <w:lang w:eastAsia="lt-LT"/>
            </w:rPr>
          </w:pPr>
          <w:r>
            <w:rPr>
              <w:rFonts w:ascii="Thorndale" w:eastAsia="HG Mincho Light J" w:hAnsi="Thorndale"/>
              <w:b/>
              <w:color w:val="000000"/>
              <w:szCs w:val="24"/>
              <w:lang w:eastAsia="lt-LT"/>
            </w:rPr>
            <w:t>ŠIAULIŲ MIESTO SAVIVALDYBĖS TARYBA</w:t>
          </w:r>
        </w:p>
        <w:p w14:paraId="626E2C12" w14:textId="77777777">
          <w:pPr>
            <w:widowControl w:val="0"/>
            <w:suppressAutoHyphens/>
            <w:jc w:val="center"/>
            <w:rPr>
              <w:rFonts w:ascii="Thorndale" w:eastAsia="HG Mincho Light J" w:hAnsi="Thorndale"/>
              <w:b/>
              <w:color w:val="000000"/>
              <w:szCs w:val="24"/>
              <w:lang w:eastAsia="lt-LT"/>
            </w:rPr>
          </w:pPr>
        </w:p>
        <w:p w14:paraId="626E2C13"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626E2C15" w14:textId="1C8A78B0">
          <w:pPr>
            <w:widowControl w:val="0"/>
            <w:suppressAutoHyphens/>
            <w:jc w:val="center"/>
            <w:rPr>
              <w:rFonts w:eastAsia="HG Mincho Light J"/>
              <w:b/>
              <w:color w:val="000000"/>
              <w:szCs w:val="24"/>
              <w:lang w:eastAsia="lt-LT"/>
            </w:rPr>
          </w:pPr>
          <w:r>
            <w:rPr>
              <w:rFonts w:eastAsia="HG Mincho Light J"/>
              <w:b/>
              <w:color w:val="000000"/>
              <w:szCs w:val="24"/>
              <w:lang w:eastAsia="lt-LT"/>
            </w:rPr>
            <w:t xml:space="preserve">DĖL ŠIAULIŲ MIESTO SAVIVALDYBĖS TARYBOS 2023 M. KOVO 30 D. SPRENDIMO NR. T-159 „DĖL ŠIAULIŲ MIESTO SAVIVALDYBĖS  REPREZENTACINIO RENGINIO STATUSO SUTEIKIMO IR JO DALINIO FINANSAVIMO TVARKOS APRAŠO PATVIRTINIMO“ PAKEITIMO</w:t>
          </w:r>
        </w:p>
        <w:p w14:paraId="3CB90CAF" w14:textId="77777777">
          <w:pPr>
            <w:widowControl w:val="0"/>
            <w:suppressAutoHyphens/>
            <w:jc w:val="center"/>
            <w:rPr>
              <w:rFonts w:ascii="Thorndale" w:eastAsia="HG Mincho Light J" w:hAnsi="Thorndale"/>
              <w:color w:val="000000"/>
              <w:szCs w:val="24"/>
              <w:lang w:eastAsia="lt-LT"/>
            </w:rPr>
          </w:pPr>
        </w:p>
        <w:p w14:paraId="626E2C16" w14:textId="3C094428">
          <w:pPr>
            <w:widowControl w:val="0"/>
            <w:suppressAutoHyphens/>
            <w:jc w:val="center"/>
            <w:rPr>
              <w:rFonts w:ascii="Thorndale" w:eastAsia="HG Mincho Light J" w:hAnsi="Thorndale"/>
              <w:color w:val="000000"/>
              <w:szCs w:val="24"/>
              <w:lang w:eastAsia="lt-LT"/>
            </w:rPr>
          </w:pPr>
          <w:r>
            <w:rPr>
              <w:rFonts w:ascii="Thorndale" w:eastAsia="HG Mincho Light J" w:hAnsi="Thorndale"/>
              <w:color w:val="000000"/>
              <w:szCs w:val="24"/>
              <w:lang w:eastAsia="lt-LT"/>
            </w:rPr>
            <w:t xml:space="preserve">2023 m.                           d. Nr. T-</w:t>
          </w:r>
        </w:p>
        <w:p w14:paraId="626E2C17" w14:textId="77777777">
          <w:pPr>
            <w:widowControl w:val="0"/>
            <w:suppressAutoHyphens/>
            <w:jc w:val="center"/>
            <w:rPr>
              <w:rFonts w:ascii="Thorndale" w:eastAsia="HG Mincho Light J" w:hAnsi="Thorndale"/>
              <w:color w:val="000000"/>
              <w:szCs w:val="24"/>
              <w:lang w:eastAsia="lt-LT"/>
            </w:rPr>
          </w:pPr>
          <w:r>
            <w:rPr>
              <w:rFonts w:ascii="Thorndale" w:eastAsia="HG Mincho Light J" w:hAnsi="Thorndale"/>
              <w:color w:val="000000"/>
              <w:szCs w:val="24"/>
              <w:lang w:eastAsia="lt-LT"/>
            </w:rPr>
            <w:t>Šiauliai</w:t>
          </w:r>
        </w:p>
        <w:p w14:paraId="626E2C18" w14:textId="77777777">
          <w:pPr>
            <w:widowControl w:val="0"/>
            <w:suppressAutoHyphens/>
            <w:jc w:val="center"/>
            <w:rPr>
              <w:rFonts w:ascii="Thorndale" w:eastAsia="HG Mincho Light J" w:hAnsi="Thorndale"/>
              <w:szCs w:val="24"/>
              <w:lang w:eastAsia="lt-LT"/>
            </w:rPr>
          </w:pPr>
        </w:p>
        <w:sdt>
          <w:sdtPr>
            <w:alias w:val="preambule"/>
            <w:tag w:val="part_c92653b02e8e4528a873b7e542e8c7d4"/>
            <w:lock w:val="sdtLocked"/>
            <w:richText/>
          </w:sdtPr>
          <w:sdtContent>
            <w:p w14:paraId="44F704EF" w14:textId="6D40A081">
              <w:pPr>
                <w:ind w:firstLine="720"/>
                <w:jc w:val="both"/>
              </w:pPr>
              <w:r>
                <w:t>Vadovaudamasi Lietuvos Respublikos vietos savivaldos įstatymo 16 straipsnio 1 dalimi,</w:t>
              </w:r>
              <w:r>
                <w:rPr>
                  <w:color w:val="000000"/>
                  <w:szCs w:val="24"/>
                  <w:shd w:val="clear" w:color="auto" w:fill="FFFFFF"/>
                </w:rPr>
                <w:t xml:space="preserve">  </w:t>
              </w:r>
              <w:r>
                <w:rPr>
                  <w:szCs w:val="24"/>
                </w:rPr>
                <w:t>Šiaulių</w:t>
              </w:r>
              <w:r>
                <w:t xml:space="preserve"> miesto savivaldybės taryba </w:t>
              </w:r>
              <w:r>
                <w:rPr>
                  <w:spacing w:val="60"/>
                </w:rPr>
                <w:t>nusprendži</w:t>
              </w:r>
              <w:r>
                <w:t>a:</w:t>
              </w:r>
            </w:p>
          </w:sdtContent>
        </w:sdt>
        <w:sdt>
          <w:sdtPr>
            <w:alias w:val="pastraipa"/>
            <w:tag w:val="part_b4e649c432564e48b0f10323dabcd51d"/>
            <w:lock w:val="sdtLocked"/>
            <w:richText/>
          </w:sdtPr>
          <w:sdtContent>
            <w:p w14:paraId="49021249" w14:textId="72C655C8">
              <w:pPr>
                <w:widowControl w:val="0"/>
                <w:suppressAutoHyphens/>
                <w:ind w:firstLine="720"/>
                <w:jc w:val="both"/>
                <w:rPr>
                  <w:rFonts w:eastAsia="HG Mincho Light J"/>
                  <w:bCs/>
                  <w:color w:val="000000"/>
                  <w:szCs w:val="24"/>
                  <w:lang w:eastAsia="lt-LT"/>
                </w:rPr>
              </w:pPr>
              <w:r>
                <w:rPr>
                  <w:rFonts w:eastAsia="HG Mincho Light J"/>
                  <w:szCs w:val="24"/>
                  <w:lang w:eastAsia="lt-LT"/>
                </w:rPr>
                <w:t xml:space="preserve">Pakeisti </w:t>
              </w:r>
              <w:r>
                <w:rPr>
                  <w:rFonts w:eastAsia="HG Mincho Light J"/>
                  <w:bCs/>
                  <w:color w:val="000000"/>
                  <w:szCs w:val="24"/>
                  <w:lang w:eastAsia="lt-LT"/>
                </w:rPr>
                <w:t xml:space="preserve">Šiaulių miesto savivaldybės  reprezentacinio renginio statuso suteikimo ir jo dalinio finansavimo tvarkos aprašą, patvirtintą Šiaulių miesto savivaldybės tarybos 2023 m. kovo 30 d. sprendimu Nr. T-159 „Dėl Šiaulių miesto savivaldybės  reprezentacinio renginio statuso suteikimo ir jo dalinio finansavimo tvarkos aprašo patvirtinimo“:</w:t>
              </w:r>
            </w:p>
          </w:sdtContent>
        </w:sdt>
        <w:sdt>
          <w:sdtPr>
            <w:alias w:val="1 p."/>
            <w:tag w:val="part_712debbf59a545678ce7b9b51766e281"/>
            <w:lock w:val="sdtLocked"/>
            <w:richText/>
          </w:sdtPr>
          <w:sdtContent>
            <w:p w14:paraId="7AD1BFF6" w14:textId="2F10EA3B">
              <w:pPr>
                <w:widowControl w:val="0"/>
                <w:suppressAutoHyphens/>
                <w:ind w:left="1080" w:hanging="360"/>
                <w:jc w:val="both"/>
                <w:rPr>
                  <w:rFonts w:eastAsia="HG Mincho Light J"/>
                  <w:bCs/>
                  <w:szCs w:val="24"/>
                  <w:lang w:eastAsia="lt-LT"/>
                </w:rPr>
              </w:pPr>
              <w:sdt>
                <w:sdtPr>
                  <w:alias w:val="Numeris"/>
                  <w:tag w:val="nr_712debbf59a545678ce7b9b51766e281"/>
                  <w:lock w:val="sdtLocked"/>
                  <w:richText/>
                </w:sdtPr>
                <w:sdtContent>
                  <w:r>
                    <w:rPr>
                      <w:rFonts w:eastAsia="HG Mincho Light J"/>
                      <w:bCs/>
                      <w:color w:val="000000"/>
                      <w:szCs w:val="24"/>
                      <w:lang w:eastAsia="lt-LT"/>
                    </w:rPr>
                    <w:t>1</w:t>
                  </w:r>
                </w:sdtContent>
              </w:sdt>
              <w:r>
                <w:rPr>
                  <w:rFonts w:eastAsia="HG Mincho Light J"/>
                  <w:bCs/>
                  <w:color w:val="000000"/>
                  <w:szCs w:val="24"/>
                  <w:lang w:eastAsia="lt-LT"/>
                </w:rPr>
                <w:t>.</w:t>
                <w:tab/>
              </w:r>
              <w:r>
                <w:rPr>
                  <w:rFonts w:eastAsia="HG Mincho Light J"/>
                  <w:bCs/>
                  <w:szCs w:val="24"/>
                  <w:lang w:eastAsia="lt-LT"/>
                </w:rPr>
                <w:t>Papildyti nauju 3.5 papunkčiu:</w:t>
              </w:r>
            </w:p>
            <w:sdt>
              <w:sdtPr>
                <w:alias w:val="citata"/>
                <w:tag w:val="part_7b95ab71ecd84651ad0f461fab85ffd9"/>
                <w:lock w:val="sdtLocked"/>
                <w:richText/>
              </w:sdtPr>
              <w:sdtContent>
                <w:sdt>
                  <w:sdtPr>
                    <w:alias w:val="3.5 pp."/>
                    <w:tag w:val="part_3bafd272713946fdb0a7df1acfe0f793"/>
                    <w:lock w:val="sdtLocked"/>
                    <w:richText/>
                  </w:sdtPr>
                  <w:sdtContent>
                    <w:p w14:paraId="0FF2919B" w14:textId="7581E921">
                      <w:pPr>
                        <w:widowControl w:val="0"/>
                        <w:tabs>
                          <w:tab w:val="num" w:pos="0"/>
                        </w:tabs>
                        <w:suppressAutoHyphens/>
                        <w:ind w:firstLine="720"/>
                        <w:jc w:val="both"/>
                        <w:rPr>
                          <w:rFonts w:eastAsia="HG Mincho Light J"/>
                          <w:color w:val="000000"/>
                          <w:szCs w:val="24"/>
                          <w:lang w:eastAsia="lt-LT"/>
                        </w:rPr>
                      </w:pPr>
                      <w:r>
                        <w:rPr>
                          <w:rFonts w:eastAsia="HG Mincho Light J"/>
                          <w:bCs/>
                          <w:szCs w:val="24"/>
                          <w:lang w:eastAsia="lt-LT"/>
                        </w:rPr>
                        <w:t>„</w:t>
                      </w:r>
                      <w:sdt>
                        <w:sdtPr>
                          <w:alias w:val="Numeris"/>
                          <w:tag w:val="nr_3bafd272713946fdb0a7df1acfe0f793"/>
                          <w:lock w:val="sdtLocked"/>
                          <w:richText/>
                        </w:sdtPr>
                        <w:sdtContent>
                          <w:r>
                            <w:rPr>
                              <w:rFonts w:eastAsia="HG Mincho Light J"/>
                              <w:color w:val="000000"/>
                              <w:szCs w:val="24"/>
                              <w:lang w:eastAsia="lt-LT"/>
                            </w:rPr>
                            <w:t>3.5</w:t>
                          </w:r>
                        </w:sdtContent>
                      </w:sdt>
                      <w:r>
                        <w:rPr>
                          <w:rFonts w:eastAsia="HG Mincho Light J"/>
                          <w:color w:val="000000"/>
                          <w:szCs w:val="24"/>
                          <w:lang w:eastAsia="lt-LT"/>
                        </w:rPr>
                        <w:t>. administravimo išlaidos – renginio organizavimui skiriamos išlaidos, būtinos organizavimo veiklai užtikrinti ir (ar) renginiui organizuoti, bet nekuriančios paties renginio turinio (atlygis organizuojantiems renginį ir pan.);“</w:t>
                      </w:r>
                    </w:p>
                  </w:sdtContent>
                </w:sdt>
              </w:sdtContent>
            </w:sdt>
          </w:sdtContent>
        </w:sdt>
        <w:sdt>
          <w:sdtPr>
            <w:alias w:val="2 p."/>
            <w:tag w:val="part_3d0ab2f6e58d4224b22bf485a417f71c"/>
            <w:lock w:val="sdtLocked"/>
            <w:richText/>
          </w:sdtPr>
          <w:sdtContent>
            <w:p w14:paraId="0A56FA54" w14:textId="5347BE8D">
              <w:pPr>
                <w:widowControl w:val="0"/>
                <w:suppressAutoHyphens/>
                <w:ind w:left="1080" w:hanging="360"/>
                <w:jc w:val="both"/>
                <w:rPr>
                  <w:rFonts w:eastAsia="HG Mincho Light J"/>
                  <w:szCs w:val="24"/>
                  <w:lang w:eastAsia="lt-LT"/>
                </w:rPr>
              </w:pPr>
              <w:sdt>
                <w:sdtPr>
                  <w:alias w:val="Numeris"/>
                  <w:tag w:val="nr_3d0ab2f6e58d4224b22bf485a417f71c"/>
                  <w:lock w:val="sdtLocked"/>
                  <w:richText/>
                </w:sdtPr>
                <w:sdtContent>
                  <w:r>
                    <w:rPr>
                      <w:rFonts w:eastAsia="HG Mincho Light J"/>
                      <w:color w:val="000000"/>
                      <w:szCs w:val="24"/>
                      <w:lang w:eastAsia="lt-LT"/>
                    </w:rPr>
                    <w:t>2</w:t>
                  </w:r>
                </w:sdtContent>
              </w:sdt>
              <w:r>
                <w:rPr>
                  <w:rFonts w:eastAsia="HG Mincho Light J"/>
                  <w:color w:val="000000"/>
                  <w:szCs w:val="24"/>
                  <w:lang w:eastAsia="lt-LT"/>
                </w:rPr>
                <w:t>.</w:t>
                <w:tab/>
              </w:r>
              <w:r>
                <w:rPr>
                  <w:rFonts w:eastAsia="HG Mincho Light J"/>
                  <w:szCs w:val="24"/>
                  <w:lang w:eastAsia="lt-LT"/>
                </w:rPr>
                <w:t>Papildyti nauju 22.3 papunkčiu:</w:t>
              </w:r>
            </w:p>
            <w:sdt>
              <w:sdtPr>
                <w:alias w:val="citata"/>
                <w:tag w:val="part_ef307c47490d449598438f08ab8d309d"/>
                <w:lock w:val="sdtLocked"/>
                <w:richText/>
              </w:sdtPr>
              <w:sdtContent>
                <w:sdt>
                  <w:sdtPr>
                    <w:alias w:val="22.3 pp."/>
                    <w:tag w:val="part_0254b378368c44a489fc88a77c86aee1"/>
                    <w:lock w:val="sdtLocked"/>
                    <w:richText/>
                  </w:sdtPr>
                  <w:sdtContent>
                    <w:p w14:paraId="6D5FAFB8" w14:textId="4321AF49">
                      <w:pPr>
                        <w:widowControl w:val="0"/>
                        <w:tabs>
                          <w:tab w:val="left" w:pos="1080"/>
                        </w:tabs>
                        <w:suppressAutoHyphens/>
                        <w:ind w:firstLine="720"/>
                        <w:jc w:val="both"/>
                        <w:rPr>
                          <w:rFonts w:eastAsia="HG Mincho Light J"/>
                          <w:color w:val="000000"/>
                          <w:szCs w:val="24"/>
                          <w:lang w:eastAsia="lt-LT"/>
                        </w:rPr>
                      </w:pPr>
                      <w:r>
                        <w:rPr>
                          <w:rFonts w:eastAsia="HG Mincho Light J"/>
                          <w:szCs w:val="24"/>
                          <w:lang w:eastAsia="lt-LT"/>
                        </w:rPr>
                        <w:t>„</w:t>
                      </w:r>
                      <w:sdt>
                        <w:sdtPr>
                          <w:alias w:val="Numeris"/>
                          <w:tag w:val="nr_0254b378368c44a489fc88a77c86aee1"/>
                          <w:lock w:val="sdtLocked"/>
                          <w:richText/>
                        </w:sdtPr>
                        <w:sdtContent>
                          <w:r>
                            <w:rPr>
                              <w:rFonts w:eastAsia="HG Mincho Light J"/>
                              <w:color w:val="000000"/>
                              <w:szCs w:val="24"/>
                              <w:lang w:eastAsia="lt-LT"/>
                            </w:rPr>
                            <w:t>22.3</w:t>
                          </w:r>
                        </w:sdtContent>
                      </w:sdt>
                      <w:r>
                        <w:rPr>
                          <w:rFonts w:eastAsia="HG Mincho Light J"/>
                          <w:color w:val="000000"/>
                          <w:szCs w:val="24"/>
                          <w:lang w:eastAsia="lt-LT"/>
                        </w:rPr>
                        <w:t>. administravimo išlaidoms padengti;“</w:t>
                      </w:r>
                    </w:p>
                  </w:sdtContent>
                </w:sdt>
              </w:sdtContent>
            </w:sdt>
          </w:sdtContent>
        </w:sdt>
        <w:sdt>
          <w:sdtPr>
            <w:alias w:val="3 p."/>
            <w:tag w:val="part_1b024acd33a049e789c2193c9c12b663"/>
            <w:lock w:val="sdtLocked"/>
            <w:richText/>
          </w:sdtPr>
          <w:sdtContent>
            <w:p w14:paraId="705EC43C" w14:textId="4CAB1CD0">
              <w:pPr>
                <w:widowControl w:val="0"/>
                <w:suppressAutoHyphens/>
                <w:ind w:left="1080" w:hanging="360"/>
                <w:jc w:val="both"/>
                <w:rPr>
                  <w:rFonts w:eastAsia="HG Mincho Light J"/>
                  <w:szCs w:val="24"/>
                  <w:lang w:eastAsia="lt-LT"/>
                </w:rPr>
              </w:pPr>
              <w:sdt>
                <w:sdtPr>
                  <w:alias w:val="Numeris"/>
                  <w:tag w:val="nr_1b024acd33a049e789c2193c9c12b663"/>
                  <w:lock w:val="sdtLocked"/>
                  <w:richText/>
                </w:sdtPr>
                <w:sdtContent>
                  <w:r>
                    <w:rPr>
                      <w:rFonts w:eastAsia="HG Mincho Light J"/>
                      <w:color w:val="000000"/>
                      <w:szCs w:val="24"/>
                      <w:lang w:eastAsia="lt-LT"/>
                    </w:rPr>
                    <w:t>3</w:t>
                  </w:r>
                </w:sdtContent>
              </w:sdt>
              <w:r>
                <w:rPr>
                  <w:rFonts w:eastAsia="HG Mincho Light J"/>
                  <w:color w:val="000000"/>
                  <w:szCs w:val="24"/>
                  <w:lang w:eastAsia="lt-LT"/>
                </w:rPr>
                <w:t>.</w:t>
                <w:tab/>
              </w:r>
              <w:r>
                <w:rPr>
                  <w:rFonts w:eastAsia="HG Mincho Light J"/>
                  <w:szCs w:val="24"/>
                  <w:lang w:eastAsia="lt-LT"/>
                </w:rPr>
                <w:t>Pakeisti 26 punktą ir jį išdėstyti taip:</w:t>
              </w:r>
            </w:p>
            <w:sdt>
              <w:sdtPr>
                <w:alias w:val="citata"/>
                <w:tag w:val="part_b20f71a52f6d4f84889d6a9e6d9b93f9"/>
                <w:lock w:val="sdtLocked"/>
                <w:richText/>
              </w:sdtPr>
              <w:sdtContent>
                <w:sdt>
                  <w:sdtPr>
                    <w:alias w:val="26 p."/>
                    <w:tag w:val="part_4596794d86e04270a6f24272c2b88194"/>
                    <w:lock w:val="sdtLocked"/>
                    <w:richText/>
                  </w:sdtPr>
                  <w:sdtContent>
                    <w:p w14:paraId="2338EAB9" w14:textId="0C6FC318">
                      <w:pPr>
                        <w:widowControl w:val="0"/>
                        <w:tabs>
                          <w:tab w:val="left" w:pos="1080"/>
                        </w:tabs>
                        <w:suppressAutoHyphens/>
                        <w:ind w:firstLine="720"/>
                        <w:jc w:val="both"/>
                        <w:rPr>
                          <w:rFonts w:eastAsia="HG Mincho Light J"/>
                          <w:color w:val="000000"/>
                          <w:szCs w:val="24"/>
                          <w:lang w:eastAsia="lt-LT"/>
                        </w:rPr>
                      </w:pPr>
                      <w:r>
                        <w:rPr>
                          <w:rFonts w:eastAsia="HG Mincho Light J"/>
                          <w:szCs w:val="24"/>
                          <w:lang w:eastAsia="lt-LT"/>
                        </w:rPr>
                        <w:t>„</w:t>
                      </w:r>
                      <w:sdt>
                        <w:sdtPr>
                          <w:alias w:val="Numeris"/>
                          <w:tag w:val="nr_4596794d86e04270a6f24272c2b88194"/>
                          <w:lock w:val="sdtLocked"/>
                          <w:richText/>
                        </w:sdtPr>
                        <w:sdtContent>
                          <w:r>
                            <w:rPr>
                              <w:rFonts w:eastAsia="HG Mincho Light J"/>
                              <w:color w:val="000000"/>
                              <w:szCs w:val="24"/>
                              <w:lang w:eastAsia="lt-LT"/>
                            </w:rPr>
                            <w:t>26</w:t>
                          </w:r>
                        </w:sdtContent>
                      </w:sdt>
                      <w:r>
                        <w:rPr>
                          <w:rFonts w:eastAsia="HG Mincho Light J"/>
                          <w:color w:val="000000"/>
                          <w:szCs w:val="24"/>
                          <w:lang w:eastAsia="lt-LT"/>
                        </w:rPr>
                        <w:t>. Renginiui</w:t>
                      </w:r>
                      <w:r>
                        <w:rPr>
                          <w:rFonts w:eastAsia="HG Mincho Light J"/>
                          <w:color w:val="000000"/>
                          <w:sz w:val="20"/>
                          <w:szCs w:val="24"/>
                          <w:lang w:eastAsia="lt-LT"/>
                        </w:rPr>
                        <w:t xml:space="preserve"> </w:t>
                      </w:r>
                      <w:r>
                        <w:rPr>
                          <w:rFonts w:eastAsia="HG Mincho Light J"/>
                          <w:color w:val="000000"/>
                          <w:szCs w:val="24"/>
                          <w:lang w:eastAsia="lt-LT"/>
                        </w:rPr>
                        <w:t xml:space="preserve">įgyvendinti reikalinga lėšų dalis, kurios nepadengia reprezentaciniam renginiui skirtos Savivaldybės biudžeto lėšos, turi sudaryti ne mažiau nei 30 procentų viso projekto lėšų poreikio. Šią lėšų dalį turi padengti renginio vykdytojas savo (išskyrus iš Savivaldybės biudžeto gaunamas lėšas) arba rėmėjų (partnerių) indėliu (finansiniu ar nepiniginiu įnašu). Dokumentai, įrodantys tokį prisidėjimą, yra sutartis, preliminari sutartis, ketinimų protokolas ar raštas, laiškas. Prisidėjimas ir (ar) indėlis, teikiamas natūra prekėmis ir (arba) paslaugomis, išreiškiama pinigine verte (nepiniginio įnašo vertę teisės aktų nustatyta tvarka apskaičiuoja, nustato ir už jos teisingumą atsako paraiškos teikėjas). Visuose indėlį patvirtinančiuose dokumentuose turi būti nurodytas renginio pavadinimas, finansinio įsipareigojimo rūšis (parama lėšomis ar natūra), finansinio įsipareigojimo vertė eurais. Sutartis nesudaroma, jeigu </w:t>
                      </w:r>
                      <w:r>
                        <w:rPr>
                          <w:rFonts w:eastAsia="HG Mincho Light J"/>
                          <w:color w:val="000000"/>
                          <w:szCs w:val="24"/>
                          <w:shd w:val="clear" w:color="auto" w:fill="FFFFFF"/>
                          <w:lang w:eastAsia="lt-LT"/>
                        </w:rPr>
                        <w:t>renginio vykdytojas</w:t>
                      </w:r>
                      <w:r>
                        <w:rPr>
                          <w:rFonts w:eastAsia="HG Mincho Light J"/>
                          <w:color w:val="000000"/>
                          <w:szCs w:val="24"/>
                          <w:lang w:eastAsia="lt-LT"/>
                        </w:rPr>
                        <w:t xml:space="preserve"> nepateikia dokumentų, įrodančių, kad renginiui įgyvendinti turi ne mažiau kaip 30</w:t>
                      </w:r>
                      <w:r>
                        <w:rPr>
                          <w:rFonts w:eastAsia="HG Mincho Light J"/>
                          <w:color w:val="70AD47"/>
                          <w:szCs w:val="24"/>
                          <w:lang w:eastAsia="lt-LT"/>
                        </w:rPr>
                        <w:t xml:space="preserve"> </w:t>
                      </w:r>
                      <w:r>
                        <w:rPr>
                          <w:rFonts w:eastAsia="HG Mincho Light J"/>
                          <w:color w:val="000000"/>
                          <w:szCs w:val="24"/>
                          <w:lang w:eastAsia="lt-LT"/>
                        </w:rPr>
                        <w:t>procentų lėšų iš kitų finansavimo šaltinių.“</w:t>
                      </w:r>
                    </w:p>
                  </w:sdtContent>
                </w:sdt>
              </w:sdtContent>
            </w:sdt>
          </w:sdtContent>
        </w:sdt>
        <w:sdt>
          <w:sdtPr>
            <w:alias w:val="4 p."/>
            <w:tag w:val="part_22e62d06a7984449a91b75b215dbebbc"/>
            <w:lock w:val="sdtLocked"/>
            <w:richText/>
          </w:sdtPr>
          <w:sdtContent>
            <w:p w14:paraId="3709F5CE" w14:textId="3997716D">
              <w:pPr>
                <w:widowControl w:val="0"/>
                <w:tabs>
                  <w:tab w:val="left" w:pos="0"/>
                </w:tabs>
                <w:suppressAutoHyphens/>
                <w:ind w:left="1080" w:hanging="360"/>
                <w:jc w:val="both"/>
                <w:rPr>
                  <w:rFonts w:eastAsia="HG Mincho Light J"/>
                  <w:szCs w:val="24"/>
                  <w:lang w:eastAsia="lt-LT"/>
                </w:rPr>
              </w:pPr>
              <w:sdt>
                <w:sdtPr>
                  <w:alias w:val="Numeris"/>
                  <w:tag w:val="nr_22e62d06a7984449a91b75b215dbebbc"/>
                  <w:lock w:val="sdtLocked"/>
                  <w:richText/>
                </w:sdtPr>
                <w:sdtContent>
                  <w:r>
                    <w:rPr>
                      <w:rFonts w:eastAsia="HG Mincho Light J"/>
                      <w:color w:val="000000"/>
                      <w:szCs w:val="24"/>
                      <w:lang w:eastAsia="lt-LT"/>
                    </w:rPr>
                    <w:t>4</w:t>
                  </w:r>
                </w:sdtContent>
              </w:sdt>
              <w:r>
                <w:rPr>
                  <w:rFonts w:eastAsia="HG Mincho Light J"/>
                  <w:color w:val="000000"/>
                  <w:szCs w:val="24"/>
                  <w:lang w:eastAsia="lt-LT"/>
                </w:rPr>
                <w:t>.</w:t>
                <w:tab/>
              </w:r>
              <w:r>
                <w:rPr>
                  <w:rFonts w:eastAsia="HG Mincho Light J"/>
                  <w:szCs w:val="24"/>
                  <w:lang w:eastAsia="lt-LT"/>
                </w:rPr>
                <w:t>Buvusį 3.5 papunktį laikyti 3.6 papunkčiu, o buvusį 22.3 papunktį laikyti 22.4</w:t>
              </w:r>
            </w:p>
          </w:sdtContent>
        </w:sdt>
        <w:sdt>
          <w:sdtPr>
            <w:alias w:val="signatura"/>
            <w:tag w:val="part_e9d0471079214ef3ba49ea12f445be1c"/>
            <w:lock w:val="sdtLocked"/>
            <w:richText/>
          </w:sdtPr>
          <w:sdtContent>
            <w:p w14:paraId="6BF66059" w14:textId="3A4C3B4F">
              <w:pPr>
                <w:widowControl w:val="0"/>
                <w:tabs>
                  <w:tab w:val="num" w:pos="0"/>
                </w:tabs>
                <w:suppressAutoHyphens/>
                <w:jc w:val="both"/>
                <w:rPr>
                  <w:rFonts w:eastAsia="HG Mincho Light J"/>
                  <w:szCs w:val="24"/>
                  <w:lang w:eastAsia="lt-LT"/>
                </w:rPr>
              </w:pPr>
              <w:r>
                <w:rPr>
                  <w:rFonts w:eastAsia="HG Mincho Light J"/>
                  <w:szCs w:val="24"/>
                  <w:lang w:eastAsia="lt-LT"/>
                </w:rPr>
                <w:t>papunkčiu.</w:t>
              </w:r>
            </w:p>
            <w:p w14:paraId="5999EECD" w14:textId="70026FB9">
              <w:pPr>
                <w:widowControl w:val="0"/>
                <w:suppressAutoHyphens/>
                <w:ind w:left="720"/>
                <w:jc w:val="both"/>
                <w:rPr>
                  <w:rFonts w:eastAsia="HG Mincho Light J"/>
                  <w:szCs w:val="24"/>
                  <w:lang w:eastAsia="lt-LT"/>
                </w:rPr>
              </w:pPr>
            </w:p>
            <w:p w14:paraId="271292E9" w14:textId="0AE506CE">
              <w:pPr>
                <w:widowControl w:val="0"/>
                <w:suppressAutoHyphens/>
                <w:ind w:left="720"/>
                <w:jc w:val="both"/>
                <w:rPr>
                  <w:rFonts w:eastAsia="HG Mincho Light J"/>
                  <w:szCs w:val="24"/>
                  <w:lang w:eastAsia="lt-LT"/>
                </w:rPr>
              </w:pPr>
            </w:p>
            <w:p w14:paraId="51AA132C" w14:textId="04AE6EA2">
              <w:pPr>
                <w:widowControl w:val="0"/>
                <w:suppressAutoHyphens/>
                <w:ind w:firstLine="720"/>
                <w:jc w:val="both"/>
                <w:rPr>
                  <w:rFonts w:ascii="Thorndale" w:eastAsia="HG Mincho Light J" w:hAnsi="Thorndale"/>
                  <w:szCs w:val="24"/>
                  <w:lang w:eastAsia="lt-LT"/>
                </w:rPr>
              </w:pPr>
            </w:p>
            <w:p w14:paraId="626E2C2A" w14:textId="3D45FBB5">
              <w:pPr>
                <w:widowControl w:val="0"/>
                <w:tabs>
                  <w:tab w:val="right" w:pos="9638"/>
                </w:tabs>
                <w:suppressAutoHyphens/>
                <w:rPr>
                  <w:rFonts w:ascii="Thorndale" w:eastAsia="HG Mincho Light J" w:hAnsi="Thorndale"/>
                  <w:szCs w:val="24"/>
                  <w:lang w:eastAsia="lt-LT"/>
                </w:rPr>
              </w:pPr>
              <w:r>
                <w:rPr>
                  <w:rFonts w:ascii="Thorndale" w:eastAsia="HG Mincho Light J" w:hAnsi="Thorndale"/>
                  <w:szCs w:val="24"/>
                  <w:lang w:eastAsia="lt-LT"/>
                </w:rPr>
                <w:t xml:space="preserve">Savivaldybės meras                                                                                                     </w:t>
              </w:r>
            </w:p>
          </w:sdtContent>
        </w:sdt>
      </w:sdtContent>
    </w:sdt>
    <w:sectPr>
      <w:headerReference w:type="default" r:id="rId6"/>
      <w:footerReference w:type="default" r:id="rId7"/>
      <w:footnotePr>
        <w:pos w:val="beneathText"/>
        <w:numRestart w:val="eachPage"/>
      </w:footnotePr>
      <w:endnotePr>
        <w:numFmt w:val="decimal"/>
      </w:endnotePr>
      <w:pgSz w:w="11906" w:h="16838"/>
      <w:pgMar w:top="1008" w:right="567" w:bottom="1135" w:left="1701" w:header="560" w:footer="697"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8A925D"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57FEAAC7"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Calibri"/>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E2C3E"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6349C0"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542CBD4E"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AA79F" w14:textId="15B06183">
    <w:pPr>
      <w:widowControl w:val="0"/>
      <w:tabs>
        <w:tab w:val="center" w:pos="4986"/>
        <w:tab w:val="right" w:pos="9972"/>
      </w:tabs>
      <w:suppressAutoHyphens/>
      <w:ind w:firstLine="8222"/>
      <w:rPr>
        <w:rFonts w:ascii="Thorndale" w:eastAsia="HG Mincho Light J" w:hAnsi="Thorndale"/>
        <w:b/>
        <w:color w:val="000000"/>
        <w:szCs w:val="24"/>
        <w:lang w:eastAsia="lt-LT"/>
      </w:rPr>
    </w:pPr>
    <w:r>
      <w:rPr>
        <w:rFonts w:ascii="Thorndale" w:eastAsia="HG Mincho Light J" w:hAnsi="Thorndale"/>
        <w:b/>
        <w:color w:val="000000"/>
        <w:szCs w:val="24"/>
        <w:lang w:eastAsia="lt-LT"/>
      </w:rPr>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E2C10"/>
  <w15:chartTrackingRefBased/>
  <w15:docId w15:val="{41E898BD-E4FB-4DE3-9F77-0D2DADDF17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21231650">
      <w:bodyDiv w:val="1"/>
      <w:marLeft w:val="0"/>
      <w:marRight w:val="0"/>
      <w:marTop w:val="0"/>
      <w:marBottom w:val="0"/>
      <w:divBdr>
        <w:top w:val="none" w:sz="0" w:space="0" w:color="auto"/>
        <w:left w:val="none" w:sz="0" w:space="0" w:color="auto"/>
        <w:bottom w:val="none" w:sz="0" w:space="0" w:color="auto"/>
        <w:right w:val="none" w:sz="0" w:space="0" w:color="auto"/>
      </w:divBdr>
    </w:div>
    <w:div w:id="712584297">
      <w:bodyDiv w:val="1"/>
      <w:marLeft w:val="0"/>
      <w:marRight w:val="0"/>
      <w:marTop w:val="0"/>
      <w:marBottom w:val="0"/>
      <w:divBdr>
        <w:top w:val="none" w:sz="0" w:space="0" w:color="auto"/>
        <w:left w:val="none" w:sz="0" w:space="0" w:color="auto"/>
        <w:bottom w:val="none" w:sz="0" w:space="0" w:color="auto"/>
        <w:right w:val="none" w:sz="0" w:space="0" w:color="auto"/>
      </w:divBdr>
    </w:div>
    <w:div w:id="1309169417">
      <w:bodyDiv w:val="1"/>
      <w:marLeft w:val="0"/>
      <w:marRight w:val="0"/>
      <w:marTop w:val="0"/>
      <w:marBottom w:val="0"/>
      <w:divBdr>
        <w:top w:val="none" w:sz="0" w:space="0" w:color="auto"/>
        <w:left w:val="none" w:sz="0" w:space="0" w:color="auto"/>
        <w:bottom w:val="none" w:sz="0" w:space="0" w:color="auto"/>
        <w:right w:val="none" w:sz="0" w:space="0" w:color="auto"/>
      </w:divBdr>
    </w:div>
    <w:div w:id="1697584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6fc2d0c8dc4d8e9f7f952e245d8427" PartId="6e7f87d8f04c4b189e38b88f1953709e">
    <Part Type="preambule" DocPartId="588e9de5ad404881a30147643add08da" PartId="c92653b02e8e4528a873b7e542e8c7d4"/>
    <Part Type="pastraipa" DocPartId="a3a91ce88c734e2ab879f8e5374d5389" PartId="b4e649c432564e48b0f10323dabcd51d"/>
    <Part Type="punktas" Nr="1" Abbr="1 p." DocPartId="93fd77576193437a8dab59ac9c1c0371" PartId="712debbf59a545678ce7b9b51766e281">
      <Part Type="citata" DocPartId="7bf06e17a8e14a7681bf57d07a9471d8" PartId="7b95ab71ecd84651ad0f461fab85ffd9">
        <Part Type="papunktis" Nr="3.5" Abbr="3.5 pp." DocPartId="384e4e792576412d9f3cba8fd397cd3a" PartId="3bafd272713946fdb0a7df1acfe0f793"/>
      </Part>
    </Part>
    <Part Type="punktas" Nr="2" Abbr="2 p." DocPartId="ba387e7305184d8ea3fb60ccc4eecbb6" PartId="3d0ab2f6e58d4224b22bf485a417f71c">
      <Part Type="citata" DocPartId="4255e504a2a04b00853339c43d580859" PartId="ef307c47490d449598438f08ab8d309d">
        <Part Type="papunktis" Nr="22.3" Abbr="22.3 pp." DocPartId="fed712c23566430ab30b22f1da591d7f" PartId="0254b378368c44a489fc88a77c86aee1"/>
      </Part>
    </Part>
    <Part Type="punktas" Nr="3" Abbr="3 p." DocPartId="1078dabe9f1742ada38235f578887537" PartId="1b024acd33a049e789c2193c9c12b663">
      <Part Type="citata" DocPartId="16fef35ebb134098b10c785d8fddf9f6" PartId="b20f71a52f6d4f84889d6a9e6d9b93f9">
        <Part Type="punktas" Nr="26" Abbr="26 p." DocPartId="e16ecbe9509e4975a05b5b3bafaa83c0" PartId="4596794d86e04270a6f24272c2b88194"/>
      </Part>
    </Part>
    <Part Type="punktas" Nr="4" Abbr="4 p." DocPartId="20e822366ec743a687cbef28557086f7" PartId="22e62d06a7984449a91b75b215dbebbc"/>
    <Part Type="signatura" DocPartId="b47d2c4ab1464077950cc8ba2eb76aed" PartId="e9d0471079214ef3ba49ea12f445be1c"/>
  </Part>
</Parts>
</file>

<file path=customXml/itemProps1.xml><?xml version="1.0" encoding="utf-8"?>
<ds:datastoreItem xmlns:ds="http://schemas.openxmlformats.org/officeDocument/2006/customXml" ds:itemID="{C3EFF021-0895-4BC3-ABF7-703EC60ACA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308</Words>
  <Characters>2180</Characters>
  <Application>Microsoft Office Word</Application>
  <DocSecurity>4</DocSecurity>
  <Lines>44</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2023-11-22T12:13:00Z</dcterms:created>
  <dc:creator>Violeta Valančienė</dc:creator>
  <lastModifiedBy>adlibuser</lastModifiedBy>
  <dcterms:modified xsi:type="dcterms:W3CDTF">2023-11-22T12:13:00Z</dcterms:modified>
  <revision>2</revision>
</coreProperties>
</file>