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1c3a341f64340a9afdb7369ba8d237f"/>
        <w:lock w:val="sdtLocked"/>
        <w:richText/>
      </w:sdtPr>
      <w:sdtContent>
        <w:p>
          <w:pPr>
            <w:tabs>
              <w:tab w:val="left" w:pos="7655"/>
            </w:tabs>
            <w:ind w:firstLine="7655"/>
            <w:rPr>
              <w:b/>
              <w:bCs/>
              <w:szCs w:val="22"/>
            </w:rPr>
          </w:pPr>
          <w:r>
            <w:rPr>
              <w:b/>
              <w:bCs/>
              <w:szCs w:val="22"/>
            </w:rPr>
            <w:t>Projektas</w:t>
          </w:r>
        </w:p>
        <w:p>
          <w:pPr>
            <w:tabs>
              <w:tab w:val="left" w:pos="7655"/>
            </w:tabs>
            <w:ind w:firstLine="7655"/>
            <w:rPr>
              <w:szCs w:val="22"/>
            </w:rPr>
          </w:pPr>
          <w:r>
            <w:rPr>
              <w:szCs w:val="22"/>
            </w:rPr>
            <w:t>Nr. TSP-</w:t>
          </w:r>
        </w:p>
        <w:p>
          <w:pPr>
            <w:tabs>
              <w:tab w:val="left" w:pos="7655"/>
            </w:tabs>
            <w:rPr>
              <w:szCs w:val="22"/>
            </w:rPr>
          </w:pPr>
        </w:p>
        <w:p>
          <w:pPr>
            <w:jc w:val="center"/>
            <w:rPr>
              <w:b/>
              <w:caps/>
              <w:szCs w:val="24"/>
            </w:rPr>
          </w:pPr>
          <w:r>
            <w:rPr>
              <w:b/>
              <w:caps/>
              <w:szCs w:val="24"/>
            </w:rPr>
            <w:t>Radviliškio rajono SAVIVALDYBĖS TARYBA</w:t>
          </w:r>
        </w:p>
        <w:p>
          <w:pPr>
            <w:jc w:val="center"/>
            <w:rPr>
              <w:b/>
              <w:szCs w:val="24"/>
            </w:rPr>
          </w:pPr>
        </w:p>
        <w:p>
          <w:pPr>
            <w:jc w:val="center"/>
            <w:rPr>
              <w:b/>
              <w:szCs w:val="24"/>
            </w:rPr>
          </w:pPr>
          <w:r>
            <w:rPr>
              <w:b/>
              <w:szCs w:val="24"/>
            </w:rPr>
            <w:t>SPRENDIMAS</w:t>
          </w:r>
        </w:p>
        <w:tbl>
          <w:tblPr>
            <w:tblW w:w="0" w:type="auto"/>
            <w:jc w:val="center"/>
            <w:tblLook w:val="0000" w:firstRow="0" w:lastRow="0" w:firstColumn="0" w:lastColumn="0" w:noHBand="0" w:noVBand="0"/>
          </w:tblPr>
          <w:tblGrid>
            <w:gridCol w:w="9638"/>
          </w:tblGrid>
          <w:tr>
            <w:trPr>
              <w:jc w:val="center"/>
            </w:trPr>
            <w:tc>
              <w:tcPr>
                <w:tcW w:w="9645" w:type="dxa"/>
              </w:tcPr>
              <w:p>
                <w:pPr>
                  <w:jc w:val="center"/>
                  <w:rPr>
                    <w:b/>
                    <w:caps/>
                    <w:szCs w:val="24"/>
                  </w:rPr>
                </w:pPr>
                <w:r>
                  <w:rPr>
                    <w:b/>
                    <w:caps/>
                    <w:szCs w:val="24"/>
                  </w:rPr>
                  <w:t>DĖL sutikimo perimti Valstybės turtą VALDYTI NUOSAVYBĖS TEISE ir jo perdavimo valdyti, naudoti ir disponuoti patikėjimo teise Radviliškio rajono bendrojo ugdymo mokykloms</w:t>
                </w:r>
              </w:p>
            </w:tc>
          </w:tr>
        </w:tbl>
        <w:p>
          <w:pPr>
            <w:jc w:val="center"/>
            <w:rPr>
              <w:szCs w:val="22"/>
            </w:rPr>
          </w:pPr>
        </w:p>
        <w:p>
          <w:pPr>
            <w:jc w:val="center"/>
            <w:rPr>
              <w:szCs w:val="22"/>
            </w:rPr>
          </w:pPr>
          <w:r>
            <w:rPr>
              <w:szCs w:val="22"/>
            </w:rPr>
            <w:t xml:space="preserve">2026 m.                      d. Nr. T-</w:t>
          </w:r>
        </w:p>
        <w:p>
          <w:pPr>
            <w:jc w:val="center"/>
            <w:rPr>
              <w:szCs w:val="22"/>
            </w:rPr>
          </w:pPr>
          <w:r>
            <w:rPr>
              <w:szCs w:val="22"/>
            </w:rPr>
            <w:t xml:space="preserve">Radviliškis </w:t>
          </w:r>
        </w:p>
        <w:p>
          <w:pPr>
            <w:ind w:firstLine="680"/>
            <w:jc w:val="both"/>
            <w:rPr>
              <w:spacing w:val="-4"/>
              <w:szCs w:val="24"/>
              <w:highlight w:val="green"/>
            </w:rPr>
          </w:pPr>
        </w:p>
        <w:p>
          <w:pPr>
            <w:ind w:firstLine="720"/>
            <w:jc w:val="both"/>
            <w:rPr>
              <w:szCs w:val="24"/>
            </w:rPr>
          </w:pPr>
          <w:r>
            <w:rPr>
              <w:szCs w:val="24"/>
            </w:rPr>
            <w:t>Vadovaudamasi Lietuvos Respublikos vietos savivaldos įstatymo 15 straipsnio 4 dalimi, Lietuvos Respublikos valstybės ir savivaldybių turto valdymo, naudojimo ir disponavimo juo įstatymo 6 straipsnio 2 punktu, įgyvendindama Radviliškio rajono savivaldybės tarybos 2014 m. lapkričio 20 d. sprendimu Nr. T-893 „Dėl Radviliškio rajono savivaldybės ir patikėjimo teise perduoto valstybės turto valdymo, naudojimo ir disponavimo juo tvarkos aprašo patvirtinimo“ patvirtinto Radviliškio rajono savivaldybės ir patikėjimo teise perduoto valstybės turto valdymo, naudojimo ir disponavimo juo tvarkos aprašo 9 ir 13 punktus, atsižvelgdama į Nacionalinės švietimo agentūros 2026 m. balandžio 17 d. raštą Nr. SD-1171 „Dėl ilgalaikio materialiojo turto perėmimo savivaldybės nuosavybėn“, Radviliškio rajono savivaldybės taryba</w:t>
          </w:r>
          <w:r>
            <w:rPr>
              <w:spacing w:val="54"/>
              <w:szCs w:val="24"/>
            </w:rPr>
            <w:t xml:space="preserve"> </w:t>
          </w:r>
          <w:r>
            <w:rPr>
              <w:spacing w:val="40"/>
              <w:szCs w:val="24"/>
            </w:rPr>
            <w:t>nusprendži</w:t>
          </w:r>
          <w:r>
            <w:rPr>
              <w:szCs w:val="24"/>
            </w:rPr>
            <w:t>a:</w:t>
          </w:r>
        </w:p>
        <w:sdt>
          <w:sdtPr>
            <w:alias w:val="1 p."/>
            <w:tag w:val="part_4ba2d3d1190549d2a4dbd2167b7c797a"/>
            <w:lock w:val="sdtLocked"/>
            <w:richText/>
          </w:sdtPr>
          <w:sdtContent>
            <w:p>
              <w:pPr>
                <w:tabs>
                  <w:tab w:val="left" w:pos="1134"/>
                </w:tabs>
                <w:ind w:firstLine="720"/>
                <w:jc w:val="both"/>
                <w:rPr>
                  <w:spacing w:val="-1"/>
                  <w:szCs w:val="24"/>
                </w:rPr>
              </w:pPr>
              <w:sdt>
                <w:sdtPr>
                  <w:alias w:val="Numeris"/>
                  <w:tag w:val="nr_4ba2d3d1190549d2a4dbd2167b7c797a"/>
                  <w:lock w:val="sdtLocked"/>
                  <w:richText/>
                </w:sdtPr>
                <w:sdtContent>
                  <w:r>
                    <w:rPr>
                      <w:spacing w:val="-1"/>
                      <w:szCs w:val="24"/>
                    </w:rPr>
                    <w:t>1</w:t>
                  </w:r>
                </w:sdtContent>
              </w:sdt>
              <w:r>
                <w:rPr>
                  <w:spacing w:val="-1"/>
                  <w:szCs w:val="24"/>
                </w:rPr>
                <w:t>.</w:t>
                <w:tab/>
              </w:r>
              <w:r>
                <w:rPr>
                  <w:szCs w:val="24"/>
                </w:rPr>
                <w:t xml:space="preserve">Sutikti perimti Radviliškio rajono savivaldybės nuosavybėn Lietuvos Respublikos vietos savivaldos įstatymo 6 straipsnio 5 ir 6 punktuose nurodytoms savarankiškosioms savivaldybės funkcijoms – savivaldybės teritorijoje gyvenančių vaikų iki 16 metų mokymosi pagal privalomojo švietimo programas užtikrinimas, švietimo pagalbos teikimo mokiniui, mokytojui, šeimai, mokyklai, vaiko minimaliosios priežiūros priemonių vykdymo organizavimas ir koordinavimas, prevencinių </w:t>
              </w:r>
              <w:r>
                <w:rPr>
                  <w:spacing w:val="-1"/>
                  <w:szCs w:val="24"/>
                </w:rPr>
                <w:t xml:space="preserve">programų įgyvendinimo mokyklose užtikrinimas – įgyvendinti valstybei nuosavybės teise priklausantį ir šiuo metu Nacionalinės švietimo agentūros patikėjimo teise valdomą ilgalaikį materialųjį turtą: </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0"/>
                <w:gridCol w:w="1985"/>
                <w:gridCol w:w="997"/>
                <w:gridCol w:w="1417"/>
                <w:gridCol w:w="1415"/>
              </w:tblGrid>
              <w:tr>
                <w:trPr>
                  <w:trHeight w:val="20"/>
                  <w:jc w:val="center"/>
                </w:trPr>
                <w:tc>
                  <w:tcPr>
                    <w:tcW w:w="3820" w:type="dxa"/>
                    <w:vMerge w:val="restart"/>
                    <w:vAlign w:val="center"/>
                  </w:tcPr>
                  <w:p>
                    <w:pPr>
                      <w:jc w:val="center"/>
                      <w:rPr>
                        <w:b/>
                        <w:bCs/>
                        <w:szCs w:val="22"/>
                      </w:rPr>
                    </w:pPr>
                    <w:r>
                      <w:rPr>
                        <w:b/>
                        <w:bCs/>
                        <w:szCs w:val="22"/>
                      </w:rPr>
                      <w:t>Turto pavadinimas</w:t>
                    </w:r>
                  </w:p>
                </w:tc>
                <w:tc>
                  <w:tcPr>
                    <w:tcW w:w="1985" w:type="dxa"/>
                    <w:vMerge w:val="restart"/>
                    <w:vAlign w:val="center"/>
                  </w:tcPr>
                  <w:p>
                    <w:pPr>
                      <w:jc w:val="center"/>
                      <w:rPr>
                        <w:b/>
                        <w:bCs/>
                        <w:szCs w:val="22"/>
                      </w:rPr>
                    </w:pPr>
                    <w:r>
                      <w:rPr>
                        <w:b/>
                        <w:bCs/>
                        <w:szCs w:val="22"/>
                      </w:rPr>
                      <w:t>Inventorinis Nr.</w:t>
                    </w:r>
                  </w:p>
                </w:tc>
                <w:tc>
                  <w:tcPr>
                    <w:tcW w:w="997" w:type="dxa"/>
                    <w:vMerge w:val="restart"/>
                    <w:vAlign w:val="center"/>
                  </w:tcPr>
                  <w:p>
                    <w:pPr>
                      <w:ind w:left="-113" w:right="-113"/>
                      <w:jc w:val="center"/>
                      <w:rPr>
                        <w:b/>
                        <w:szCs w:val="24"/>
                      </w:rPr>
                    </w:pPr>
                    <w:r>
                      <w:rPr>
                        <w:b/>
                        <w:szCs w:val="24"/>
                      </w:rPr>
                      <w:t>Kiekis vienetais</w:t>
                    </w:r>
                  </w:p>
                </w:tc>
                <w:tc>
                  <w:tcPr>
                    <w:tcW w:w="2832" w:type="dxa"/>
                    <w:gridSpan w:val="2"/>
                    <w:vAlign w:val="center"/>
                  </w:tcPr>
                  <w:p>
                    <w:pPr>
                      <w:ind w:left="-113" w:right="-113"/>
                      <w:jc w:val="center"/>
                      <w:rPr>
                        <w:b/>
                        <w:bCs/>
                        <w:szCs w:val="22"/>
                      </w:rPr>
                    </w:pPr>
                    <w:r>
                      <w:rPr>
                        <w:b/>
                        <w:bCs/>
                        <w:szCs w:val="22"/>
                      </w:rPr>
                      <w:t>Įsigijimo vertė eurais (su PVM)</w:t>
                    </w:r>
                  </w:p>
                </w:tc>
              </w:tr>
              <w:tr>
                <w:trPr>
                  <w:trHeight w:val="20"/>
                  <w:jc w:val="center"/>
                </w:trPr>
                <w:tc>
                  <w:tcPr>
                    <w:tcW w:w="3820" w:type="dxa"/>
                    <w:vMerge/>
                    <w:vAlign w:val="center"/>
                  </w:tcPr>
                  <w:p>
                    <w:pPr>
                      <w:jc w:val="center"/>
                      <w:rPr>
                        <w:szCs w:val="22"/>
                      </w:rPr>
                    </w:pPr>
                  </w:p>
                </w:tc>
                <w:tc>
                  <w:tcPr>
                    <w:tcW w:w="1985" w:type="dxa"/>
                    <w:vMerge/>
                    <w:vAlign w:val="center"/>
                  </w:tcPr>
                  <w:p>
                    <w:pPr>
                      <w:jc w:val="center"/>
                      <w:rPr>
                        <w:b/>
                        <w:bCs/>
                        <w:szCs w:val="22"/>
                      </w:rPr>
                    </w:pPr>
                  </w:p>
                </w:tc>
                <w:tc>
                  <w:tcPr>
                    <w:tcW w:w="997" w:type="dxa"/>
                    <w:vMerge/>
                    <w:vAlign w:val="center"/>
                  </w:tcPr>
                  <w:p>
                    <w:pPr>
                      <w:ind w:left="-113" w:right="-113"/>
                      <w:jc w:val="center"/>
                      <w:rPr>
                        <w:b/>
                        <w:bCs/>
                        <w:szCs w:val="22"/>
                      </w:rPr>
                    </w:pPr>
                  </w:p>
                </w:tc>
                <w:tc>
                  <w:tcPr>
                    <w:tcW w:w="1417" w:type="dxa"/>
                    <w:vAlign w:val="center"/>
                  </w:tcPr>
                  <w:p>
                    <w:pPr>
                      <w:ind w:left="-113" w:right="-113"/>
                      <w:jc w:val="center"/>
                      <w:rPr>
                        <w:b/>
                        <w:bCs/>
                        <w:szCs w:val="22"/>
                      </w:rPr>
                    </w:pPr>
                    <w:r>
                      <w:rPr>
                        <w:b/>
                        <w:bCs/>
                        <w:szCs w:val="22"/>
                      </w:rPr>
                      <w:t xml:space="preserve">vieneto </w:t>
                    </w:r>
                  </w:p>
                </w:tc>
                <w:tc>
                  <w:tcPr>
                    <w:tcW w:w="1415" w:type="dxa"/>
                    <w:noWrap/>
                    <w:vAlign w:val="center"/>
                  </w:tcPr>
                  <w:p>
                    <w:pPr>
                      <w:ind w:left="-113" w:right="-113"/>
                      <w:jc w:val="center"/>
                      <w:rPr>
                        <w:b/>
                        <w:bCs/>
                        <w:szCs w:val="22"/>
                      </w:rPr>
                    </w:pPr>
                    <w:r>
                      <w:rPr>
                        <w:b/>
                        <w:bCs/>
                        <w:szCs w:val="22"/>
                      </w:rPr>
                      <w:t>bendra</w:t>
                    </w:r>
                  </w:p>
                </w:tc>
              </w:tr>
              <w:tr>
                <w:trPr>
                  <w:trHeight w:val="20"/>
                  <w:jc w:val="center"/>
                </w:trPr>
                <w:tc>
                  <w:tcPr>
                    <w:tcW w:w="3820" w:type="dxa"/>
                  </w:tcPr>
                  <w:p>
                    <w:pPr>
                      <w:rPr>
                        <w:szCs w:val="22"/>
                      </w:rPr>
                    </w:pPr>
                    <w:r>
                      <w:rPr>
                        <w:szCs w:val="22"/>
                      </w:rPr>
                      <w:t>(NB15) 15,9"–16,9" vidutinio našumo nešiojamasis kompiuteris „HP ProBook 4 G1iR 16 inch 100uJ“</w:t>
                    </w:r>
                  </w:p>
                </w:tc>
                <w:tc>
                  <w:tcPr>
                    <w:tcW w:w="1985" w:type="dxa"/>
                    <w:vAlign w:val="center"/>
                  </w:tcPr>
                  <w:p>
                    <w:pPr>
                      <w:jc w:val="center"/>
                      <w:rPr>
                        <w:szCs w:val="22"/>
                      </w:rPr>
                    </w:pPr>
                    <w:r>
                      <w:rPr>
                        <w:szCs w:val="22"/>
                      </w:rPr>
                      <w:t>Nuo IT22-018391 iki IT22-018416</w:t>
                    </w:r>
                  </w:p>
                </w:tc>
                <w:tc>
                  <w:tcPr>
                    <w:tcW w:w="997" w:type="dxa"/>
                    <w:vAlign w:val="center"/>
                  </w:tcPr>
                  <w:p>
                    <w:pPr>
                      <w:jc w:val="center"/>
                      <w:rPr>
                        <w:szCs w:val="22"/>
                      </w:rPr>
                    </w:pPr>
                    <w:r>
                      <w:rPr>
                        <w:szCs w:val="22"/>
                      </w:rPr>
                      <w:t>26</w:t>
                    </w:r>
                  </w:p>
                </w:tc>
                <w:tc>
                  <w:tcPr>
                    <w:tcW w:w="1417" w:type="dxa"/>
                    <w:vAlign w:val="center"/>
                  </w:tcPr>
                  <w:p>
                    <w:pPr>
                      <w:jc w:val="center"/>
                      <w:rPr>
                        <w:szCs w:val="22"/>
                      </w:rPr>
                    </w:pPr>
                    <w:r>
                      <w:rPr>
                        <w:szCs w:val="22"/>
                      </w:rPr>
                      <w:t>832,48</w:t>
                    </w:r>
                  </w:p>
                </w:tc>
                <w:tc>
                  <w:tcPr>
                    <w:tcW w:w="1415" w:type="dxa"/>
                    <w:noWrap/>
                    <w:vAlign w:val="center"/>
                  </w:tcPr>
                  <w:p>
                    <w:pPr>
                      <w:jc w:val="center"/>
                      <w:rPr>
                        <w:szCs w:val="22"/>
                      </w:rPr>
                    </w:pPr>
                    <w:r>
                      <w:rPr>
                        <w:szCs w:val="22"/>
                      </w:rPr>
                      <w:t>21 644,48</w:t>
                    </w:r>
                  </w:p>
                </w:tc>
              </w:tr>
            </w:tbl>
            <w:p/>
          </w:sdtContent>
        </w:sdt>
        <w:sdt>
          <w:sdtPr>
            <w:alias w:val="2 p."/>
            <w:tag w:val="part_110a8cf8221d4a8eb504c5de7584b344"/>
            <w:lock w:val="sdtLocked"/>
            <w:richText/>
          </w:sdtPr>
          <w:sdtContent>
            <w:p>
              <w:pPr>
                <w:tabs>
                  <w:tab w:val="left" w:pos="1134"/>
                </w:tabs>
                <w:ind w:firstLine="720"/>
                <w:jc w:val="both"/>
                <w:rPr>
                  <w:szCs w:val="24"/>
                </w:rPr>
              </w:pPr>
              <w:sdt>
                <w:sdtPr>
                  <w:alias w:val="Numeris"/>
                  <w:tag w:val="nr_110a8cf8221d4a8eb504c5de7584b344"/>
                  <w:lock w:val="sdtLocked"/>
                  <w:richText/>
                </w:sdtPr>
                <w:sdtContent>
                  <w:r>
                    <w:rPr>
                      <w:szCs w:val="24"/>
                    </w:rPr>
                    <w:t>2</w:t>
                  </w:r>
                </w:sdtContent>
              </w:sdt>
              <w:r>
                <w:rPr>
                  <w:szCs w:val="24"/>
                </w:rPr>
                <w:t>.</w:t>
                <w:tab/>
                <w:t xml:space="preserve">Priėmus Lietuvos Respublikos Vyriausybės nutarimą ir perėmus šio sprendimo 1 punkte nurodytą turtą, perduoti jį Radviliškio rajono bendrojo ugdymo mokykloms pagal šio sprendimo priedą valdyti, naudoti ir disponuoti juo patikėjimo teise, naudojant turtą gerinti švietimo paslaugų kokybę, aprūpinant efektyviai veikiančias bendrojo ugdymo mokyklas kompiuterine įranga. </w:t>
              </w:r>
            </w:p>
          </w:sdtContent>
        </w:sdt>
        <w:sdt>
          <w:sdtPr>
            <w:alias w:val="3 p."/>
            <w:tag w:val="part_c320c2deca024cb99b2f8a2063a9bafd"/>
            <w:lock w:val="sdtLocked"/>
            <w:richText/>
          </w:sdtPr>
          <w:sdtContent>
            <w:p>
              <w:pPr>
                <w:tabs>
                  <w:tab w:val="left" w:pos="1134"/>
                </w:tabs>
                <w:ind w:firstLine="720"/>
                <w:jc w:val="both"/>
                <w:rPr>
                  <w:szCs w:val="24"/>
                </w:rPr>
              </w:pPr>
              <w:sdt>
                <w:sdtPr>
                  <w:alias w:val="Numeris"/>
                  <w:tag w:val="nr_c320c2deca024cb99b2f8a2063a9bafd"/>
                  <w:lock w:val="sdtLocked"/>
                  <w:richText/>
                </w:sdtPr>
                <w:sdtContent>
                  <w:r>
                    <w:rPr>
                      <w:szCs w:val="24"/>
                    </w:rPr>
                    <w:t>3</w:t>
                  </w:r>
                </w:sdtContent>
              </w:sdt>
              <w:r>
                <w:rPr>
                  <w:szCs w:val="24"/>
                </w:rPr>
                <w:t>.</w:t>
                <w:tab/>
                <w:t>Įgalioti Radviliškio rajono savivaldybės administracijos direktorių Savivaldybės vardu pasirašyti sprendime nurodyto turto perėmimo Savivaldybės nuosavybėn ir jo perdavimo Radviliškio rajono bendrojo ugdymo mokykloms valdyti, naudoti ir disponuoti juo patikėjimo teise perdavimo ir priėmimo aktus.</w:t>
              </w:r>
            </w:p>
          </w:sdtContent>
        </w:sdt>
        <w:sdt>
          <w:sdtPr>
            <w:alias w:val="4 p."/>
            <w:tag w:val="part_9261ed8b1fa74e4fa4a30e90fea0704e"/>
            <w:lock w:val="sdtLocked"/>
            <w:richText/>
          </w:sdtPr>
          <w:sdtContent>
            <w:p>
              <w:pPr>
                <w:tabs>
                  <w:tab w:val="left" w:pos="1134"/>
                </w:tabs>
                <w:ind w:firstLine="720"/>
                <w:jc w:val="both"/>
                <w:rPr>
                  <w:szCs w:val="24"/>
                </w:rPr>
              </w:pPr>
              <w:sdt>
                <w:sdtPr>
                  <w:alias w:val="Numeris"/>
                  <w:tag w:val="nr_9261ed8b1fa74e4fa4a30e90fea0704e"/>
                  <w:lock w:val="sdtLocked"/>
                  <w:richText/>
                </w:sdtPr>
                <w:sdtContent>
                  <w:r>
                    <w:rPr>
                      <w:szCs w:val="24"/>
                    </w:rPr>
                    <w:t>4</w:t>
                  </w:r>
                </w:sdtContent>
              </w:sdt>
              <w:r>
                <w:rPr>
                  <w:szCs w:val="24"/>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rPr>
                  <w:szCs w:val="24"/>
                </w:rPr>
              </w:pPr>
            </w:p>
            <w:p>
              <w:pPr>
                <w:rPr>
                  <w:szCs w:val="24"/>
                </w:rPr>
              </w:pPr>
            </w:p>
          </w:sdtContent>
        </w:sdt>
        <w:sdt>
          <w:sdtPr>
            <w:alias w:val="signatura"/>
            <w:tag w:val="part_a4bba512b46041209fc2836460334fd4"/>
            <w:lock w:val="sdtLocked"/>
            <w:richText/>
          </w:sdtPr>
          <w:sdtContent>
            <w:p>
              <w:pPr>
                <w:rPr>
                  <w:szCs w:val="22"/>
                </w:rPr>
              </w:pPr>
              <w:r>
                <w:rPr>
                  <w:szCs w:val="24"/>
                </w:rPr>
                <w:t>Savivaldybės meras</w:t>
                <w:tab/>
                <w:tab/>
                <w:tab/>
                <w:t xml:space="preserve">                                                               </w:t>
              </w:r>
              <w:r>
                <w:rPr>
                  <w:szCs w:val="22"/>
                </w:rPr>
                <w:br w:type="page"/>
              </w:r>
            </w:p>
          </w:sdtContent>
        </w:sdt>
      </w:sdtContent>
    </w:sdt>
    <w:sdt>
      <w:sdtPr>
        <w:alias w:val="pr."/>
        <w:tag w:val="part_5173bac3d3e145bfba3d65bcbbf3f0f3"/>
        <w:lock w:val="sdtLocked"/>
        <w:richText/>
      </w:sdtPr>
      <w:sdtContent>
        <w:p>
          <w:pPr>
            <w:ind w:left="5103"/>
            <w:rPr>
              <w:szCs w:val="24"/>
            </w:rPr>
          </w:pPr>
          <w:r>
            <w:rPr>
              <w:szCs w:val="24"/>
            </w:rPr>
            <w:t>Radviliškio rajono savivaldybės tarybos</w:t>
          </w:r>
        </w:p>
        <w:p>
          <w:pPr>
            <w:ind w:left="5103"/>
            <w:rPr>
              <w:szCs w:val="24"/>
            </w:rPr>
          </w:pPr>
          <w:r>
            <w:rPr>
              <w:szCs w:val="24"/>
            </w:rPr>
            <w:t xml:space="preserve">2026 m.                 d. sprendimo Nr. T-</w:t>
          </w:r>
        </w:p>
        <w:p>
          <w:pPr>
            <w:ind w:left="5103"/>
            <w:rPr>
              <w:szCs w:val="24"/>
            </w:rPr>
          </w:pPr>
          <w:r>
            <w:rPr>
              <w:szCs w:val="24"/>
            </w:rPr>
            <w:t>priedas</w:t>
          </w:r>
        </w:p>
        <w:p>
          <w:pPr>
            <w:tabs>
              <w:tab w:val="left" w:pos="5245"/>
            </w:tabs>
            <w:rPr>
              <w:szCs w:val="22"/>
            </w:rPr>
          </w:pPr>
        </w:p>
        <w:p>
          <w:pPr>
            <w:tabs>
              <w:tab w:val="left" w:pos="5245"/>
            </w:tabs>
            <w:jc w:val="center"/>
            <w:rPr>
              <w:szCs w:val="22"/>
            </w:rPr>
          </w:pPr>
          <w:sdt>
            <w:sdtPr>
              <w:alias w:val="Pavadinimas"/>
              <w:tag w:val="title_5173bac3d3e145bfba3d65bcbbf3f0f3"/>
              <w:lock w:val="sdtLocked"/>
              <w:richText/>
            </w:sdtPr>
            <w:sdtContent>
              <w:r>
                <w:rPr>
                  <w:b/>
                  <w:caps/>
                  <w:szCs w:val="22"/>
                </w:rPr>
                <w:t>Radviliškio rajono</w:t>
              </w:r>
              <w:r>
                <w:rPr>
                  <w:b/>
                  <w:bCs/>
                  <w:szCs w:val="22"/>
                </w:rPr>
                <w:t xml:space="preserve"> SAVIVALDYBĖS NUOSAVYBĖN PERIMTO, </w:t>
              </w:r>
              <w:r>
                <w:rPr>
                  <w:b/>
                  <w:caps/>
                  <w:szCs w:val="22"/>
                </w:rPr>
                <w:t xml:space="preserve">savivaldybės švietimo įstaigoms patikėjimo teise valdyti, naudoti ir disponuoti perduodamo </w:t>
              </w:r>
              <w:r>
                <w:rPr>
                  <w:b/>
                  <w:bCs/>
                  <w:szCs w:val="22"/>
                </w:rPr>
                <w:t>ILGALAIKIO MATERIALIOJO TURTO SĄRAŠAS</w:t>
              </w:r>
            </w:sdtContent>
          </w:sdt>
        </w:p>
        <w:p>
          <w:pPr>
            <w:ind w:left="4678"/>
            <w:rPr>
              <w:szCs w:val="22"/>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1"/>
            <w:gridCol w:w="3515"/>
            <w:gridCol w:w="1587"/>
            <w:gridCol w:w="776"/>
            <w:gridCol w:w="1031"/>
            <w:gridCol w:w="1031"/>
          </w:tblGrid>
          <w:tr>
            <w:trPr>
              <w:trHeight w:val="1323"/>
              <w:jc w:val="center"/>
            </w:trPr>
            <w:tc>
              <w:tcPr>
                <w:tcW w:w="425" w:type="dxa"/>
                <w:noWrap/>
                <w:vAlign w:val="center"/>
              </w:tcPr>
              <w:p>
                <w:pPr>
                  <w:ind w:left="-113" w:right="-113"/>
                  <w:jc w:val="center"/>
                  <w:rPr>
                    <w:b/>
                    <w:bCs/>
                    <w:szCs w:val="22"/>
                  </w:rPr>
                </w:pPr>
                <w:r>
                  <w:rPr>
                    <w:b/>
                    <w:bCs/>
                    <w:szCs w:val="22"/>
                  </w:rPr>
                  <w:t>Eil. Nr.</w:t>
                </w:r>
              </w:p>
            </w:tc>
            <w:tc>
              <w:tcPr>
                <w:tcW w:w="1411" w:type="dxa"/>
                <w:vAlign w:val="center"/>
              </w:tcPr>
              <w:p>
                <w:pPr>
                  <w:ind w:left="-113" w:right="-113"/>
                  <w:jc w:val="center"/>
                  <w:rPr>
                    <w:b/>
                    <w:bCs/>
                    <w:szCs w:val="22"/>
                  </w:rPr>
                </w:pPr>
                <w:r>
                  <w:rPr>
                    <w:b/>
                    <w:bCs/>
                    <w:szCs w:val="22"/>
                  </w:rPr>
                  <w:t>Įstaigos pavadinimas</w:t>
                </w:r>
              </w:p>
            </w:tc>
            <w:tc>
              <w:tcPr>
                <w:tcW w:w="3515" w:type="dxa"/>
                <w:noWrap/>
                <w:vAlign w:val="center"/>
              </w:tcPr>
              <w:p>
                <w:pPr>
                  <w:jc w:val="center"/>
                  <w:rPr>
                    <w:b/>
                    <w:bCs/>
                    <w:szCs w:val="22"/>
                  </w:rPr>
                </w:pPr>
                <w:r>
                  <w:rPr>
                    <w:b/>
                    <w:bCs/>
                    <w:szCs w:val="22"/>
                  </w:rPr>
                  <w:t>Turto pavadinimas</w:t>
                </w:r>
              </w:p>
            </w:tc>
            <w:tc>
              <w:tcPr>
                <w:tcW w:w="1587" w:type="dxa"/>
                <w:vAlign w:val="center"/>
              </w:tcPr>
              <w:p>
                <w:pPr>
                  <w:ind w:left="-57" w:right="-57"/>
                  <w:jc w:val="center"/>
                  <w:rPr>
                    <w:b/>
                    <w:bCs/>
                    <w:szCs w:val="22"/>
                  </w:rPr>
                </w:pPr>
                <w:r>
                  <w:rPr>
                    <w:b/>
                    <w:bCs/>
                    <w:szCs w:val="22"/>
                  </w:rPr>
                  <w:t>Inventorinis Nr.</w:t>
                </w:r>
              </w:p>
            </w:tc>
            <w:tc>
              <w:tcPr>
                <w:tcW w:w="776" w:type="dxa"/>
                <w:vAlign w:val="center"/>
              </w:tcPr>
              <w:p>
                <w:pPr>
                  <w:ind w:left="-113" w:right="-113"/>
                  <w:jc w:val="center"/>
                  <w:rPr>
                    <w:b/>
                    <w:bCs/>
                    <w:szCs w:val="22"/>
                  </w:rPr>
                </w:pPr>
                <w:r>
                  <w:rPr>
                    <w:b/>
                    <w:bCs/>
                    <w:szCs w:val="22"/>
                  </w:rPr>
                  <w:t>Kiekis viene-tais</w:t>
                </w:r>
              </w:p>
            </w:tc>
            <w:tc>
              <w:tcPr>
                <w:tcW w:w="1031" w:type="dxa"/>
                <w:vAlign w:val="center"/>
              </w:tcPr>
              <w:p>
                <w:pPr>
                  <w:ind w:left="-57" w:right="-57"/>
                  <w:jc w:val="center"/>
                  <w:rPr>
                    <w:b/>
                    <w:bCs/>
                    <w:szCs w:val="22"/>
                  </w:rPr>
                </w:pPr>
                <w:r>
                  <w:rPr>
                    <w:b/>
                    <w:bCs/>
                    <w:spacing w:val="-2"/>
                    <w:szCs w:val="24"/>
                    <w:lang w:eastAsia="lt-LT"/>
                  </w:rPr>
                  <w:t>Vieneto įsigijimo</w:t>
                </w:r>
                <w:r>
                  <w:rPr>
                    <w:b/>
                    <w:bCs/>
                    <w:szCs w:val="24"/>
                    <w:lang w:eastAsia="lt-LT"/>
                  </w:rPr>
                  <w:t xml:space="preserve"> vertė eurais </w:t>
                </w:r>
              </w:p>
            </w:tc>
            <w:tc>
              <w:tcPr>
                <w:tcW w:w="1031" w:type="dxa"/>
                <w:noWrap/>
                <w:vAlign w:val="center"/>
              </w:tcPr>
              <w:p>
                <w:pPr>
                  <w:ind w:left="-57" w:right="-57"/>
                  <w:jc w:val="center"/>
                  <w:rPr>
                    <w:b/>
                    <w:bCs/>
                    <w:szCs w:val="22"/>
                  </w:rPr>
                </w:pPr>
                <w:r>
                  <w:rPr>
                    <w:b/>
                    <w:bCs/>
                    <w:szCs w:val="22"/>
                  </w:rPr>
                  <w:t>Bendra įsigijimo vertė eurais</w:t>
                </w:r>
              </w:p>
            </w:tc>
          </w:tr>
          <w:tr>
            <w:trPr>
              <w:trHeight w:val="1163"/>
              <w:jc w:val="center"/>
            </w:trPr>
            <w:tc>
              <w:tcPr>
                <w:tcW w:w="425" w:type="dxa"/>
                <w:noWrap/>
                <w:vAlign w:val="center"/>
              </w:tcPr>
              <w:p>
                <w:pPr>
                  <w:ind w:left="57"/>
                  <w:jc w:val="center"/>
                  <w:rPr>
                    <w:szCs w:val="22"/>
                  </w:rPr>
                </w:pPr>
                <w:r>
                  <w:rPr>
                    <w:szCs w:val="22"/>
                  </w:rPr>
                  <w:t>1.</w:t>
                  <w:tab/>
                </w:r>
              </w:p>
            </w:tc>
            <w:tc>
              <w:tcPr>
                <w:tcW w:w="1411" w:type="dxa"/>
                <w:vAlign w:val="center"/>
              </w:tcPr>
              <w:p>
                <w:pPr>
                  <w:rPr>
                    <w:szCs w:val="22"/>
                  </w:rPr>
                </w:pPr>
                <w:r>
                  <w:rPr>
                    <w:szCs w:val="24"/>
                    <w:lang w:eastAsia="lt-LT"/>
                  </w:rPr>
                  <w:t>Radviliškio Lizdeikos gimnazija</w:t>
                </w:r>
              </w:p>
            </w:tc>
            <w:tc>
              <w:tcPr>
                <w:tcW w:w="3515" w:type="dxa"/>
                <w:noWrap/>
                <w:vAlign w:val="center"/>
                <w:hideMark/>
              </w:tcPr>
              <w:p>
                <w:pPr>
                  <w:ind w:right="-57"/>
                  <w:rPr>
                    <w:szCs w:val="22"/>
                  </w:rPr>
                </w:pPr>
                <w:r>
                  <w:rPr>
                    <w:szCs w:val="22"/>
                  </w:rPr>
                  <w:t>(NB15) 15,9"–16,9" vidutinio našumo nešiojamasis kompiuteris „HP ProBook 4 G1iR 16 inch 100uJ“</w:t>
                </w:r>
              </w:p>
            </w:tc>
            <w:tc>
              <w:tcPr>
                <w:tcW w:w="1587" w:type="dxa"/>
                <w:vAlign w:val="center"/>
              </w:tcPr>
              <w:p>
                <w:pPr>
                  <w:ind w:left="-57" w:right="-57"/>
                  <w:jc w:val="center"/>
                  <w:rPr>
                    <w:szCs w:val="24"/>
                  </w:rPr>
                </w:pPr>
                <w:r>
                  <w:rPr>
                    <w:color w:val="000000"/>
                    <w:szCs w:val="24"/>
                    <w:lang w:eastAsia="lt-LT"/>
                  </w:rPr>
                  <w:t>IT22-018391–IT22-018396</w:t>
                </w:r>
              </w:p>
            </w:tc>
            <w:tc>
              <w:tcPr>
                <w:tcW w:w="776" w:type="dxa"/>
                <w:vAlign w:val="center"/>
              </w:tcPr>
              <w:p>
                <w:pPr>
                  <w:jc w:val="center"/>
                  <w:rPr>
                    <w:szCs w:val="22"/>
                  </w:rPr>
                </w:pPr>
                <w:r>
                  <w:rPr>
                    <w:color w:val="000000"/>
                    <w:szCs w:val="24"/>
                    <w:lang w:eastAsia="lt-LT"/>
                  </w:rPr>
                  <w:t>6</w:t>
                </w:r>
              </w:p>
            </w:tc>
            <w:tc>
              <w:tcPr>
                <w:tcW w:w="1031" w:type="dxa"/>
                <w:vAlign w:val="center"/>
              </w:tcPr>
              <w:p>
                <w:pPr>
                  <w:ind w:left="-57" w:right="-57"/>
                  <w:jc w:val="center"/>
                  <w:rPr>
                    <w:szCs w:val="22"/>
                  </w:rPr>
                </w:pPr>
                <w:r>
                  <w:rPr>
                    <w:szCs w:val="22"/>
                  </w:rPr>
                  <w:t>832,48</w:t>
                </w:r>
              </w:p>
            </w:tc>
            <w:tc>
              <w:tcPr>
                <w:tcW w:w="1031" w:type="dxa"/>
                <w:noWrap/>
                <w:vAlign w:val="center"/>
              </w:tcPr>
              <w:p>
                <w:pPr>
                  <w:ind w:left="-57" w:right="-57"/>
                  <w:jc w:val="center"/>
                  <w:rPr>
                    <w:szCs w:val="22"/>
                  </w:rPr>
                </w:pPr>
                <w:r>
                  <w:rPr>
                    <w:color w:val="000000"/>
                    <w:szCs w:val="24"/>
                    <w:lang w:eastAsia="lt-LT"/>
                  </w:rPr>
                  <w:t>4 994,88</w:t>
                </w:r>
              </w:p>
            </w:tc>
          </w:tr>
          <w:tr>
            <w:trPr>
              <w:trHeight w:val="1163"/>
              <w:jc w:val="center"/>
            </w:trPr>
            <w:tc>
              <w:tcPr>
                <w:tcW w:w="425" w:type="dxa"/>
                <w:noWrap/>
                <w:vAlign w:val="center"/>
              </w:tcPr>
              <w:p>
                <w:pPr>
                  <w:ind w:left="57"/>
                  <w:jc w:val="center"/>
                  <w:rPr>
                    <w:szCs w:val="22"/>
                  </w:rPr>
                </w:pPr>
                <w:r>
                  <w:rPr>
                    <w:szCs w:val="22"/>
                  </w:rPr>
                  <w:t>2.</w:t>
                  <w:tab/>
                </w:r>
              </w:p>
            </w:tc>
            <w:tc>
              <w:tcPr>
                <w:tcW w:w="1411" w:type="dxa"/>
                <w:vAlign w:val="center"/>
              </w:tcPr>
              <w:p>
                <w:pPr>
                  <w:ind w:right="-113"/>
                  <w:rPr>
                    <w:szCs w:val="22"/>
                  </w:rPr>
                </w:pPr>
                <w:r>
                  <w:rPr>
                    <w:szCs w:val="24"/>
                    <w:lang w:eastAsia="lt-LT"/>
                  </w:rPr>
                  <w:t>Radviliškio Vinco Kudirkos progimnazija</w:t>
                </w:r>
              </w:p>
            </w:tc>
            <w:tc>
              <w:tcPr>
                <w:tcW w:w="3515" w:type="dxa"/>
                <w:noWrap/>
                <w:vAlign w:val="center"/>
              </w:tcPr>
              <w:p>
                <w:pPr>
                  <w:ind w:right="-57"/>
                  <w:rPr>
                    <w:szCs w:val="22"/>
                  </w:rPr>
                </w:pPr>
                <w:r>
                  <w:rPr>
                    <w:szCs w:val="22"/>
                  </w:rPr>
                  <w:t>(NB15) 15,9"–16,9" vidutinio našumo nešiojamasis kompiuteris „HP ProBook 4 G1iR 16 inch 100uJ“</w:t>
                </w:r>
              </w:p>
            </w:tc>
            <w:tc>
              <w:tcPr>
                <w:tcW w:w="1587" w:type="dxa"/>
                <w:vAlign w:val="center"/>
              </w:tcPr>
              <w:p>
                <w:pPr>
                  <w:ind w:left="-57" w:right="-57"/>
                  <w:jc w:val="center"/>
                  <w:rPr>
                    <w:szCs w:val="24"/>
                  </w:rPr>
                </w:pPr>
                <w:r>
                  <w:rPr>
                    <w:color w:val="000000"/>
                    <w:szCs w:val="24"/>
                    <w:lang w:eastAsia="lt-LT"/>
                  </w:rPr>
                  <w:t>IT22-018397–IT22-018402</w:t>
                </w:r>
              </w:p>
            </w:tc>
            <w:tc>
              <w:tcPr>
                <w:tcW w:w="776" w:type="dxa"/>
                <w:vAlign w:val="center"/>
              </w:tcPr>
              <w:p>
                <w:pPr>
                  <w:jc w:val="center"/>
                  <w:rPr>
                    <w:szCs w:val="22"/>
                  </w:rPr>
                </w:pPr>
                <w:r>
                  <w:rPr>
                    <w:color w:val="000000"/>
                    <w:szCs w:val="24"/>
                    <w:lang w:eastAsia="lt-LT"/>
                  </w:rPr>
                  <w:t>6</w:t>
                </w:r>
              </w:p>
            </w:tc>
            <w:tc>
              <w:tcPr>
                <w:tcW w:w="1031" w:type="dxa"/>
                <w:vAlign w:val="center"/>
              </w:tcPr>
              <w:p>
                <w:pPr>
                  <w:ind w:left="-57" w:right="-57"/>
                  <w:jc w:val="center"/>
                  <w:rPr>
                    <w:szCs w:val="22"/>
                  </w:rPr>
                </w:pPr>
                <w:r>
                  <w:rPr>
                    <w:szCs w:val="22"/>
                  </w:rPr>
                  <w:t>832,48</w:t>
                </w:r>
              </w:p>
            </w:tc>
            <w:tc>
              <w:tcPr>
                <w:tcW w:w="1031" w:type="dxa"/>
                <w:noWrap/>
                <w:vAlign w:val="center"/>
              </w:tcPr>
              <w:p>
                <w:pPr>
                  <w:ind w:left="-57" w:right="-57"/>
                  <w:jc w:val="center"/>
                  <w:rPr>
                    <w:szCs w:val="22"/>
                  </w:rPr>
                </w:pPr>
                <w:r>
                  <w:rPr>
                    <w:color w:val="000000"/>
                    <w:szCs w:val="24"/>
                    <w:lang w:eastAsia="lt-LT"/>
                  </w:rPr>
                  <w:t>4 994,88</w:t>
                </w:r>
              </w:p>
            </w:tc>
          </w:tr>
          <w:tr>
            <w:trPr>
              <w:trHeight w:val="1163"/>
              <w:jc w:val="center"/>
            </w:trPr>
            <w:tc>
              <w:tcPr>
                <w:tcW w:w="425" w:type="dxa"/>
                <w:noWrap/>
                <w:vAlign w:val="center"/>
              </w:tcPr>
              <w:p>
                <w:pPr>
                  <w:ind w:left="57"/>
                  <w:jc w:val="center"/>
                  <w:rPr>
                    <w:szCs w:val="22"/>
                  </w:rPr>
                </w:pPr>
                <w:r>
                  <w:rPr>
                    <w:szCs w:val="22"/>
                  </w:rPr>
                  <w:t>3.</w:t>
                  <w:tab/>
                </w:r>
              </w:p>
            </w:tc>
            <w:tc>
              <w:tcPr>
                <w:tcW w:w="1411" w:type="dxa"/>
                <w:vAlign w:val="center"/>
              </w:tcPr>
              <w:p>
                <w:pPr>
                  <w:rPr>
                    <w:szCs w:val="22"/>
                  </w:rPr>
                </w:pPr>
                <w:r>
                  <w:rPr>
                    <w:szCs w:val="24"/>
                    <w:lang w:eastAsia="lt-LT"/>
                  </w:rPr>
                  <w:t>Radviliškio Gražinos pagrindinė mokykla</w:t>
                </w:r>
              </w:p>
            </w:tc>
            <w:tc>
              <w:tcPr>
                <w:tcW w:w="3515" w:type="dxa"/>
                <w:noWrap/>
                <w:vAlign w:val="center"/>
              </w:tcPr>
              <w:p>
                <w:pPr>
                  <w:ind w:right="-57"/>
                  <w:rPr>
                    <w:szCs w:val="22"/>
                  </w:rPr>
                </w:pPr>
                <w:r>
                  <w:rPr>
                    <w:szCs w:val="22"/>
                  </w:rPr>
                  <w:t>(NB15) 15,9"–16,9" vidutinio našumo nešiojamasis kompiuteris „HP ProBook 4 G1iR 16 inch 100uJ“</w:t>
                </w:r>
              </w:p>
            </w:tc>
            <w:tc>
              <w:tcPr>
                <w:tcW w:w="1587" w:type="dxa"/>
                <w:vAlign w:val="center"/>
              </w:tcPr>
              <w:p>
                <w:pPr>
                  <w:ind w:left="-57" w:right="-57"/>
                  <w:jc w:val="center"/>
                  <w:rPr>
                    <w:szCs w:val="24"/>
                  </w:rPr>
                </w:pPr>
                <w:r>
                  <w:rPr>
                    <w:color w:val="000000"/>
                    <w:szCs w:val="24"/>
                    <w:lang w:eastAsia="lt-LT"/>
                  </w:rPr>
                  <w:t>IT22-018403–IT22-018407</w:t>
                </w:r>
              </w:p>
            </w:tc>
            <w:tc>
              <w:tcPr>
                <w:tcW w:w="776" w:type="dxa"/>
                <w:vAlign w:val="center"/>
              </w:tcPr>
              <w:p>
                <w:pPr>
                  <w:jc w:val="center"/>
                  <w:rPr>
                    <w:szCs w:val="22"/>
                  </w:rPr>
                </w:pPr>
                <w:r>
                  <w:rPr>
                    <w:color w:val="000000"/>
                    <w:szCs w:val="24"/>
                    <w:lang w:eastAsia="lt-LT"/>
                  </w:rPr>
                  <w:t>5</w:t>
                </w:r>
              </w:p>
            </w:tc>
            <w:tc>
              <w:tcPr>
                <w:tcW w:w="1031" w:type="dxa"/>
                <w:vAlign w:val="center"/>
              </w:tcPr>
              <w:p>
                <w:pPr>
                  <w:ind w:left="-57" w:right="-57"/>
                  <w:jc w:val="center"/>
                  <w:rPr>
                    <w:szCs w:val="22"/>
                  </w:rPr>
                </w:pPr>
                <w:r>
                  <w:rPr>
                    <w:szCs w:val="22"/>
                  </w:rPr>
                  <w:t>832,48</w:t>
                </w:r>
              </w:p>
            </w:tc>
            <w:tc>
              <w:tcPr>
                <w:tcW w:w="1031" w:type="dxa"/>
                <w:noWrap/>
                <w:vAlign w:val="center"/>
              </w:tcPr>
              <w:p>
                <w:pPr>
                  <w:ind w:left="-57" w:right="-57"/>
                  <w:jc w:val="center"/>
                  <w:rPr>
                    <w:szCs w:val="22"/>
                  </w:rPr>
                </w:pPr>
                <w:r>
                  <w:rPr>
                    <w:color w:val="000000"/>
                    <w:szCs w:val="24"/>
                    <w:lang w:eastAsia="lt-LT"/>
                  </w:rPr>
                  <w:t>4 162,40</w:t>
                </w:r>
              </w:p>
            </w:tc>
          </w:tr>
          <w:tr>
            <w:trPr>
              <w:trHeight w:val="1163"/>
              <w:jc w:val="center"/>
            </w:trPr>
            <w:tc>
              <w:tcPr>
                <w:tcW w:w="425" w:type="dxa"/>
                <w:noWrap/>
                <w:vAlign w:val="center"/>
              </w:tcPr>
              <w:p>
                <w:pPr>
                  <w:ind w:left="57"/>
                  <w:jc w:val="center"/>
                  <w:rPr>
                    <w:szCs w:val="22"/>
                  </w:rPr>
                </w:pPr>
                <w:r>
                  <w:rPr>
                    <w:szCs w:val="22"/>
                  </w:rPr>
                  <w:t>4.</w:t>
                  <w:tab/>
                </w:r>
              </w:p>
            </w:tc>
            <w:tc>
              <w:tcPr>
                <w:tcW w:w="1411" w:type="dxa"/>
                <w:vAlign w:val="center"/>
              </w:tcPr>
              <w:p>
                <w:pPr>
                  <w:rPr>
                    <w:szCs w:val="22"/>
                  </w:rPr>
                </w:pPr>
                <w:r>
                  <w:rPr>
                    <w:szCs w:val="24"/>
                    <w:lang w:eastAsia="lt-LT"/>
                  </w:rPr>
                  <w:t>Radviliškio r. Baisogalos gimnazija</w:t>
                </w:r>
              </w:p>
            </w:tc>
            <w:tc>
              <w:tcPr>
                <w:tcW w:w="3515" w:type="dxa"/>
                <w:noWrap/>
                <w:vAlign w:val="center"/>
              </w:tcPr>
              <w:p>
                <w:pPr>
                  <w:ind w:right="-57"/>
                  <w:rPr>
                    <w:szCs w:val="22"/>
                  </w:rPr>
                </w:pPr>
                <w:r>
                  <w:rPr>
                    <w:szCs w:val="22"/>
                  </w:rPr>
                  <w:t>(NB15) 15,9"–16,9" vidutinio našumo nešiojamasis kompiuteris „HP ProBook 4 G1iR 16 inch 100uJ“</w:t>
                </w:r>
              </w:p>
            </w:tc>
            <w:tc>
              <w:tcPr>
                <w:tcW w:w="1587" w:type="dxa"/>
                <w:vAlign w:val="center"/>
              </w:tcPr>
              <w:p>
                <w:pPr>
                  <w:ind w:left="-57" w:right="-57"/>
                  <w:jc w:val="center"/>
                  <w:rPr>
                    <w:szCs w:val="24"/>
                  </w:rPr>
                </w:pPr>
                <w:r>
                  <w:rPr>
                    <w:color w:val="000000"/>
                    <w:szCs w:val="24"/>
                    <w:lang w:eastAsia="lt-LT"/>
                  </w:rPr>
                  <w:t>IT22-018408–IT22-018410</w:t>
                </w:r>
              </w:p>
            </w:tc>
            <w:tc>
              <w:tcPr>
                <w:tcW w:w="776" w:type="dxa"/>
                <w:vAlign w:val="center"/>
              </w:tcPr>
              <w:p>
                <w:pPr>
                  <w:jc w:val="center"/>
                  <w:rPr>
                    <w:szCs w:val="22"/>
                  </w:rPr>
                </w:pPr>
                <w:r>
                  <w:rPr>
                    <w:color w:val="000000"/>
                    <w:szCs w:val="24"/>
                    <w:lang w:eastAsia="lt-LT"/>
                  </w:rPr>
                  <w:t>3</w:t>
                </w:r>
              </w:p>
            </w:tc>
            <w:tc>
              <w:tcPr>
                <w:tcW w:w="1031" w:type="dxa"/>
                <w:vAlign w:val="center"/>
              </w:tcPr>
              <w:p>
                <w:pPr>
                  <w:ind w:left="-57" w:right="-57"/>
                  <w:jc w:val="center"/>
                  <w:rPr>
                    <w:szCs w:val="22"/>
                  </w:rPr>
                </w:pPr>
                <w:r>
                  <w:rPr>
                    <w:szCs w:val="22"/>
                  </w:rPr>
                  <w:t>832,48</w:t>
                </w:r>
              </w:p>
            </w:tc>
            <w:tc>
              <w:tcPr>
                <w:tcW w:w="1031" w:type="dxa"/>
                <w:noWrap/>
                <w:vAlign w:val="center"/>
              </w:tcPr>
              <w:p>
                <w:pPr>
                  <w:ind w:left="-57" w:right="-57"/>
                  <w:jc w:val="center"/>
                  <w:rPr>
                    <w:szCs w:val="22"/>
                  </w:rPr>
                </w:pPr>
                <w:r>
                  <w:rPr>
                    <w:color w:val="000000"/>
                    <w:szCs w:val="24"/>
                    <w:lang w:eastAsia="lt-LT"/>
                  </w:rPr>
                  <w:t>2 497,44</w:t>
                </w:r>
              </w:p>
            </w:tc>
          </w:tr>
          <w:tr>
            <w:trPr>
              <w:trHeight w:val="1163"/>
              <w:jc w:val="center"/>
            </w:trPr>
            <w:tc>
              <w:tcPr>
                <w:tcW w:w="425" w:type="dxa"/>
                <w:noWrap/>
                <w:vAlign w:val="center"/>
              </w:tcPr>
              <w:p>
                <w:pPr>
                  <w:ind w:left="57"/>
                  <w:jc w:val="center"/>
                  <w:rPr>
                    <w:szCs w:val="22"/>
                  </w:rPr>
                </w:pPr>
                <w:r>
                  <w:rPr>
                    <w:szCs w:val="22"/>
                  </w:rPr>
                  <w:t>5.</w:t>
                  <w:tab/>
                </w:r>
              </w:p>
            </w:tc>
            <w:tc>
              <w:tcPr>
                <w:tcW w:w="1411" w:type="dxa"/>
                <w:vAlign w:val="center"/>
              </w:tcPr>
              <w:p>
                <w:pPr>
                  <w:ind w:right="-113"/>
                  <w:rPr>
                    <w:szCs w:val="22"/>
                  </w:rPr>
                </w:pPr>
                <w:r>
                  <w:rPr>
                    <w:szCs w:val="24"/>
                    <w:lang w:eastAsia="lt-LT"/>
                  </w:rPr>
                  <w:t>Radviliškio Vaižganto progimnazija</w:t>
                </w:r>
              </w:p>
            </w:tc>
            <w:tc>
              <w:tcPr>
                <w:tcW w:w="3515" w:type="dxa"/>
                <w:noWrap/>
                <w:vAlign w:val="center"/>
              </w:tcPr>
              <w:p>
                <w:pPr>
                  <w:ind w:right="-57"/>
                  <w:rPr>
                    <w:szCs w:val="22"/>
                  </w:rPr>
                </w:pPr>
                <w:r>
                  <w:rPr>
                    <w:szCs w:val="22"/>
                  </w:rPr>
                  <w:t>(NB15) 15,9"–16,9" vidutinio našumo nešiojamasis kompiuteris „HP ProBook 4 G1iR 16 inch 100uJ“</w:t>
                </w:r>
              </w:p>
            </w:tc>
            <w:tc>
              <w:tcPr>
                <w:tcW w:w="1587" w:type="dxa"/>
                <w:vAlign w:val="center"/>
              </w:tcPr>
              <w:p>
                <w:pPr>
                  <w:ind w:left="-57" w:right="-57"/>
                  <w:jc w:val="center"/>
                  <w:rPr>
                    <w:szCs w:val="24"/>
                  </w:rPr>
                </w:pPr>
                <w:r>
                  <w:rPr>
                    <w:color w:val="000000"/>
                    <w:szCs w:val="24"/>
                    <w:lang w:eastAsia="lt-LT"/>
                  </w:rPr>
                  <w:t>IT22-018411–IT22-018416</w:t>
                </w:r>
              </w:p>
            </w:tc>
            <w:tc>
              <w:tcPr>
                <w:tcW w:w="776" w:type="dxa"/>
                <w:vAlign w:val="center"/>
              </w:tcPr>
              <w:p>
                <w:pPr>
                  <w:jc w:val="center"/>
                  <w:rPr>
                    <w:szCs w:val="22"/>
                  </w:rPr>
                </w:pPr>
                <w:r>
                  <w:rPr>
                    <w:color w:val="000000"/>
                    <w:szCs w:val="24"/>
                    <w:lang w:eastAsia="lt-LT"/>
                  </w:rPr>
                  <w:t>6</w:t>
                </w:r>
              </w:p>
            </w:tc>
            <w:tc>
              <w:tcPr>
                <w:tcW w:w="1031" w:type="dxa"/>
                <w:vAlign w:val="center"/>
              </w:tcPr>
              <w:p>
                <w:pPr>
                  <w:ind w:left="-57" w:right="-57"/>
                  <w:jc w:val="center"/>
                  <w:rPr>
                    <w:szCs w:val="22"/>
                  </w:rPr>
                </w:pPr>
                <w:r>
                  <w:rPr>
                    <w:szCs w:val="22"/>
                  </w:rPr>
                  <w:t>832,48</w:t>
                </w:r>
              </w:p>
            </w:tc>
            <w:tc>
              <w:tcPr>
                <w:tcW w:w="1031" w:type="dxa"/>
                <w:noWrap/>
                <w:vAlign w:val="center"/>
              </w:tcPr>
              <w:p>
                <w:pPr>
                  <w:ind w:left="-57" w:right="-57"/>
                  <w:jc w:val="center"/>
                  <w:rPr>
                    <w:szCs w:val="22"/>
                  </w:rPr>
                </w:pPr>
                <w:r>
                  <w:rPr>
                    <w:color w:val="000000"/>
                    <w:szCs w:val="24"/>
                    <w:lang w:eastAsia="lt-LT"/>
                  </w:rPr>
                  <w:t>4 994,88</w:t>
                </w:r>
              </w:p>
            </w:tc>
          </w:tr>
          <w:tr>
            <w:trPr>
              <w:trHeight w:val="340"/>
              <w:jc w:val="center"/>
            </w:trPr>
            <w:tc>
              <w:tcPr>
                <w:tcW w:w="5351" w:type="dxa"/>
                <w:gridSpan w:val="3"/>
                <w:noWrap/>
                <w:vAlign w:val="center"/>
              </w:tcPr>
              <w:p>
                <w:pPr>
                  <w:jc w:val="right"/>
                  <w:rPr>
                    <w:b/>
                    <w:bCs/>
                    <w:szCs w:val="22"/>
                  </w:rPr>
                </w:pPr>
                <w:r>
                  <w:rPr>
                    <w:b/>
                    <w:bCs/>
                    <w:szCs w:val="22"/>
                  </w:rPr>
                  <w:t>Iš viso:</w:t>
                </w:r>
              </w:p>
            </w:tc>
            <w:tc>
              <w:tcPr>
                <w:tcW w:w="1587" w:type="dxa"/>
                <w:vAlign w:val="center"/>
              </w:tcPr>
              <w:p>
                <w:pPr>
                  <w:ind w:left="-57" w:right="-57"/>
                  <w:jc w:val="center"/>
                  <w:rPr>
                    <w:b/>
                    <w:bCs/>
                    <w:szCs w:val="22"/>
                  </w:rPr>
                </w:pPr>
                <w:r>
                  <w:rPr>
                    <w:b/>
                    <w:bCs/>
                    <w:szCs w:val="22"/>
                  </w:rPr>
                  <w:t>–</w:t>
                </w:r>
              </w:p>
            </w:tc>
            <w:tc>
              <w:tcPr>
                <w:tcW w:w="776" w:type="dxa"/>
                <w:noWrap/>
                <w:vAlign w:val="center"/>
              </w:tcPr>
              <w:p>
                <w:pPr>
                  <w:jc w:val="center"/>
                  <w:rPr>
                    <w:b/>
                    <w:bCs/>
                    <w:szCs w:val="22"/>
                  </w:rPr>
                </w:pPr>
                <w:r>
                  <w:rPr>
                    <w:b/>
                    <w:bCs/>
                    <w:szCs w:val="22"/>
                  </w:rPr>
                  <w:t>26</w:t>
                </w:r>
              </w:p>
            </w:tc>
            <w:tc>
              <w:tcPr>
                <w:tcW w:w="1031" w:type="dxa"/>
                <w:noWrap/>
                <w:vAlign w:val="center"/>
              </w:tcPr>
              <w:p>
                <w:pPr>
                  <w:ind w:left="-57" w:right="-57"/>
                  <w:jc w:val="center"/>
                  <w:rPr>
                    <w:b/>
                    <w:bCs/>
                    <w:szCs w:val="22"/>
                  </w:rPr>
                </w:pPr>
                <w:r>
                  <w:rPr>
                    <w:b/>
                    <w:bCs/>
                    <w:szCs w:val="22"/>
                  </w:rPr>
                  <w:t>–</w:t>
                </w:r>
              </w:p>
            </w:tc>
            <w:tc>
              <w:tcPr>
                <w:tcW w:w="1031" w:type="dxa"/>
                <w:noWrap/>
                <w:vAlign w:val="center"/>
              </w:tcPr>
              <w:p>
                <w:pPr>
                  <w:ind w:left="-113" w:right="-113"/>
                  <w:jc w:val="center"/>
                  <w:rPr>
                    <w:b/>
                    <w:bCs/>
                    <w:spacing w:val="-4"/>
                    <w:szCs w:val="22"/>
                  </w:rPr>
                </w:pPr>
                <w:r>
                  <w:rPr>
                    <w:b/>
                    <w:bCs/>
                    <w:spacing w:val="-4"/>
                    <w:szCs w:val="22"/>
                  </w:rPr>
                  <w:t>21 644,48</w:t>
                </w:r>
              </w:p>
            </w:tc>
          </w:tr>
        </w:tbl>
        <w:p>
          <w:pPr>
            <w:tabs>
              <w:tab w:val="left" w:pos="5520"/>
              <w:tab w:val="left" w:pos="5580"/>
            </w:tabs>
            <w:ind w:firstLine="5520"/>
            <w:rPr>
              <w:szCs w:val="22"/>
            </w:rPr>
          </w:pPr>
        </w:p>
        <w:p>
          <w:pPr>
            <w:jc w:val="center"/>
            <w:rPr>
              <w:szCs w:val="22"/>
            </w:rPr>
          </w:pPr>
          <w:r>
            <w:rPr>
              <w:szCs w:val="22"/>
            </w:rPr>
            <w:t>___________________________</w:t>
          </w:r>
        </w:p>
        <w:p>
          <w:pPr>
            <w:spacing w:line="259" w:lineRule="auto"/>
            <w:rPr>
              <w:b/>
              <w:caps/>
              <w:spacing w:val="-2"/>
              <w:szCs w:val="24"/>
            </w:rPr>
          </w:pPr>
          <w:r>
            <w:rPr>
              <w:b/>
              <w:caps/>
              <w:spacing w:val="-2"/>
              <w:szCs w:val="24"/>
            </w:rPr>
            <w:br w:type="page"/>
          </w:r>
        </w:p>
        <w:p>
          <w:pPr>
            <w:rPr>
              <w:sz w:val="14"/>
              <w:szCs w:val="14"/>
            </w:rPr>
          </w:pPr>
        </w:p>
        <w:sdt>
          <w:sdtPr>
            <w:alias w:val="skirsnis"/>
            <w:tag w:val="part_b020110d9f1548489b11f8c9c2d53034"/>
            <w:lock w:val="sdtLocked"/>
            <w:richText/>
          </w:sdtPr>
          <w:sdtContent>
            <w:sdt>
              <w:sdtPr>
                <w:alias w:val="Pavadinimas"/>
                <w:tag w:val="title_b020110d9f1548489b11f8c9c2d53034"/>
                <w:lock w:val="sdtLocked"/>
                <w:richText/>
              </w:sdtPr>
              <w:sdtContent>
                <w:p>
                  <w:pPr>
                    <w:jc w:val="center"/>
                    <w:rPr>
                      <w:b/>
                      <w:spacing w:val="-2"/>
                      <w:szCs w:val="24"/>
                    </w:rPr>
                  </w:pPr>
                  <w:r>
                    <w:rPr>
                      <w:b/>
                      <w:caps/>
                      <w:spacing w:val="-2"/>
                      <w:szCs w:val="24"/>
                    </w:rPr>
                    <w:t xml:space="preserve">Radviliškio rajono </w:t>
                  </w:r>
                  <w:r>
                    <w:rPr>
                      <w:b/>
                      <w:caps/>
                      <w:szCs w:val="24"/>
                    </w:rPr>
                    <w:t xml:space="preserve">SAVIVALDYBĖS TARYBOS 2026-05-28 SPRENDIMO </w:t>
                  </w:r>
                  <w:r>
                    <w:rPr>
                      <w:b/>
                      <w:spacing w:val="-2"/>
                      <w:szCs w:val="24"/>
                    </w:rPr>
                    <w:t>PROJEKTO</w:t>
                  </w:r>
                  <w:r>
                    <w:rPr>
                      <w:b/>
                      <w:caps/>
                      <w:szCs w:val="24"/>
                    </w:rPr>
                    <w:t xml:space="preserve"> „DĖL sutikimo perimti Valstybės turtą VALDYTI NUOSAVYBĖS TEISE ir jo perdavimo valdyti, naudoti ir disponuoti patikėjimo teise Radviliškio rajono bendrojo ugdymo mokykloms</w:t>
                  </w:r>
                  <w:r>
                    <w:rPr>
                      <w:b/>
                      <w:spacing w:val="-2"/>
                      <w:szCs w:val="24"/>
                    </w:rPr>
                    <w:t xml:space="preserve">“ </w:t>
                  </w:r>
                </w:p>
                <w:p>
                  <w:pPr>
                    <w:jc w:val="center"/>
                    <w:rPr>
                      <w:b/>
                      <w:szCs w:val="24"/>
                    </w:rPr>
                  </w:pPr>
                  <w:r>
                    <w:rPr>
                      <w:b/>
                      <w:szCs w:val="24"/>
                    </w:rPr>
                    <w:t>AIŠKINAMASIS RAŠTAS</w:t>
                  </w:r>
                </w:p>
              </w:sdtContent>
            </w:sdt>
            <w:p>
              <w:pPr>
                <w:jc w:val="center"/>
                <w:rPr>
                  <w:b/>
                  <w:bCs/>
                  <w:caps/>
                  <w:szCs w:val="24"/>
                </w:rPr>
              </w:pPr>
            </w:p>
            <w:p>
              <w:pPr>
                <w:jc w:val="center"/>
                <w:rPr>
                  <w:bCs/>
                  <w:szCs w:val="24"/>
                </w:rPr>
              </w:pPr>
              <w:r>
                <w:rPr>
                  <w:bCs/>
                  <w:szCs w:val="24"/>
                </w:rPr>
                <w:t>2026-04-30</w:t>
              </w:r>
            </w:p>
            <w:p>
              <w:pPr>
                <w:jc w:val="center"/>
                <w:rPr>
                  <w:bCs/>
                  <w:szCs w:val="24"/>
                </w:rPr>
              </w:pPr>
              <w:r>
                <w:rPr>
                  <w:bCs/>
                  <w:szCs w:val="24"/>
                </w:rPr>
                <w:t xml:space="preserve">Radviliškis </w:t>
              </w:r>
            </w:p>
            <w:p>
              <w:pPr>
                <w:jc w:val="center"/>
                <w:rPr>
                  <w:bCs/>
                  <w:szCs w:val="24"/>
                </w:rPr>
              </w:pPr>
            </w:p>
            <w:sdt>
              <w:sdtPr>
                <w:alias w:val="pr. 1 p."/>
                <w:tag w:val="part_0662b4098ca54d81a7c6868b8e443bdb"/>
                <w:lock w:val="sdtLocked"/>
                <w:richText/>
              </w:sdtPr>
              <w:sdtContent>
                <w:p>
                  <w:pPr>
                    <w:ind w:firstLine="720"/>
                    <w:jc w:val="both"/>
                    <w:rPr>
                      <w:b/>
                      <w:bCs/>
                      <w:szCs w:val="24"/>
                    </w:rPr>
                  </w:pPr>
                  <w:sdt>
                    <w:sdtPr>
                      <w:alias w:val="Numeris"/>
                      <w:tag w:val="nr_0662b4098ca54d81a7c6868b8e443bdb"/>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p>
                  <w:pPr>
                    <w:ind w:firstLine="720"/>
                    <w:jc w:val="both"/>
                    <w:rPr>
                      <w:szCs w:val="24"/>
                    </w:rPr>
                  </w:pPr>
                  <w:r>
                    <w:rPr>
                      <w:szCs w:val="24"/>
                      <w:lang w:eastAsia="lt-LT"/>
                    </w:rPr>
                    <w:t>Nacionalinė švietimo agentūra, vadovaujantis</w:t>
                  </w:r>
                  <w:r>
                    <w:rPr>
                      <w:szCs w:val="24"/>
                    </w:rPr>
                    <w:t xml:space="preserve"> Jungtinės veiklos sutarties įgyvendinant 2021–2030 m. plėtros programos valdytojos Lietuvos Respublikos švietimo, mokslo ir sporto ministerijos švietimo plėtros programos pažangos priemonės Nr. 12-003-03-01-03 „Užtikrinti visiems prieinamą šiuolaikinį ugdymo turinį“ projektą „Ugdymo priemonės mokykloms“ (Nr. 10-063-P-0001),</w:t>
                  </w:r>
                  <w:r>
                    <w:rPr>
                      <w:szCs w:val="24"/>
                      <w:lang w:eastAsia="lt-LT"/>
                    </w:rPr>
                    <w:t xml:space="preserve"> </w:t>
                  </w:r>
                  <w:r>
                    <w:rPr>
                      <w:szCs w:val="24"/>
                    </w:rPr>
                    <w:t xml:space="preserve">Europos regioninės plėtros fondo ir bendrojo finansavimo lėšomis </w:t>
                  </w:r>
                  <w:r>
                    <w:rPr>
                      <w:szCs w:val="24"/>
                      <w:lang w:eastAsia="lt-LT"/>
                    </w:rPr>
                    <w:t>šalies mokykloms nupirko vidutinio našumo nešiojamųjų kompiuterių</w:t>
                  </w:r>
                  <w:r>
                    <w:rPr>
                      <w:szCs w:val="24"/>
                    </w:rPr>
                    <w:t xml:space="preserve">. NŠA 2026-04-17 raštu </w:t>
                  </w:r>
                  <w:r>
                    <w:rPr>
                      <w:szCs w:val="24"/>
                      <w:shd w:val="clear" w:color="auto" w:fill="FFFFFF"/>
                    </w:rPr>
                    <w:t>prašo savivaldybės perimti nuosavybėn sprendimo projekte nurodytą valstybės turtą LR Vietos savivaldos įstatymo 6 straipsnio 5 ir 6 punktais nurodytoms savivaldybės savarankiškosioms funkcijoms įgyvendint</w:t>
                  </w:r>
                  <w:r>
                    <w:rPr>
                      <w:szCs w:val="24"/>
                    </w:rPr>
                    <w:t>i</w:t>
                  </w:r>
                  <w:r>
                    <w:rPr>
                      <w:szCs w:val="24"/>
                      <w:shd w:val="clear" w:color="auto" w:fill="FFFFFF"/>
                    </w:rPr>
                    <w:t xml:space="preserve">. </w:t>
                  </w:r>
                </w:p>
                <w:p>
                  <w:pPr>
                    <w:ind w:firstLine="720"/>
                    <w:jc w:val="both"/>
                    <w:rPr>
                      <w:szCs w:val="24"/>
                    </w:rPr>
                  </w:pPr>
                  <w:r>
                    <w:rPr>
                      <w:szCs w:val="24"/>
                    </w:rPr>
                    <w:t>Sprendimo projekto tikslas – iš Nacionalinės švietimo agentūros perimti nuosavybės teise valdyti valstybės turtą ir perduoti jį valdyti, naudoti ir disponuoti patikėjimo teise Radviliškio rajono bendrojo ugdymo mokykloms.</w:t>
                  </w:r>
                </w:p>
              </w:sdtContent>
            </w:sdt>
            <w:sdt>
              <w:sdtPr>
                <w:alias w:val="pr. 2 p."/>
                <w:tag w:val="part_d0e36602eeec4104a4877e8aea3abc2f"/>
                <w:lock w:val="sdtLocked"/>
                <w:richText/>
              </w:sdtPr>
              <w:sdtContent>
                <w:p>
                  <w:pPr>
                    <w:ind w:firstLine="720"/>
                    <w:rPr>
                      <w:b/>
                      <w:bCs/>
                      <w:iCs/>
                      <w:szCs w:val="24"/>
                    </w:rPr>
                  </w:pPr>
                  <w:sdt>
                    <w:sdtPr>
                      <w:alias w:val="Numeris"/>
                      <w:tag w:val="nr_d0e36602eeec4104a4877e8aea3abc2f"/>
                      <w:lock w:val="sdtLocked"/>
                      <w:richText/>
                    </w:sdtPr>
                    <w:sdtContent>
                      <w:r>
                        <w:rPr>
                          <w:b/>
                          <w:bCs/>
                          <w:iCs/>
                          <w:szCs w:val="24"/>
                        </w:rPr>
                        <w:t>2</w:t>
                      </w:r>
                    </w:sdtContent>
                  </w:sdt>
                  <w:r>
                    <w:rPr>
                      <w:b/>
                      <w:bCs/>
                      <w:iCs/>
                      <w:szCs w:val="24"/>
                    </w:rPr>
                    <w:t>. Projekto iniciatoriai (institucija, asmenys ar piliečių atstovai) ir rengėjai.</w:t>
                  </w:r>
                </w:p>
                <w:p>
                  <w:pPr>
                    <w:ind w:firstLine="720"/>
                    <w:jc w:val="both"/>
                    <w:rPr>
                      <w:iCs/>
                      <w:spacing w:val="-2"/>
                      <w:szCs w:val="24"/>
                    </w:rPr>
                  </w:pPr>
                  <w:r>
                    <w:rPr>
                      <w:iCs/>
                      <w:szCs w:val="24"/>
                    </w:rPr>
                    <w:t xml:space="preserve">Projekto iniciatorius – </w:t>
                  </w:r>
                  <w:r>
                    <w:rPr>
                      <w:iCs/>
                      <w:spacing w:val="-2"/>
                      <w:szCs w:val="24"/>
                    </w:rPr>
                    <w:t>Radviliškio rajono savivaldybės administracija.</w:t>
                  </w:r>
                </w:p>
                <w:p>
                  <w:pPr>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pr. 3 p."/>
                <w:tag w:val="part_016de676c478472dbfc3bf2fd2b88e41"/>
                <w:lock w:val="sdtLocked"/>
                <w:richText/>
              </w:sdtPr>
              <w:sdtContent>
                <w:p>
                  <w:pPr>
                    <w:ind w:firstLine="720"/>
                    <w:rPr>
                      <w:b/>
                      <w:bCs/>
                      <w:szCs w:val="24"/>
                    </w:rPr>
                  </w:pPr>
                  <w:sdt>
                    <w:sdtPr>
                      <w:alias w:val="Numeris"/>
                      <w:tag w:val="nr_016de676c478472dbfc3bf2fd2b88e41"/>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pPr>
                    <w:ind w:firstLine="720"/>
                    <w:jc w:val="both"/>
                    <w:rPr>
                      <w:szCs w:val="24"/>
                    </w:rPr>
                  </w:pPr>
                  <w:r>
                    <w:rPr>
                      <w:szCs w:val="24"/>
                    </w:rPr>
                    <w:t xml:space="preserve">Vadovaujantis </w:t>
                  </w:r>
                  <w:hyperlink r:id="rId4" w:history="1">
                    <w:r>
                      <w:rPr>
                        <w:szCs w:val="24"/>
                      </w:rPr>
                      <w:t>LR Valstybės ir savivaldybių turto valdymo, naudojimo ir disponavimo juo įstatymo</w:t>
                    </w:r>
                  </w:hyperlink>
                  <w:r>
                    <w:rPr>
                      <w:szCs w:val="24"/>
                    </w:rPr>
                    <w:t xml:space="preserve"> 6 straipsnio 2 punktu, Savivaldybė turtą įgyja savivaldybės tarybos sutikimu perimdama valstybės turtą savivaldybių savarankiškosioms funkcijoms įgyvendinti, kai šis turtas perduodamas savivaldybių nuosavybėn pagal Vyriausybės nutarimus. Vadovaujantis šio įstatymo 8 ir 12 straipsnių nuostatomis, savivaldybių tarybos įgyvendina savivaldybės turto savininko funkcijas, savivaldybės įstaigos joms perduotą savivaldybės turtą valdo, naudoja ir juo disponuoja patikėjimo teise. </w:t>
                  </w:r>
                </w:p>
                <w:p>
                  <w:pPr>
                    <w:shd w:val="clear" w:color="auto" w:fill="FFFFFF"/>
                    <w:ind w:firstLine="720"/>
                    <w:jc w:val="both"/>
                    <w:rPr>
                      <w:szCs w:val="24"/>
                      <w:lang w:eastAsia="lt-LT"/>
                    </w:rPr>
                  </w:pPr>
                  <w:r>
                    <w:rPr>
                      <w:szCs w:val="24"/>
                      <w:lang w:eastAsia="lt-LT"/>
                    </w:rPr>
                    <w:t xml:space="preserve">Vadovaujantis </w:t>
                  </w:r>
                  <w:hyperlink r:id="rId5" w:history="1">
                    <w:r>
                      <w:rPr>
                        <w:szCs w:val="24"/>
                        <w:lang w:eastAsia="lt-LT"/>
                      </w:rPr>
                      <w:t>LR Vietos savivaldos įstatymo</w:t>
                    </w:r>
                  </w:hyperlink>
                  <w:r>
                    <w:rPr>
                      <w:szCs w:val="24"/>
                      <w:lang w:eastAsia="lt-LT"/>
                    </w:rPr>
                    <w:t xml:space="preserve"> 6 straipsnio 5 ir 6 punktais, savivaldybės teritorijoje gyvenančių vaikų iki 16 metų mokymosi pagal privalomojo švietimo programas užtikrinimas ir švietimo pagalbos teikimo mokiniui, mokytojui, šeimai, mokyklai, vaiko minimaliosios priežiūros priemonių vykdymo organizavimas ir koordinavimas yra savarankiškosios savivaldybių funkcijos.</w:t>
                  </w:r>
                </w:p>
                <w:p>
                  <w:pPr>
                    <w:shd w:val="clear" w:color="auto" w:fill="FFFFFF"/>
                    <w:ind w:firstLine="720"/>
                    <w:jc w:val="both"/>
                    <w:rPr>
                      <w:szCs w:val="24"/>
                      <w:lang w:eastAsia="lt-LT"/>
                    </w:rPr>
                  </w:pPr>
                  <w:r>
                    <w:rPr>
                      <w:szCs w:val="24"/>
                      <w:lang w:eastAsia="lt-LT"/>
                    </w:rPr>
                    <w:t xml:space="preserve">Savivaldybės taryba, vadovaudamasi </w:t>
                  </w:r>
                  <w:hyperlink r:id="rId6" w:history="1">
                    <w:r>
                      <w:rPr>
                        <w:szCs w:val="24"/>
                        <w:lang w:eastAsia="lt-LT"/>
                      </w:rPr>
                      <w:t>LR Vietos savivaldos įstatymo</w:t>
                    </w:r>
                  </w:hyperlink>
                  <w:r>
                    <w:rPr>
                      <w:szCs w:val="24"/>
                      <w:lang w:eastAsia="lt-LT"/>
                    </w:rPr>
                    <w:t xml:space="preserve"> 15 straipsnio 2 dalies 19 ir 20 punktais, priima sprendimus dėl sutikimo perimti kitą valstybės turtą savivaldybės nuosavybėn ir dėl disponavimo savivaldybei nuosavybės teise priklausančiu turtu</w:t>
                  </w:r>
                  <w:r>
                    <w:rPr>
                      <w:color w:val="000000"/>
                      <w:szCs w:val="24"/>
                      <w:shd w:val="clear" w:color="auto" w:fill="FFFFFF"/>
                      <w:lang w:eastAsia="lt-LT"/>
                    </w:rPr>
                    <w:t>.</w:t>
                  </w:r>
                </w:p>
                <w:p>
                  <w:pPr>
                    <w:ind w:firstLine="720"/>
                    <w:jc w:val="both"/>
                    <w:rPr>
                      <w:szCs w:val="24"/>
                    </w:rPr>
                  </w:pPr>
                  <w:r>
                    <w:rPr>
                      <w:szCs w:val="24"/>
                    </w:rPr>
                    <w:t>Ruošiamam Lietuvos Respublikos Vyriausybės nutarimo projektui dėl turto perdavimo savivaldybei nuosavybės teise reikalingas Savivaldybės tarybos sutikimas.</w:t>
                  </w:r>
                </w:p>
              </w:sdtContent>
            </w:sdt>
            <w:sdt>
              <w:sdtPr>
                <w:alias w:val="pr. 4 p."/>
                <w:tag w:val="part_572b261043664af6999e5d12f7e92193"/>
                <w:lock w:val="sdtLocked"/>
                <w:richText/>
              </w:sdtPr>
              <w:sdtContent>
                <w:p>
                  <w:pPr>
                    <w:ind w:firstLine="720"/>
                    <w:jc w:val="both"/>
                    <w:rPr>
                      <w:b/>
                      <w:bCs/>
                      <w:iCs/>
                      <w:szCs w:val="24"/>
                    </w:rPr>
                  </w:pPr>
                  <w:sdt>
                    <w:sdtPr>
                      <w:alias w:val="Numeris"/>
                      <w:tag w:val="nr_572b261043664af6999e5d12f7e92193"/>
                      <w:lock w:val="sdtLocked"/>
                      <w:richText/>
                    </w:sdtPr>
                    <w:sdtContent>
                      <w:r>
                        <w:rPr>
                          <w:b/>
                          <w:bCs/>
                          <w:iCs/>
                          <w:szCs w:val="24"/>
                        </w:rPr>
                        <w:t>4</w:t>
                      </w:r>
                    </w:sdtContent>
                  </w:sdt>
                  <w:r>
                    <w:rPr>
                      <w:b/>
                      <w:bCs/>
                      <w:iCs/>
                      <w:szCs w:val="24"/>
                    </w:rPr>
                    <w:t>.</w:t>
                  </w:r>
                  <w:r>
                    <w:rPr>
                      <w:b/>
                      <w:bCs/>
                      <w:szCs w:val="24"/>
                    </w:rPr>
                    <w:t xml:space="preserve"> Kokios siūlomos naujos teisinio reguliavimo nuostatos, kokių teigiamų rezultatų laukiama</w:t>
                  </w:r>
                  <w:r>
                    <w:rPr>
                      <w:b/>
                      <w:bCs/>
                      <w:iCs/>
                      <w:szCs w:val="24"/>
                    </w:rPr>
                    <w:t>.</w:t>
                  </w:r>
                </w:p>
                <w:p>
                  <w:pPr>
                    <w:ind w:firstLine="720"/>
                    <w:jc w:val="both"/>
                    <w:rPr>
                      <w:szCs w:val="24"/>
                    </w:rPr>
                  </w:pPr>
                  <w:r>
                    <w:rPr>
                      <w:bCs/>
                      <w:szCs w:val="24"/>
                    </w:rPr>
                    <w:t>Radviliškio bendrojo ugdymo mokykloms</w:t>
                  </w:r>
                  <w:r>
                    <w:rPr>
                      <w:szCs w:val="24"/>
                    </w:rPr>
                    <w:t xml:space="preserve"> bus perduotas turtas, reikalingas švietimo paslaugų kokybei gerinti aprūpinant efektyviai veikiančias bendrojo ugdymo mokyklas kompiuterine įranga, spartesniam informacinių technologijų diegimui į ugdymo procesą, švietimo įstaigos sąlygų naudotis skaitmeninėmis mokymo priemonėmis gerinimui, įgyvendinant atnaujintas ugdymo programas.</w:t>
                  </w:r>
                </w:p>
              </w:sdtContent>
            </w:sdt>
            <w:sdt>
              <w:sdtPr>
                <w:alias w:val="pr. 5 p."/>
                <w:tag w:val="part_5235c55a0b4e463b9c076cbda3529661"/>
                <w:lock w:val="sdtLocked"/>
                <w:richText/>
              </w:sdtPr>
              <w:sdtContent>
                <w:p>
                  <w:pPr>
                    <w:ind w:firstLine="720"/>
                    <w:jc w:val="both"/>
                    <w:rPr>
                      <w:b/>
                      <w:bCs/>
                      <w:iCs/>
                      <w:szCs w:val="24"/>
                    </w:rPr>
                  </w:pPr>
                  <w:sdt>
                    <w:sdtPr>
                      <w:alias w:val="Numeris"/>
                      <w:tag w:val="nr_5235c55a0b4e463b9c076cbda3529661"/>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p>
                <w:p>
                  <w:pPr>
                    <w:ind w:firstLine="720"/>
                    <w:jc w:val="both"/>
                    <w:rPr>
                      <w:szCs w:val="24"/>
                    </w:rPr>
                  </w:pPr>
                  <w:r>
                    <w:rPr>
                      <w:szCs w:val="24"/>
                    </w:rPr>
                    <w:t>Priėmus sprendimo projektą, neigiamų pasekmių nenumatoma.</w:t>
                  </w:r>
                </w:p>
              </w:sdtContent>
            </w:sdt>
            <w:sdt>
              <w:sdtPr>
                <w:alias w:val="pr. 6 p."/>
                <w:tag w:val="part_23cd9b5d2bfe45bfad3ada2bcdd3ea26"/>
                <w:lock w:val="sdtLocked"/>
                <w:richText/>
              </w:sdtPr>
              <w:sdtContent>
                <w:p>
                  <w:pPr>
                    <w:ind w:firstLine="720"/>
                    <w:jc w:val="both"/>
                    <w:rPr>
                      <w:b/>
                      <w:szCs w:val="24"/>
                    </w:rPr>
                  </w:pPr>
                  <w:sdt>
                    <w:sdtPr>
                      <w:alias w:val="Numeris"/>
                      <w:tag w:val="nr_23cd9b5d2bfe45bfad3ada2bcdd3ea26"/>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pPr>
                    <w:ind w:firstLine="720"/>
                    <w:jc w:val="both"/>
                    <w:rPr>
                      <w:szCs w:val="24"/>
                    </w:rPr>
                  </w:pPr>
                  <w:r>
                    <w:rPr>
                      <w:szCs w:val="24"/>
                    </w:rPr>
                    <w:t>Priėmus sprendimą galiojančių teisės aktų keisti nereikės.</w:t>
                  </w:r>
                </w:p>
              </w:sdtContent>
            </w:sdt>
            <w:sdt>
              <w:sdtPr>
                <w:alias w:val="pr. 7 p."/>
                <w:tag w:val="part_97336374ac7f4d8da842a90b9f5eebe6"/>
                <w:lock w:val="sdtLocked"/>
                <w:richText/>
              </w:sdtPr>
              <w:sdtContent>
                <w:p>
                  <w:pPr>
                    <w:ind w:firstLine="720"/>
                    <w:jc w:val="both"/>
                    <w:rPr>
                      <w:b/>
                      <w:bCs/>
                      <w:iCs/>
                      <w:szCs w:val="24"/>
                    </w:rPr>
                  </w:pPr>
                  <w:sdt>
                    <w:sdtPr>
                      <w:alias w:val="Numeris"/>
                      <w:tag w:val="nr_97336374ac7f4d8da842a90b9f5eebe6"/>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pPr>
                    <w:ind w:firstLine="720"/>
                    <w:jc w:val="both"/>
                    <w:rPr>
                      <w:szCs w:val="24"/>
                    </w:rPr>
                  </w:pPr>
                  <w:r>
                    <w:rPr>
                      <w:szCs w:val="24"/>
                    </w:rPr>
                    <w:t xml:space="preserve">Sprendimo įgyvendinimui Savivaldybės biudžeto lėšų nereikės. </w:t>
                  </w:r>
                </w:p>
              </w:sdtContent>
            </w:sdt>
            <w:sdt>
              <w:sdtPr>
                <w:alias w:val="pr. 8 p."/>
                <w:tag w:val="part_ec4c1e67e39d48c4af011f1850acad25"/>
                <w:lock w:val="sdtLocked"/>
                <w:richText/>
              </w:sdtPr>
              <w:sdtContent>
                <w:p>
                  <w:pPr>
                    <w:ind w:firstLine="720"/>
                    <w:jc w:val="both"/>
                    <w:rPr>
                      <w:szCs w:val="24"/>
                    </w:rPr>
                  </w:pPr>
                  <w:sdt>
                    <w:sdtPr>
                      <w:alias w:val="Numeris"/>
                      <w:tag w:val="nr_ec4c1e67e39d48c4af011f1850acad25"/>
                      <w:lock w:val="sdtLocked"/>
                      <w:richText/>
                    </w:sdtPr>
                    <w:sdtContent>
                      <w:r>
                        <w:rPr>
                          <w:b/>
                          <w:bCs/>
                          <w:szCs w:val="24"/>
                        </w:rPr>
                        <w:t>8</w:t>
                      </w:r>
                    </w:sdtContent>
                  </w:sdt>
                  <w:r>
                    <w:rPr>
                      <w:b/>
                      <w:bCs/>
                      <w:szCs w:val="24"/>
                    </w:rPr>
                    <w:t>. Sprendimo</w:t>
                  </w:r>
                  <w:r>
                    <w:rPr>
                      <w:b/>
                      <w:szCs w:val="24"/>
                    </w:rPr>
                    <w:t xml:space="preserve">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juristu, kalbininku, Investicijų ir turto valdymo skyriaus vedėju, Švietimo ir sporto skyriaus vedėju, Administracijos direktore.</w:t>
                  </w:r>
                </w:p>
              </w:sdtContent>
            </w:sdt>
            <w:sdt>
              <w:sdtPr>
                <w:alias w:val="pr. 9 p."/>
                <w:tag w:val="part_ce8ccae052bb4d86aed6b7faf255cf35"/>
                <w:lock w:val="sdtLocked"/>
                <w:richText/>
              </w:sdtPr>
              <w:sdtContent>
                <w:p>
                  <w:pPr>
                    <w:ind w:firstLine="720"/>
                    <w:jc w:val="both"/>
                    <w:rPr>
                      <w:b/>
                      <w:bCs/>
                      <w:iCs/>
                      <w:szCs w:val="24"/>
                    </w:rPr>
                  </w:pPr>
                  <w:sdt>
                    <w:sdtPr>
                      <w:alias w:val="Numeris"/>
                      <w:tag w:val="nr_ce8ccae052bb4d86aed6b7faf255cf35"/>
                      <w:lock w:val="sdtLocked"/>
                      <w:richText/>
                    </w:sdtPr>
                    <w:sdtContent>
                      <w:r>
                        <w:rPr>
                          <w:b/>
                          <w:bCs/>
                          <w:iCs/>
                          <w:szCs w:val="24"/>
                        </w:rPr>
                        <w:t>9</w:t>
                      </w:r>
                    </w:sdtContent>
                  </w:sdt>
                  <w:r>
                    <w:rPr>
                      <w:b/>
                      <w:bCs/>
                      <w:iCs/>
                      <w:szCs w:val="24"/>
                    </w:rPr>
                    <w:t xml:space="preserve">. Numatomo teisinio reguliavimo poveikio vertinimo rezultatai. </w:t>
                  </w:r>
                </w:p>
                <w:p>
                  <w:pPr>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pr. 10 p."/>
                <w:tag w:val="part_473db1d125fe45489a182a940b3d0935"/>
                <w:lock w:val="sdtLocked"/>
                <w:richText/>
              </w:sdtPr>
              <w:sdtContent>
                <w:p>
                  <w:pPr>
                    <w:ind w:firstLine="720"/>
                    <w:jc w:val="both"/>
                    <w:rPr>
                      <w:b/>
                      <w:bCs/>
                      <w:iCs/>
                      <w:szCs w:val="24"/>
                    </w:rPr>
                  </w:pPr>
                  <w:sdt>
                    <w:sdtPr>
                      <w:alias w:val="Numeris"/>
                      <w:tag w:val="nr_473db1d125fe45489a182a940b3d0935"/>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pPr>
                    <w:tabs>
                      <w:tab w:val="left" w:pos="1134"/>
                    </w:tabs>
                    <w:ind w:firstLine="709"/>
                    <w:rPr>
                      <w:rFonts w:eastAsia="Calibri"/>
                      <w:szCs w:val="24"/>
                    </w:rPr>
                  </w:pPr>
                  <w:r>
                    <w:rPr>
                      <w:rFonts w:eastAsia="Calibri"/>
                      <w:szCs w:val="24"/>
                    </w:rPr>
                    <w:t>Teisės akto projektas antikorupciniam vertinimui neteikiamas.</w:t>
                  </w:r>
                </w:p>
              </w:sdtContent>
            </w:sdt>
            <w:sdt>
              <w:sdtPr>
                <w:alias w:val="pr. 11 p."/>
                <w:tag w:val="part_bce5f0ecbb6a4c45a999116f0f8a4252"/>
                <w:lock w:val="sdtLocked"/>
                <w:richText/>
              </w:sdtPr>
              <w:sdtContent>
                <w:p>
                  <w:pPr>
                    <w:tabs>
                      <w:tab w:val="left" w:pos="1134"/>
                    </w:tabs>
                    <w:ind w:firstLine="709"/>
                    <w:rPr>
                      <w:rFonts w:eastAsia="Calibri"/>
                      <w:szCs w:val="24"/>
                    </w:rPr>
                  </w:pPr>
                  <w:sdt>
                    <w:sdtPr>
                      <w:alias w:val="Numeris"/>
                      <w:tag w:val="nr_bce5f0ecbb6a4c45a999116f0f8a4252"/>
                      <w:lock w:val="sdtLocked"/>
                      <w:richText/>
                    </w:sdtPr>
                    <w:sdtContent>
                      <w:r>
                        <w:rPr>
                          <w:rFonts w:eastAsia="Calibri"/>
                          <w:b/>
                          <w:bCs/>
                          <w:szCs w:val="24"/>
                        </w:rPr>
                        <w:t>11</w:t>
                      </w:r>
                    </w:sdtContent>
                  </w:sdt>
                  <w:r>
                    <w:rPr>
                      <w:rFonts w:eastAsia="Calibri"/>
                      <w:b/>
                      <w:bCs/>
                      <w:szCs w:val="24"/>
                    </w:rPr>
                    <w:t xml:space="preserve">. 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sdtContent>
            </w:sdt>
            <w:sdt>
              <w:sdtPr>
                <w:alias w:val="pr. 12 p."/>
                <w:tag w:val="part_cd6748b9b4be42b4b72f9ab178012396"/>
                <w:lock w:val="sdtLocked"/>
                <w:richText/>
              </w:sdtPr>
              <w:sdtContent>
                <w:p>
                  <w:pPr>
                    <w:tabs>
                      <w:tab w:val="left" w:pos="1134"/>
                    </w:tabs>
                    <w:ind w:firstLine="709"/>
                    <w:rPr>
                      <w:rFonts w:eastAsia="Calibri"/>
                      <w:szCs w:val="24"/>
                    </w:rPr>
                  </w:pPr>
                  <w:sdt>
                    <w:sdtPr>
                      <w:alias w:val="Numeris"/>
                      <w:tag w:val="nr_cd6748b9b4be42b4b72f9ab178012396"/>
                      <w:lock w:val="sdtLocked"/>
                      <w:richText/>
                    </w:sdtPr>
                    <w:sdtContent>
                      <w:r>
                        <w:rPr>
                          <w:rFonts w:eastAsia="Calibri"/>
                          <w:b/>
                          <w:bCs/>
                          <w:szCs w:val="24"/>
                        </w:rPr>
                        <w:t>12</w:t>
                      </w:r>
                    </w:sdtContent>
                  </w:sdt>
                  <w:r>
                    <w:rPr>
                      <w:rFonts w:eastAsia="Calibri"/>
                      <w:b/>
                      <w:bCs/>
                      <w:szCs w:val="24"/>
                    </w:rPr>
                    <w:t xml:space="preserve">. Pridedami dokumentai. </w:t>
                  </w:r>
                </w:p>
                <w:p>
                  <w:pPr>
                    <w:ind w:firstLine="720"/>
                    <w:jc w:val="both"/>
                    <w:rPr>
                      <w:szCs w:val="24"/>
                    </w:rPr>
                  </w:pPr>
                  <w:r>
                    <w:rPr>
                      <w:szCs w:val="24"/>
                    </w:rPr>
                    <w:t xml:space="preserve">Pridedamų dokumentų nėra. </w:t>
                  </w:r>
                </w:p>
                <w:p>
                  <w:pPr>
                    <w:jc w:val="center"/>
                    <w:rPr>
                      <w:bCs/>
                      <w:szCs w:val="24"/>
                    </w:rPr>
                  </w:pPr>
                </w:p>
                <w:p>
                  <w:pPr>
                    <w:jc w:val="center"/>
                    <w:rPr>
                      <w:bCs/>
                      <w:szCs w:val="24"/>
                    </w:rPr>
                  </w:pPr>
                </w:p>
                <w:p>
                  <w:pPr>
                    <w:jc w:val="center"/>
                    <w:rPr>
                      <w:bCs/>
                      <w:szCs w:val="24"/>
                    </w:rPr>
                  </w:pPr>
                </w:p>
                <w:p>
                  <w:pPr>
                    <w:jc w:val="both"/>
                    <w:rPr>
                      <w:b/>
                      <w:szCs w:val="24"/>
                    </w:rPr>
                  </w:pPr>
                  <w:r>
                    <w:rPr>
                      <w:szCs w:val="24"/>
                    </w:rPr>
                    <w:t>Investicijų ir turto valdymo skyriaus vyriausioji specialistė</w:t>
                    <w:tab/>
                    <w:tab/>
                    <w:tab/>
                    <w:t xml:space="preserve">        Diana Skaburskienė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7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6D762D-0071-490B-B3F6-57D486BE855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3733"/>
  <Relationship Id="rId5" Type="http://schemas.openxmlformats.org/officeDocument/2006/relationships/hyperlink" TargetMode="External" Target="http://www3.lrs.lt/pls/inter3/dokpaieska.showdoc_l?p_id=454354"/>
  <Relationship Id="rId6" Type="http://schemas.openxmlformats.org/officeDocument/2006/relationships/hyperlink" TargetMode="External" Target="http://www3.lrs.lt/pls/inter3/dokpaieska.showdoc_l?p_id=454354"/>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38a11ab8424fe7a01c907da6be2e1c" PartId="31c3a341f64340a9afdb7369ba8d237f">
    <Part Type="punktas" Nr="1" Abbr="1 p." DocPartId="df469faf9e214f9e9e5c2350f895f48a" PartId="4ba2d3d1190549d2a4dbd2167b7c797a"/>
    <Part Type="punktas" Nr="2" Abbr="2 p." DocPartId="367acea3e23a439ab080a51a190591e9" PartId="110a8cf8221d4a8eb504c5de7584b344"/>
    <Part Type="punktas" Nr="3" Abbr="3 p." DocPartId="2bf5c6b1f16541768cb0e0c9f8e19ba7" PartId="c320c2deca024cb99b2f8a2063a9bafd"/>
    <Part Type="punktas" Nr="4" Abbr="4 p." DocPartId="9c68806000864c3d928f11f703278651" PartId="9261ed8b1fa74e4fa4a30e90fea0704e"/>
    <Part Type="signatura" DocPartId="0b19b8620d364eba9ff4fa76712725bb" PartId="a4bba512b46041209fc2836460334fd4"/>
  </Part>
  <Part Type="priedas" Abbr="pr." Title="RADVILIŠKIO RAJONO SAVIVALDYBĖS NUOSAVYBĖN PERIMTO, SAVIVALDYBĖS ŠVIETIMO ĮSTAIGOMS PATIKĖJIMO TEISE VALDYTI, NAUDOTI IR DISPONUOTI PERDUODAMO ILGALAIKIO MATERIALIOJO TURTO SĄRAŠAS" DocPartId="ed1033e251c54f04950a5fa5a8f6006b" PartId="5173bac3d3e145bfba3d65bcbbf3f0f3">
    <Part Type="skirsnis" Title="RADVILIŠKIO RAJONO SAVIVALDYBĖS TARYBOS 2026-05-28 SPRENDIMO PROJEKTO „DĖL SUTIKIMO PERIMTI VALSTYBĖS TURTĄ VALDYTI NUOSAVYBĖS TEISE IR JO PERDAVIMO VALDYTI, NAUDOTI IR DISPONUOTI PATIKĖJIMO TEISE RADVILIŠKIO RAJONO BENDROJO UGDYMO MOKYKLOMS“ AIŠKINAMASIS RAŠTAS" DocPartId="95a3298ae0d34cfb996d2024a35add5f" PartId="b020110d9f1548489b11f8c9c2d53034">
      <Part Type="punktas" Nr="1" Abbr="pr. 1 p." DocPartId="692845652c1a46ceb4cca3168ba784ac" PartId="0662b4098ca54d81a7c6868b8e443bdb"/>
      <Part Type="punktas" Nr="2" Abbr="pr. 2 p." DocPartId="13696f76c7e442e680115fdc1aa41442" PartId="d0e36602eeec4104a4877e8aea3abc2f"/>
      <Part Type="punktas" Nr="3" Abbr="pr. 3 p." DocPartId="e32f9f71ac45489e82e95c1c844e4b92" PartId="016de676c478472dbfc3bf2fd2b88e41"/>
      <Part Type="punktas" Nr="4" Abbr="pr. 4 p." DocPartId="505eb972fba94183a766a2b238c68747" PartId="572b261043664af6999e5d12f7e92193"/>
      <Part Type="punktas" Nr="5" Abbr="pr. 5 p." DocPartId="0daccaf4ea0745c4a90a4d8dc07d1aee" PartId="5235c55a0b4e463b9c076cbda3529661"/>
      <Part Type="punktas" Nr="6" Abbr="pr. 6 p." DocPartId="5dda69adb15e44f2bc8a256686e24c00" PartId="23cd9b5d2bfe45bfad3ada2bcdd3ea26"/>
      <Part Type="punktas" Nr="7" Abbr="pr. 7 p." DocPartId="f15a214f925849bca4b6ca21358d8561" PartId="97336374ac7f4d8da842a90b9f5eebe6"/>
      <Part Type="punktas" Nr="8" Abbr="pr. 8 p." DocPartId="b6650c5164d642fa823ba0fa7db7fdfa" PartId="ec4c1e67e39d48c4af011f1850acad25"/>
      <Part Type="punktas" Nr="9" Abbr="pr. 9 p." DocPartId="38af21766df64fb1a4cd404eac998a80" PartId="ce8ccae052bb4d86aed6b7faf255cf35"/>
      <Part Type="punktas" Nr="10" Abbr="pr. 10 p." DocPartId="478382cfc13148498acc2cba955f00f2" PartId="473db1d125fe45489a182a940b3d0935"/>
      <Part Type="punktas" Nr="11" Abbr="pr. 11 p." DocPartId="f2bd10602f034d74a200183b97a8b510" PartId="bce5f0ecbb6a4c45a999116f0f8a4252"/>
      <Part Type="punktas" Nr="12" Abbr="pr. 12 p." DocPartId="039944a2de3444fe87ba2189ac4b931d" PartId="cd6748b9b4be42b4b72f9ab178012396"/>
    </Part>
  </Part>
</Parts>
</file>

<file path=customXml/itemProps1.xml><?xml version="1.0" encoding="utf-8"?>
<ds:datastoreItem xmlns:ds="http://schemas.openxmlformats.org/officeDocument/2006/customXml" ds:itemID="{C6C323B8-E9D9-4B79-AEB3-8731A49F8C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1157</Words>
  <Characters>8522</Characters>
  <Application>Microsoft Office Word</Application>
  <DocSecurity>4</DocSecurity>
  <Lines>266</Lines>
  <Paragraphs>127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2026-05-15T06:37:00Z</dcterms:created>
  <dc:creator>Diana Skaburskienė</dc:creator>
  <lastModifiedBy>adlibuser</lastModifiedBy>
  <dcterms:modified xsi:type="dcterms:W3CDTF">2026-05-15T06:37:00Z</dcterms:modified>
  <revision>2</revision>
</coreProperties>
</file>