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11d8e9ff3f744348646529ae0e052d0"/>
        <w:lock w:val="sdtLocked"/>
        <w:richText/>
      </w:sdtPr>
      <w:sdtContent>
        <w:p w14:paraId="27775DB9" w14:textId="77777777">
          <w:pPr>
            <w:widowControl w:val="0"/>
            <w:tabs>
              <w:tab w:val="center" w:pos="4819"/>
              <w:tab w:val="right" w:pos="9638"/>
            </w:tabs>
            <w:suppressAutoHyphens/>
            <w:ind w:left="142"/>
            <w:rPr>
              <w:rFonts w:eastAsia="Andale Sans UI"/>
              <w:color w:val="FF0000"/>
              <w:kern w:val="2"/>
              <w:szCs w:val="24"/>
              <w:lang w:eastAsia="ar-SA"/>
            </w:rPr>
          </w:pPr>
        </w:p>
        <w:p w14:paraId="165D16CA" w14:textId="75BD3438">
          <w:pPr>
            <w:widowControl w:val="0"/>
            <w:suppressAutoHyphens/>
            <w:jc w:val="right"/>
            <w:rPr>
              <w:rFonts w:eastAsia="Andale Sans UI"/>
              <w:b/>
              <w:kern w:val="2"/>
              <w:szCs w:val="24"/>
              <w:lang w:eastAsia="ar-SA"/>
            </w:rPr>
          </w:pPr>
          <w:r>
            <w:rPr>
              <w:rFonts w:eastAsia="Andale Sans UI"/>
              <w:b/>
              <w:kern w:val="2"/>
              <w:szCs w:val="24"/>
              <w:lang w:eastAsia="ar-SA"/>
            </w:rPr>
            <w:t>Projektas</w:t>
          </w:r>
        </w:p>
        <w:p w14:paraId="66D31197" w14:textId="77777777">
          <w:pPr>
            <w:widowControl w:val="0"/>
            <w:suppressAutoHyphens/>
            <w:jc w:val="center"/>
            <w:rPr>
              <w:rFonts w:eastAsia="Andale Sans UI"/>
              <w:b/>
              <w:kern w:val="2"/>
              <w:szCs w:val="24"/>
              <w:lang w:eastAsia="ar-SA"/>
            </w:rPr>
          </w:pPr>
        </w:p>
        <w:p w14:paraId="7BE3C7AD" w14:textId="1FF3CB83">
          <w:pPr>
            <w:widowControl w:val="0"/>
            <w:suppressAutoHyphens/>
            <w:jc w:val="center"/>
            <w:rPr>
              <w:rFonts w:eastAsia="Andale Sans UI"/>
              <w:b/>
              <w:kern w:val="2"/>
              <w:szCs w:val="24"/>
              <w:lang w:eastAsia="ar-SA"/>
            </w:rPr>
          </w:pPr>
          <w:r>
            <w:rPr>
              <w:rFonts w:eastAsia="Andale Sans UI"/>
              <w:b/>
              <w:kern w:val="2"/>
              <w:szCs w:val="24"/>
              <w:lang w:eastAsia="ar-SA"/>
            </w:rPr>
            <w:t>ŠIAULIŲ MIESTO SAVIVALDYBĖS TARYBA</w:t>
          </w:r>
        </w:p>
        <w:p w14:paraId="6C703892" w14:textId="77777777">
          <w:pPr>
            <w:widowControl w:val="0"/>
            <w:suppressAutoHyphens/>
            <w:jc w:val="center"/>
            <w:rPr>
              <w:rFonts w:eastAsia="Andale Sans UI"/>
              <w:b/>
              <w:kern w:val="2"/>
              <w:szCs w:val="24"/>
              <w:lang w:eastAsia="ar-SA"/>
            </w:rPr>
          </w:pPr>
        </w:p>
        <w:p w14:paraId="28373BA4" w14:textId="77777777">
          <w:pPr>
            <w:widowControl w:val="0"/>
            <w:suppressAutoHyphens/>
            <w:jc w:val="center"/>
            <w:rPr>
              <w:rFonts w:eastAsia="Andale Sans UI"/>
              <w:b/>
              <w:kern w:val="2"/>
              <w:szCs w:val="24"/>
              <w:lang w:eastAsia="ar-SA"/>
            </w:rPr>
          </w:pPr>
          <w:r>
            <w:rPr>
              <w:rFonts w:eastAsia="Andale Sans UI"/>
              <w:b/>
              <w:kern w:val="2"/>
              <w:szCs w:val="24"/>
              <w:lang w:eastAsia="ar-SA"/>
            </w:rPr>
            <w:t>SPRENDIMAS</w:t>
          </w:r>
        </w:p>
        <w:p w14:paraId="69F7CD21" w14:textId="491B6ABB">
          <w:pPr>
            <w:widowControl w:val="0"/>
            <w:suppressAutoHyphens/>
            <w:jc w:val="center"/>
            <w:rPr>
              <w:rFonts w:eastAsia="Andale Sans UI"/>
              <w:b/>
              <w:kern w:val="2"/>
              <w:szCs w:val="24"/>
              <w:lang w:eastAsia="ar-SA"/>
            </w:rPr>
          </w:pPr>
          <w:r>
            <w:rPr>
              <w:rFonts w:eastAsia="Andale Sans UI"/>
              <w:b/>
              <w:kern w:val="2"/>
              <w:szCs w:val="24"/>
              <w:lang w:eastAsia="ar-SA"/>
            </w:rPr>
            <w:t>DĖL ŠIAULIŲ MIESTO SAVIVALDYBĖS TARYBOS 2023 M. VASARIO 2 D. SPRENDIMO NR. T-30 „DĖL ŠIAULIŲ MIESTO SAVIVALDYBĖS TARYBOS VEIKLOS REGLAMENTO PATVIRTINIMO“ PAKEITIMO</w:t>
          </w:r>
        </w:p>
        <w:p w14:paraId="628560EC" w14:textId="77777777">
          <w:pPr>
            <w:jc w:val="center"/>
            <w:rPr>
              <w:rFonts w:eastAsia="Arial Unicode MS"/>
              <w:bCs/>
              <w:szCs w:val="24"/>
            </w:rPr>
          </w:pPr>
        </w:p>
        <w:p w14:paraId="31E43A31" w14:textId="6DAF8E20">
          <w:pPr>
            <w:widowControl w:val="0"/>
            <w:suppressAutoHyphens/>
            <w:jc w:val="center"/>
            <w:rPr>
              <w:rFonts w:eastAsia="Andale Sans UI"/>
              <w:bCs/>
              <w:kern w:val="2"/>
              <w:szCs w:val="24"/>
              <w:lang w:eastAsia="ar-SA"/>
            </w:rPr>
          </w:pPr>
          <w:r>
            <w:rPr>
              <w:rFonts w:eastAsia="Andale Sans UI"/>
              <w:bCs/>
              <w:kern w:val="2"/>
              <w:szCs w:val="24"/>
              <w:lang w:eastAsia="ar-SA"/>
            </w:rPr>
            <w:t xml:space="preserve">2024 m.      d. Nr. T-</w:t>
          </w:r>
        </w:p>
        <w:p w14:paraId="1B993854" w14:textId="77777777">
          <w:pPr>
            <w:widowControl w:val="0"/>
            <w:suppressAutoHyphens/>
            <w:jc w:val="center"/>
            <w:rPr>
              <w:rFonts w:eastAsia="Andale Sans UI"/>
              <w:bCs/>
              <w:kern w:val="2"/>
              <w:szCs w:val="24"/>
              <w:lang w:eastAsia="ar-SA"/>
            </w:rPr>
          </w:pPr>
          <w:r>
            <w:rPr>
              <w:rFonts w:eastAsia="Andale Sans UI"/>
              <w:bCs/>
              <w:kern w:val="2"/>
              <w:szCs w:val="24"/>
              <w:lang w:eastAsia="ar-SA"/>
            </w:rPr>
            <w:t>Šiauliai</w:t>
          </w:r>
        </w:p>
        <w:p w14:paraId="47EE4726" w14:textId="77777777">
          <w:pPr>
            <w:widowControl w:val="0"/>
            <w:suppressAutoHyphens/>
            <w:ind w:firstLine="709"/>
            <w:jc w:val="both"/>
            <w:rPr>
              <w:rFonts w:eastAsia="Andale Sans UI"/>
              <w:bCs/>
              <w:kern w:val="2"/>
              <w:szCs w:val="24"/>
              <w:lang w:eastAsia="ar-SA"/>
            </w:rPr>
          </w:pPr>
        </w:p>
        <w:sdt>
          <w:sdtPr>
            <w:alias w:val="preambule"/>
            <w:tag w:val="part_5e9c35f7074d4da4a7f8937a4b76af75"/>
            <w:lock w:val="sdtLocked"/>
            <w:richText/>
          </w:sdtPr>
          <w:sdtContent>
            <w:p w14:paraId="1B2C5F30" w14:textId="7E215F12">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lang w:eastAsia="ar-SA"/>
                </w:rPr>
                <w:t xml:space="preserve">Vadovaudamasi Lietuvos Respublikos vietos savivaldos įstatymo 15 straipsnio 2 dalies              1 punktu, Šiaulių miesto savivaldybės taryba  </w:t>
              </w:r>
              <w:r>
                <w:rPr>
                  <w:rFonts w:eastAsia="Andale Sans UI"/>
                  <w:bCs/>
                  <w:spacing w:val="80"/>
                  <w:kern w:val="2"/>
                  <w:szCs w:val="24"/>
                  <w:shd w:val="clear" w:color="auto" w:fill="FFFFFF"/>
                  <w:lang w:eastAsia="ar-SA"/>
                </w:rPr>
                <w:t>nusprendži</w:t>
              </w:r>
              <w:r>
                <w:rPr>
                  <w:rFonts w:eastAsia="Andale Sans UI"/>
                  <w:bCs/>
                  <w:kern w:val="2"/>
                  <w:szCs w:val="24"/>
                  <w:shd w:val="clear" w:color="auto" w:fill="FFFFFF"/>
                  <w:lang w:eastAsia="ar-SA"/>
                </w:rPr>
                <w:t>a:</w:t>
              </w:r>
            </w:p>
          </w:sdtContent>
        </w:sdt>
        <w:sdt>
          <w:sdtPr>
            <w:alias w:val="pastraipa"/>
            <w:tag w:val="part_793b4105b329447b8deba2b3dca7175e"/>
            <w:lock w:val="sdtLocked"/>
            <w:richText/>
          </w:sdtPr>
          <w:sdtContent>
            <w:p w14:paraId="2508EC5F" w14:textId="79FD16EA">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Pakeisti Šiaulių miesto savivaldybės tarybos 2023 m. vasario 2 d. sprendimą Nr. T-30 „Dėl Šiaulių miesto savivaldybės tarybos veiklos reglamento patvirtinimo“:</w:t>
              </w:r>
            </w:p>
          </w:sdtContent>
        </w:sdt>
        <w:sdt>
          <w:sdtPr>
            <w:alias w:val="1 p."/>
            <w:tag w:val="part_53274ee974ac4075a7cf98304b48c224"/>
            <w:lock w:val="sdtLocked"/>
            <w:richText/>
          </w:sdtPr>
          <w:sdtContent>
            <w:p w14:paraId="7D6505C4" w14:textId="691D2D62">
              <w:pPr>
                <w:widowControl w:val="0"/>
                <w:suppressAutoHyphens/>
                <w:ind w:firstLine="709"/>
                <w:jc w:val="both"/>
                <w:rPr>
                  <w:rFonts w:eastAsia="Andale Sans UI"/>
                  <w:bCs/>
                  <w:kern w:val="2"/>
                  <w:szCs w:val="24"/>
                  <w:shd w:val="clear" w:color="auto" w:fill="FFFFFF"/>
                  <w:lang w:eastAsia="ar-SA"/>
                </w:rPr>
              </w:pPr>
              <w:sdt>
                <w:sdtPr>
                  <w:alias w:val="Numeris"/>
                  <w:tag w:val="nr_53274ee974ac4075a7cf98304b48c224"/>
                  <w:lock w:val="sdtLocked"/>
                  <w:richText/>
                </w:sdtPr>
                <w:sdtContent>
                  <w:r>
                    <w:rPr>
                      <w:rFonts w:eastAsia="Andale Sans UI"/>
                      <w:bCs/>
                      <w:kern w:val="2"/>
                      <w:szCs w:val="24"/>
                      <w:shd w:val="clear" w:color="auto" w:fill="FFFFFF"/>
                      <w:lang w:eastAsia="ar-SA"/>
                    </w:rPr>
                    <w:t>1</w:t>
                  </w:r>
                </w:sdtContent>
              </w:sdt>
              <w:r>
                <w:rPr>
                  <w:rFonts w:eastAsia="Andale Sans UI"/>
                  <w:bCs/>
                  <w:kern w:val="2"/>
                  <w:szCs w:val="24"/>
                  <w:shd w:val="clear" w:color="auto" w:fill="FFFFFF"/>
                  <w:lang w:eastAsia="ar-SA"/>
                </w:rPr>
                <w:t>. Pakeisti preambulę ir ją išdėstyti taip:</w:t>
              </w:r>
            </w:p>
            <w:sdt>
              <w:sdtPr>
                <w:alias w:val="citata"/>
                <w:tag w:val="part_c5063c19ba0949b88852f70bbcfcc82d"/>
                <w:lock w:val="sdtLocked"/>
                <w:richText/>
              </w:sdtPr>
              <w:sdtContent>
                <w:sdt>
                  <w:sdtPr>
                    <w:alias w:val="pastraipa"/>
                    <w:tag w:val="part_dfaa52f65c5345d1b20a5a42263d306e"/>
                    <w:lock w:val="sdtLocked"/>
                    <w:richText/>
                  </w:sdtPr>
                  <w:sdtContent>
                    <w:p w14:paraId="0E623F02" w14:textId="1F62EB5C">
                      <w:pPr>
                        <w:widowControl w:val="0"/>
                        <w:suppressAutoHyphens/>
                        <w:ind w:firstLine="709"/>
                        <w:jc w:val="both"/>
                        <w:rPr>
                          <w:color w:val="000000"/>
                          <w:szCs w:val="24"/>
                          <w:lang w:eastAsia="lt-LT"/>
                        </w:rPr>
                      </w:pPr>
                      <w:r>
                        <w:rPr>
                          <w:rFonts w:eastAsia="Andale Sans UI"/>
                          <w:bCs/>
                          <w:kern w:val="2"/>
                          <w:szCs w:val="24"/>
                          <w:shd w:val="clear" w:color="auto" w:fill="FFFFFF"/>
                          <w:lang w:eastAsia="ar-SA"/>
                        </w:rPr>
                        <w:t xml:space="preserve">„Vadovaudamasi Lietuvos Respublikos vietos savivaldos įstatymo 15 straipsnio 2 dalies 1 punktu, Šiaulių miesto savivaldybės taryba  </w:t>
                      </w:r>
                      <w:r>
                        <w:rPr>
                          <w:rFonts w:eastAsia="Andale Sans UI"/>
                          <w:color w:val="000000"/>
                          <w:spacing w:val="80"/>
                          <w:kern w:val="2"/>
                          <w:szCs w:val="24"/>
                          <w:shd w:val="clear" w:color="auto" w:fill="FFFFFF"/>
                          <w:lang w:eastAsia="ar-SA"/>
                        </w:rPr>
                        <w:t>nusprendži</w:t>
                      </w:r>
                      <w:r>
                        <w:rPr>
                          <w:rFonts w:eastAsia="Andale Sans UI"/>
                          <w:color w:val="000000"/>
                          <w:kern w:val="2"/>
                          <w:szCs w:val="24"/>
                          <w:shd w:val="clear" w:color="auto" w:fill="FFFFFF"/>
                          <w:lang w:eastAsia="ar-SA"/>
                        </w:rPr>
                        <w:t>a</w:t>
                      </w:r>
                      <w:r>
                        <w:rPr>
                          <w:rFonts w:eastAsia="Andale Sans UI"/>
                          <w:bCs/>
                          <w:kern w:val="2"/>
                          <w:szCs w:val="24"/>
                          <w:shd w:val="clear" w:color="auto" w:fill="FFFFFF"/>
                          <w:lang w:eastAsia="ar-SA"/>
                        </w:rPr>
                        <w:t>:</w:t>
                      </w:r>
                      <w:r>
                        <w:rPr>
                          <w:color w:val="000000"/>
                          <w:szCs w:val="24"/>
                          <w:shd w:val="clear" w:color="auto" w:fill="FFFFFF"/>
                          <w:lang w:eastAsia="lt-LT"/>
                        </w:rPr>
                        <w:t>“.</w:t>
                      </w:r>
                    </w:p>
                  </w:sdtContent>
                </w:sdt>
              </w:sdtContent>
            </w:sdt>
          </w:sdtContent>
        </w:sdt>
        <w:sdt>
          <w:sdtPr>
            <w:alias w:val="2 p."/>
            <w:tag w:val="part_0d0f83cd01f04afb929159ee303de318"/>
            <w:lock w:val="sdtLocked"/>
            <w:richText/>
          </w:sdtPr>
          <w:sdtContent>
            <w:p w14:paraId="3DF3C385" w14:textId="3216F7BB">
              <w:pPr>
                <w:widowControl w:val="0"/>
                <w:suppressAutoHyphens/>
                <w:ind w:firstLine="709"/>
                <w:jc w:val="both"/>
                <w:rPr>
                  <w:rFonts w:eastAsia="Andale Sans UI"/>
                  <w:bCs/>
                  <w:kern w:val="2"/>
                  <w:szCs w:val="24"/>
                  <w:shd w:val="clear" w:color="auto" w:fill="FFFFFF"/>
                  <w:lang w:eastAsia="ar-SA"/>
                </w:rPr>
              </w:pPr>
              <w:sdt>
                <w:sdtPr>
                  <w:alias w:val="Numeris"/>
                  <w:tag w:val="nr_0d0f83cd01f04afb929159ee303de318"/>
                  <w:lock w:val="sdtLocked"/>
                  <w:richText/>
                </w:sdtPr>
                <w:sdtContent>
                  <w:r>
                    <w:rPr>
                      <w:rFonts w:eastAsia="Andale Sans UI"/>
                      <w:bCs/>
                      <w:kern w:val="2"/>
                      <w:szCs w:val="24"/>
                      <w:shd w:val="clear" w:color="auto" w:fill="FFFFFF"/>
                      <w:lang w:eastAsia="ar-SA"/>
                    </w:rPr>
                    <w:t>2</w:t>
                  </w:r>
                </w:sdtContent>
              </w:sdt>
              <w:r>
                <w:rPr>
                  <w:rFonts w:eastAsia="Andale Sans UI"/>
                  <w:bCs/>
                  <w:kern w:val="2"/>
                  <w:szCs w:val="24"/>
                  <w:shd w:val="clear" w:color="auto" w:fill="FFFFFF"/>
                  <w:lang w:eastAsia="ar-SA"/>
                </w:rPr>
                <w:t xml:space="preserve">. Pakeisti </w:t>
              </w:r>
              <w:r>
                <w:rPr>
                  <w:rFonts w:eastAsia="Andale Sans UI"/>
                  <w:color w:val="000000"/>
                  <w:spacing w:val="-4"/>
                  <w:kern w:val="2"/>
                  <w:szCs w:val="24"/>
                  <w:lang w:eastAsia="ar-SA"/>
                </w:rPr>
                <w:t>nurodytu sprendimu patvirtintą </w:t>
              </w:r>
              <w:r>
                <w:rPr>
                  <w:rFonts w:eastAsia="Andale Sans UI"/>
                  <w:bCs/>
                  <w:kern w:val="2"/>
                  <w:szCs w:val="24"/>
                  <w:shd w:val="clear" w:color="auto" w:fill="FFFFFF"/>
                  <w:lang w:eastAsia="ar-SA"/>
                </w:rPr>
                <w:t>Šiaulių miesto savivaldybės tarybos veiklos reglamentą:</w:t>
              </w:r>
            </w:p>
            <w:sdt>
              <w:sdtPr>
                <w:alias w:val="2.1 pp."/>
                <w:tag w:val="part_595141a70fec42beba1fb7cac461a373"/>
                <w:lock w:val="sdtLocked"/>
                <w:richText/>
              </w:sdtPr>
              <w:sdtContent>
                <w:p w14:paraId="1970811C" w14:textId="53990DF1">
                  <w:pPr>
                    <w:widowControl w:val="0"/>
                    <w:suppressAutoHyphens/>
                    <w:ind w:firstLine="709"/>
                    <w:jc w:val="both"/>
                    <w:rPr>
                      <w:rFonts w:eastAsia="Andale Sans UI"/>
                      <w:bCs/>
                      <w:kern w:val="2"/>
                      <w:szCs w:val="24"/>
                      <w:lang w:eastAsia="ar-SA"/>
                    </w:rPr>
                  </w:pPr>
                  <w:sdt>
                    <w:sdtPr>
                      <w:alias w:val="Numeris"/>
                      <w:tag w:val="nr_595141a70fec42beba1fb7cac461a373"/>
                      <w:lock w:val="sdtLocked"/>
                      <w:richText/>
                    </w:sdtPr>
                    <w:sdtContent>
                      <w:r>
                        <w:rPr>
                          <w:rFonts w:eastAsia="Andale Sans UI"/>
                          <w:bCs/>
                          <w:kern w:val="2"/>
                          <w:szCs w:val="24"/>
                          <w:shd w:val="clear" w:color="auto" w:fill="FFFFFF"/>
                          <w:lang w:eastAsia="ar-SA"/>
                        </w:rPr>
                        <w:t>2.1</w:t>
                      </w:r>
                    </w:sdtContent>
                  </w:sdt>
                  <w:r>
                    <w:rPr>
                      <w:rFonts w:eastAsia="Andale Sans UI"/>
                      <w:bCs/>
                      <w:kern w:val="2"/>
                      <w:szCs w:val="24"/>
                      <w:shd w:val="clear" w:color="auto" w:fill="FFFFFF"/>
                      <w:lang w:eastAsia="ar-SA"/>
                    </w:rPr>
                    <w:t xml:space="preserve">. </w:t>
                  </w:r>
                  <w:r>
                    <w:rPr>
                      <w:rFonts w:eastAsia="Andale Sans UI"/>
                      <w:bCs/>
                      <w:kern w:val="2"/>
                      <w:szCs w:val="24"/>
                      <w:lang w:eastAsia="ar-SA"/>
                    </w:rPr>
                    <w:t xml:space="preserve">Pripažinti netekusiu galios 35.7 punktą. </w:t>
                  </w:r>
                </w:p>
              </w:sdtContent>
            </w:sdt>
            <w:sdt>
              <w:sdtPr>
                <w:alias w:val="2.2 pp."/>
                <w:tag w:val="part_5c2fee29528d4846a307f4cdafd9e13d"/>
                <w:lock w:val="sdtLocked"/>
                <w:richText/>
              </w:sdtPr>
              <w:sdtContent>
                <w:p w14:paraId="6E1B92CA" w14:textId="31B8A9DF">
                  <w:pPr>
                    <w:widowControl w:val="0"/>
                    <w:suppressAutoHyphens/>
                    <w:ind w:firstLine="709"/>
                    <w:jc w:val="both"/>
                    <w:rPr>
                      <w:rFonts w:eastAsia="Andale Sans UI"/>
                      <w:bCs/>
                      <w:kern w:val="2"/>
                      <w:szCs w:val="24"/>
                      <w:vertAlign w:val="superscript"/>
                      <w:lang w:eastAsia="ar-SA"/>
                    </w:rPr>
                  </w:pPr>
                  <w:sdt>
                    <w:sdtPr>
                      <w:alias w:val="Numeris"/>
                      <w:tag w:val="nr_5c2fee29528d4846a307f4cdafd9e13d"/>
                      <w:lock w:val="sdtLocked"/>
                      <w:richText/>
                    </w:sdtPr>
                    <w:sdtContent>
                      <w:r>
                        <w:rPr>
                          <w:rFonts w:eastAsia="Andale Sans UI"/>
                          <w:bCs/>
                          <w:kern w:val="2"/>
                          <w:szCs w:val="24"/>
                          <w:lang w:eastAsia="ar-SA"/>
                        </w:rPr>
                        <w:t>2.2</w:t>
                      </w:r>
                    </w:sdtContent>
                  </w:sdt>
                  <w:r>
                    <w:rPr>
                      <w:rFonts w:eastAsia="Andale Sans UI"/>
                      <w:bCs/>
                      <w:kern w:val="2"/>
                      <w:szCs w:val="24"/>
                      <w:lang w:eastAsia="ar-SA"/>
                    </w:rPr>
                    <w:t>. Pakeisti 44 punktą ir jį išdėstyti taip:</w:t>
                  </w:r>
                </w:p>
                <w:sdt>
                  <w:sdtPr>
                    <w:alias w:val="citata"/>
                    <w:tag w:val="part_560c5426797141e9b03819b2c40834b5"/>
                    <w:lock w:val="sdtLocked"/>
                    <w:richText/>
                  </w:sdtPr>
                  <w:sdtContent>
                    <w:sdt>
                      <w:sdtPr>
                        <w:alias w:val="44 p."/>
                        <w:tag w:val="part_f117826ea1ec4319a76724267b031c5c"/>
                        <w:lock w:val="sdtLocked"/>
                        <w:richText/>
                      </w:sdtPr>
                      <w:sdtContent>
                        <w:p w14:paraId="3A3A889D" w14:textId="6BB9D5E7">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f117826ea1ec4319a76724267b031c5c"/>
                              <w:lock w:val="sdtLocked"/>
                              <w:richText/>
                            </w:sdtPr>
                            <w:sdtContent>
                              <w:r>
                                <w:rPr>
                                  <w:rFonts w:eastAsia="Andale Sans UI"/>
                                  <w:color w:val="000000"/>
                                  <w:kern w:val="2"/>
                                  <w:szCs w:val="24"/>
                                  <w:lang w:eastAsia="ar-SA"/>
                                </w:rPr>
                                <w:t>44</w:t>
                              </w:r>
                            </w:sdtContent>
                          </w:sdt>
                          <w:r>
                            <w:rPr>
                              <w:rFonts w:eastAsia="Andale Sans UI"/>
                              <w:color w:val="000000"/>
                              <w:kern w:val="2"/>
                              <w:szCs w:val="24"/>
                              <w:lang w:eastAsia="ar-SA"/>
                            </w:rPr>
                            <w:t>. Posėdžio pirmininkas turi teisę leisti posėdyje kalbėti Savivaldybės kontrolieriui, direktoriui ir kviestiesiems asmenims. Kviestiesiems asmenims apie kvietimą dalyvauti Tarybos posėdyje praneša Sekretoriatas sprendimo projekto rengėjo (pranešėjo) prašymu ir mero sutikimu. Tarybos nariai po kviestųjų asmenų pranešimų turi teisę jiems užduoti klausimus. Jeigu Tarybos posėdyje svarstomas klausimas yra susijęs su kitais posėdyje dalyvaujančiais asmenimis, jiems leidžiama užduoti klausimų pranešėjams ir kalbėti bendra tvarka.</w:t>
                          </w:r>
                          <w:r>
                            <w:rPr>
                              <w:rFonts w:eastAsia="Andale Sans UI"/>
                              <w:bCs/>
                              <w:kern w:val="2"/>
                              <w:szCs w:val="24"/>
                              <w:shd w:val="clear" w:color="auto" w:fill="FFFFFF"/>
                              <w:lang w:eastAsia="ar-SA"/>
                            </w:rPr>
                            <w:t>“</w:t>
                          </w:r>
                        </w:p>
                      </w:sdtContent>
                    </w:sdt>
                  </w:sdtContent>
                </w:sdt>
              </w:sdtContent>
            </w:sdt>
            <w:sdt>
              <w:sdtPr>
                <w:alias w:val="2.3 pp."/>
                <w:tag w:val="part_caed1239753a4f6d9f7cc104ad40aad1"/>
                <w:lock w:val="sdtLocked"/>
                <w:richText/>
              </w:sdtPr>
              <w:sdtContent>
                <w:p w14:paraId="64E8BE49" w14:textId="7885D268">
                  <w:pPr>
                    <w:widowControl w:val="0"/>
                    <w:suppressAutoHyphens/>
                    <w:ind w:firstLine="709"/>
                    <w:jc w:val="both"/>
                    <w:rPr>
                      <w:rFonts w:eastAsia="Andale Sans UI"/>
                      <w:bCs/>
                      <w:kern w:val="2"/>
                      <w:szCs w:val="24"/>
                      <w:vertAlign w:val="superscript"/>
                      <w:lang w:eastAsia="ar-SA"/>
                    </w:rPr>
                  </w:pPr>
                  <w:sdt>
                    <w:sdtPr>
                      <w:alias w:val="Numeris"/>
                      <w:tag w:val="nr_caed1239753a4f6d9f7cc104ad40aad1"/>
                      <w:lock w:val="sdtLocked"/>
                      <w:richText/>
                    </w:sdtPr>
                    <w:sdtContent>
                      <w:r>
                        <w:rPr>
                          <w:rFonts w:eastAsia="Andale Sans UI"/>
                          <w:bCs/>
                          <w:kern w:val="2"/>
                          <w:szCs w:val="24"/>
                          <w:shd w:val="clear" w:color="auto" w:fill="FFFFFF"/>
                          <w:lang w:eastAsia="ar-SA"/>
                        </w:rPr>
                        <w:t>2.3</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121 punktą ir jį išdėstyti taip:</w:t>
                  </w:r>
                </w:p>
                <w:sdt>
                  <w:sdtPr>
                    <w:alias w:val="citata"/>
                    <w:tag w:val="part_1c8f7c839cf146858cea76c95f5055e4"/>
                    <w:lock w:val="sdtLocked"/>
                    <w:richText/>
                  </w:sdtPr>
                  <w:sdtContent>
                    <w:sdt>
                      <w:sdtPr>
                        <w:alias w:val="121 p."/>
                        <w:tag w:val="part_ff59c0b321584e7ebd65a3b4b8390d29"/>
                        <w:lock w:val="sdtLocked"/>
                        <w:richText/>
                      </w:sdtPr>
                      <w:sdtContent>
                        <w:p w14:paraId="4A2B5636" w14:textId="7D7CA228">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ff59c0b321584e7ebd65a3b4b8390d29"/>
                              <w:lock w:val="sdtLocked"/>
                              <w:richText/>
                            </w:sdtPr>
                            <w:sdtContent>
                              <w:r>
                                <w:rPr>
                                  <w:rFonts w:eastAsia="Andale Sans UI"/>
                                  <w:color w:val="000000"/>
                                  <w:kern w:val="2"/>
                                  <w:szCs w:val="24"/>
                                  <w:lang w:eastAsia="ar-SA"/>
                                </w:rPr>
                                <w:t>121</w:t>
                              </w:r>
                            </w:sdtContent>
                          </w:sdt>
                          <w:r>
                            <w:rPr>
                              <w:rFonts w:eastAsia="Andale Sans UI"/>
                              <w:color w:val="000000"/>
                              <w:kern w:val="2"/>
                              <w:szCs w:val="24"/>
                              <w:lang w:eastAsia="ar-SA"/>
                            </w:rPr>
                            <w:t>. Komitetų posėdžiai yra teisėti, kai juose dalyvauja daugiau kaip pusė visų narių. Nesusirinkus komiteto kvorumui, posėdis nevyksta. Tai įrašoma į protokolą</w:t>
                          </w:r>
                          <w:r>
                            <w:rPr>
                              <w:rFonts w:eastAsia="Andale Sans UI"/>
                              <w:bCs/>
                              <w:kern w:val="2"/>
                              <w:szCs w:val="24"/>
                              <w:shd w:val="clear" w:color="auto" w:fill="FFFFFF"/>
                              <w:lang w:eastAsia="ar-SA"/>
                            </w:rPr>
                            <w:t>.“</w:t>
                          </w:r>
                        </w:p>
                      </w:sdtContent>
                    </w:sdt>
                  </w:sdtContent>
                </w:sdt>
              </w:sdtContent>
            </w:sdt>
            <w:sdt>
              <w:sdtPr>
                <w:alias w:val="2.4 pp."/>
                <w:tag w:val="part_fc53c54660be4ba88ceb90f9d5a2b07f"/>
                <w:lock w:val="sdtLocked"/>
                <w:richText/>
              </w:sdtPr>
              <w:sdtContent>
                <w:p w14:paraId="5414E701" w14:textId="4D5B9D77">
                  <w:pPr>
                    <w:widowControl w:val="0"/>
                    <w:suppressAutoHyphens/>
                    <w:ind w:firstLine="709"/>
                    <w:jc w:val="both"/>
                    <w:rPr>
                      <w:rFonts w:eastAsia="Andale Sans UI"/>
                      <w:bCs/>
                      <w:kern w:val="2"/>
                      <w:szCs w:val="24"/>
                      <w:vertAlign w:val="superscript"/>
                      <w:lang w:eastAsia="ar-SA"/>
                    </w:rPr>
                  </w:pPr>
                  <w:sdt>
                    <w:sdtPr>
                      <w:alias w:val="Numeris"/>
                      <w:tag w:val="nr_fc53c54660be4ba88ceb90f9d5a2b07f"/>
                      <w:lock w:val="sdtLocked"/>
                      <w:richText/>
                    </w:sdtPr>
                    <w:sdtContent>
                      <w:r>
                        <w:rPr>
                          <w:rFonts w:eastAsia="Andale Sans UI"/>
                          <w:bCs/>
                          <w:kern w:val="2"/>
                          <w:szCs w:val="24"/>
                          <w:shd w:val="clear" w:color="auto" w:fill="FFFFFF"/>
                          <w:lang w:eastAsia="ar-SA"/>
                        </w:rPr>
                        <w:t>2.4</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189 punktą ir jį išdėstyti taip:</w:t>
                  </w:r>
                </w:p>
                <w:sdt>
                  <w:sdtPr>
                    <w:alias w:val="citata"/>
                    <w:tag w:val="part_3a6e82a545c7435b977f7ea2389129f1"/>
                    <w:lock w:val="sdtLocked"/>
                    <w:richText/>
                  </w:sdtPr>
                  <w:sdtContent>
                    <w:sdt>
                      <w:sdtPr>
                        <w:alias w:val="189 p."/>
                        <w:tag w:val="part_2e6fef1baf114607a13713412fda30fb"/>
                        <w:lock w:val="sdtLocked"/>
                        <w:richText/>
                      </w:sdtPr>
                      <w:sdtContent>
                        <w:p w14:paraId="4B4E2283" w14:textId="2C46A9E3">
                          <w:pPr>
                            <w:widowControl w:val="0"/>
                            <w:suppressAutoHyphens/>
                            <w:ind w:firstLine="720"/>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2e6fef1baf114607a13713412fda30fb"/>
                              <w:lock w:val="sdtLocked"/>
                              <w:richText/>
                            </w:sdtPr>
                            <w:sdtContent>
                              <w:r>
                                <w:rPr>
                                  <w:rFonts w:eastAsia="Andale Sans UI"/>
                                  <w:color w:val="000000"/>
                                  <w:kern w:val="2"/>
                                  <w:szCs w:val="24"/>
                                  <w:lang w:eastAsia="ar-SA"/>
                                </w:rPr>
                                <w:t>189</w:t>
                              </w:r>
                            </w:sdtContent>
                          </w:sdt>
                          <w:r>
                            <w:rPr>
                              <w:rFonts w:eastAsia="Andale Sans UI"/>
                              <w:color w:val="000000"/>
                              <w:kern w:val="2"/>
                              <w:szCs w:val="24"/>
                              <w:lang w:eastAsia="ar-SA"/>
                            </w:rPr>
                            <w:t>. Mero sprendimai įforminami potvarkiais. Mero potvarkių projektus rengia Savivaldybės administracijos padaliniai ir Sekretoriatas. Potvarkio projektus, išskyrus tuos, kuriuos rengia Sekretoriatas, turi vizuoti Savivaldybės</w:t>
                          </w:r>
                          <w:r>
                            <w:rPr>
                              <w:rFonts w:eastAsia="Andale Sans UI"/>
                              <w:color w:val="000000"/>
                              <w:kern w:val="2"/>
                              <w:szCs w:val="24"/>
                              <w:shd w:val="clear" w:color="auto" w:fill="FFFFFF"/>
                              <w:lang w:eastAsia="ar-SA"/>
                            </w:rPr>
                            <w:t> </w:t>
                          </w:r>
                          <w:r>
                            <w:rPr>
                              <w:rFonts w:eastAsia="Andale Sans UI"/>
                              <w:color w:val="000000"/>
                              <w:kern w:val="2"/>
                              <w:szCs w:val="24"/>
                              <w:lang w:eastAsia="ar-SA"/>
                            </w:rPr>
                            <w:t>administracijos padalinių, su kuriais susijęs klausimas, vedėjai, teisininkas, direktorius.</w:t>
                          </w:r>
                          <w:r>
                            <w:rPr>
                              <w:rFonts w:eastAsia="Andale Sans UI"/>
                              <w:bCs/>
                              <w:kern w:val="2"/>
                              <w:szCs w:val="24"/>
                              <w:shd w:val="clear" w:color="auto" w:fill="FFFFFF"/>
                              <w:lang w:eastAsia="ar-SA"/>
                            </w:rPr>
                            <w:t>“</w:t>
                          </w:r>
                        </w:p>
                        <w:p w14:paraId="7043FBDC" w14:textId="77777777">
                          <w:pPr>
                            <w:widowControl w:val="0"/>
                            <w:suppressAutoHyphens/>
                            <w:ind w:firstLine="709"/>
                            <w:jc w:val="both"/>
                            <w:rPr>
                              <w:rFonts w:eastAsia="Andale Sans UI"/>
                              <w:bCs/>
                              <w:kern w:val="2"/>
                              <w:szCs w:val="24"/>
                              <w:lang w:eastAsia="ar-SA"/>
                            </w:rPr>
                          </w:pPr>
                        </w:p>
                        <w:p w14:paraId="58938B2D" w14:textId="77777777">
                          <w:pPr>
                            <w:jc w:val="center"/>
                            <w:rPr>
                              <w:b/>
                              <w:bCs/>
                              <w:caps/>
                              <w:color w:val="000000"/>
                              <w:sz w:val="27"/>
                              <w:szCs w:val="27"/>
                              <w:lang w:eastAsia="lt-LT"/>
                            </w:rPr>
                          </w:pPr>
                        </w:p>
                        <w:p w14:paraId="57D2DBFA" w14:textId="77777777">
                          <w:pPr>
                            <w:widowControl w:val="0"/>
                            <w:suppressAutoHyphens/>
                            <w:jc w:val="both"/>
                            <w:rPr>
                              <w:rFonts w:eastAsia="Andale Sans UI"/>
                              <w:bCs/>
                              <w:kern w:val="2"/>
                              <w:szCs w:val="24"/>
                              <w:lang w:eastAsia="ar-SA"/>
                            </w:rPr>
                          </w:pPr>
                        </w:p>
                      </w:sdtContent>
                    </w:sdt>
                  </w:sdtContent>
                </w:sdt>
              </w:sdtContent>
            </w:sdt>
          </w:sdtContent>
        </w:sdt>
        <w:sdt>
          <w:sdtPr>
            <w:alias w:val="signatura"/>
            <w:tag w:val="part_c97e248537664bb485334fc25a1ae6d3"/>
            <w:lock w:val="sdtLocked"/>
            <w:richText/>
          </w:sdtPr>
          <w:sdtContent>
            <w:p w14:paraId="1A42534D" w14:textId="4F4DE43B">
              <w:pPr>
                <w:widowControl w:val="0"/>
                <w:suppressAutoHyphens/>
                <w:jc w:val="both"/>
                <w:rPr>
                  <w:rFonts w:eastAsia="Andale Sans UI"/>
                  <w:bCs/>
                  <w:kern w:val="2"/>
                  <w:szCs w:val="24"/>
                  <w:lang w:eastAsia="ar-SA"/>
                </w:rPr>
              </w:pPr>
              <w:r>
                <w:rPr>
                  <w:rFonts w:eastAsia="Andale Sans UI"/>
                  <w:bCs/>
                  <w:kern w:val="2"/>
                  <w:szCs w:val="24"/>
                  <w:lang w:eastAsia="ar-SA"/>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284"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2D18ED" w14:textId="77777777">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14:paraId="62E684DF" w14:textId="77777777">
      <w:pPr>
        <w:widowControl w:val="0"/>
        <w:suppressAutoHyphens/>
        <w:rPr>
          <w:rFonts w:eastAsia="Andale Sans UI"/>
          <w:kern w:val="2"/>
          <w:szCs w:val="24"/>
          <w:lang w:eastAsia="ar-SA"/>
        </w:rPr>
      </w:pPr>
      <w:r>
        <w:rPr>
          <w:rFonts w:eastAsia="Andale Sans UI"/>
          <w:kern w:val="2"/>
          <w:szCs w:val="24"/>
          <w:lang w:eastAsia="ar-SA"/>
        </w:rPr>
        <w:continuationSeparator/>
      </w:r>
    </w:p>
  </w:endnote>
  <w:endnote w:type="continuationNotice" w:id="1">
    <w:p w14:paraId="2D0CC348"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E9B72A" w14:textId="77777777">
    <w:pPr>
      <w:widowControl w:val="0"/>
      <w:tabs>
        <w:tab w:val="center" w:pos="4819"/>
        <w:tab w:val="right" w:pos="9638"/>
      </w:tabs>
      <w:suppressAutoHyphens/>
      <w:rPr>
        <w:rFonts w:eastAsia="Andale Sans UI"/>
        <w:kern w:val="2"/>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70C19" w14:textId="77777777">
    <w:pPr>
      <w:widowControl w:val="0"/>
      <w:tabs>
        <w:tab w:val="center" w:pos="4819"/>
        <w:tab w:val="right" w:pos="9638"/>
      </w:tabs>
      <w:suppressAutoHyphens/>
      <w:rPr>
        <w:rFonts w:eastAsia="Andale Sans UI"/>
        <w:kern w:val="2"/>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FD78B" w14:textId="77777777">
    <w:pPr>
      <w:widowControl w:val="0"/>
      <w:tabs>
        <w:tab w:val="center" w:pos="4819"/>
        <w:tab w:val="right" w:pos="9638"/>
      </w:tabs>
      <w:suppressAutoHyphens/>
      <w:rPr>
        <w:rFonts w:eastAsia="Andale Sans UI"/>
        <w:kern w:val="2"/>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46EDF0" w14:textId="77777777">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14:paraId="71340ED3" w14:textId="77777777">
      <w:pPr>
        <w:widowControl w:val="0"/>
        <w:suppressAutoHyphens/>
        <w:rPr>
          <w:rFonts w:eastAsia="Andale Sans UI"/>
          <w:kern w:val="2"/>
          <w:szCs w:val="24"/>
          <w:lang w:eastAsia="ar-SA"/>
        </w:rPr>
      </w:pPr>
      <w:r>
        <w:rPr>
          <w:rFonts w:eastAsia="Andale Sans UI"/>
          <w:kern w:val="2"/>
          <w:szCs w:val="24"/>
          <w:lang w:eastAsia="ar-SA"/>
        </w:rPr>
        <w:continuationSeparator/>
      </w:r>
    </w:p>
  </w:footnote>
  <w:footnote w:type="continuationNotice" w:id="1">
    <w:p w14:paraId="5CC6DED3"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7A3D8" w14:textId="77777777">
    <w:pPr>
      <w:widowControl w:val="0"/>
      <w:tabs>
        <w:tab w:val="center" w:pos="4819"/>
        <w:tab w:val="right" w:pos="9638"/>
      </w:tabs>
      <w:suppressAutoHyphens/>
      <w:rPr>
        <w:rFonts w:eastAsia="Andale Sans UI"/>
        <w:kern w:val="2"/>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D40AC" w14:textId="77777777">
    <w:pPr>
      <w:widowControl w:val="0"/>
      <w:tabs>
        <w:tab w:val="center" w:pos="4819"/>
        <w:tab w:val="right" w:pos="9638"/>
      </w:tabs>
      <w:suppressAutoHyphens/>
      <w:jc w:val="center"/>
      <w:rPr>
        <w:rFonts w:eastAsia="Andale Sans UI"/>
        <w:kern w:val="2"/>
        <w:szCs w:val="24"/>
        <w:lang w:eastAsia="ar-SA"/>
      </w:rPr>
    </w:pPr>
    <w:r>
      <w:rPr>
        <w:rFonts w:eastAsia="Andale Sans UI"/>
        <w:kern w:val="2"/>
        <w:szCs w:val="24"/>
        <w:lang w:eastAsia="ar-SA"/>
      </w:rPr>
      <w:fldChar w:fldCharType="begin"/>
    </w:r>
    <w:r>
      <w:rPr>
        <w:rFonts w:eastAsia="Andale Sans UI"/>
        <w:kern w:val="2"/>
        <w:szCs w:val="24"/>
        <w:lang w:eastAsia="ar-SA"/>
      </w:rPr>
      <w:instrText>PAGE   \* MERGEFORMAT</w:instrText>
    </w:r>
    <w:r>
      <w:rPr>
        <w:rFonts w:eastAsia="Andale Sans UI"/>
        <w:kern w:val="2"/>
        <w:szCs w:val="24"/>
        <w:lang w:eastAsia="ar-SA"/>
      </w:rPr>
      <w:fldChar w:fldCharType="separate"/>
    </w:r>
    <w:r>
      <w:rPr>
        <w:rFonts w:eastAsia="Andale Sans UI"/>
        <w:kern w:val="2"/>
        <w:szCs w:val="24"/>
        <w:lang w:eastAsia="ar-SA"/>
      </w:rPr>
      <w:t>2</w:t>
    </w:r>
    <w:r>
      <w:rPr>
        <w:rFonts w:eastAsia="Andale Sans UI"/>
        <w:kern w:val="2"/>
        <w:szCs w:val="24"/>
        <w:lang w:eastAsia="ar-SA"/>
      </w:rPr>
      <w:fldChar w:fldCharType="end"/>
    </w:r>
  </w:p>
  <w:p w14:paraId="5816F48E" w14:textId="77777777">
    <w:pPr>
      <w:widowControl w:val="0"/>
      <w:tabs>
        <w:tab w:val="center" w:pos="4819"/>
        <w:tab w:val="right" w:pos="9638"/>
      </w:tabs>
      <w:suppressAutoHyphens/>
      <w:rPr>
        <w:rFonts w:eastAsia="Andale Sans UI"/>
        <w:kern w:val="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5E6F8" w14:textId="6ADDC095">
    <w:pPr>
      <w:widowControl w:val="0"/>
      <w:tabs>
        <w:tab w:val="center" w:pos="4819"/>
        <w:tab w:val="right" w:pos="9638"/>
      </w:tabs>
      <w:suppressAutoHyphens/>
      <w:rPr>
        <w:rFonts w:eastAsia="Andale Sans UI"/>
        <w:kern w:val="2"/>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3BA4CF7"/>
  <w15:chartTrackingRefBased/>
  <w15:docId w15:val="{6F8FF3F2-88F9-4473-9B03-9019417126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349444">
      <w:bodyDiv w:val="1"/>
      <w:marLeft w:val="0"/>
      <w:marRight w:val="0"/>
      <w:marTop w:val="0"/>
      <w:marBottom w:val="0"/>
      <w:divBdr>
        <w:top w:val="none" w:sz="0" w:space="0" w:color="auto"/>
        <w:left w:val="none" w:sz="0" w:space="0" w:color="auto"/>
        <w:bottom w:val="none" w:sz="0" w:space="0" w:color="auto"/>
        <w:right w:val="none" w:sz="0" w:space="0" w:color="auto"/>
      </w:divBdr>
      <w:divsChild>
        <w:div w:id="454829166">
          <w:marLeft w:val="0"/>
          <w:marRight w:val="0"/>
          <w:marTop w:val="0"/>
          <w:marBottom w:val="0"/>
          <w:divBdr>
            <w:top w:val="none" w:sz="0" w:space="0" w:color="auto"/>
            <w:left w:val="none" w:sz="0" w:space="0" w:color="auto"/>
            <w:bottom w:val="none" w:sz="0" w:space="0" w:color="auto"/>
            <w:right w:val="none" w:sz="0" w:space="0" w:color="auto"/>
          </w:divBdr>
        </w:div>
        <w:div w:id="668362919">
          <w:marLeft w:val="0"/>
          <w:marRight w:val="0"/>
          <w:marTop w:val="0"/>
          <w:marBottom w:val="0"/>
          <w:divBdr>
            <w:top w:val="none" w:sz="0" w:space="0" w:color="auto"/>
            <w:left w:val="none" w:sz="0" w:space="0" w:color="auto"/>
            <w:bottom w:val="none" w:sz="0" w:space="0" w:color="auto"/>
            <w:right w:val="none" w:sz="0" w:space="0" w:color="auto"/>
          </w:divBdr>
        </w:div>
        <w:div w:id="932516182">
          <w:marLeft w:val="0"/>
          <w:marRight w:val="0"/>
          <w:marTop w:val="0"/>
          <w:marBottom w:val="0"/>
          <w:divBdr>
            <w:top w:val="none" w:sz="0" w:space="0" w:color="auto"/>
            <w:left w:val="none" w:sz="0" w:space="0" w:color="auto"/>
            <w:bottom w:val="none" w:sz="0" w:space="0" w:color="auto"/>
            <w:right w:val="none" w:sz="0" w:space="0" w:color="auto"/>
          </w:divBdr>
        </w:div>
        <w:div w:id="1063483216">
          <w:marLeft w:val="0"/>
          <w:marRight w:val="0"/>
          <w:marTop w:val="0"/>
          <w:marBottom w:val="0"/>
          <w:divBdr>
            <w:top w:val="none" w:sz="0" w:space="0" w:color="auto"/>
            <w:left w:val="none" w:sz="0" w:space="0" w:color="auto"/>
            <w:bottom w:val="none" w:sz="0" w:space="0" w:color="auto"/>
            <w:right w:val="none" w:sz="0" w:space="0" w:color="auto"/>
          </w:divBdr>
        </w:div>
        <w:div w:id="1464230343">
          <w:marLeft w:val="0"/>
          <w:marRight w:val="0"/>
          <w:marTop w:val="0"/>
          <w:marBottom w:val="0"/>
          <w:divBdr>
            <w:top w:val="none" w:sz="0" w:space="0" w:color="auto"/>
            <w:left w:val="none" w:sz="0" w:space="0" w:color="auto"/>
            <w:bottom w:val="none" w:sz="0" w:space="0" w:color="auto"/>
            <w:right w:val="none" w:sz="0" w:space="0" w:color="auto"/>
          </w:divBdr>
        </w:div>
      </w:divsChild>
    </w:div>
    <w:div w:id="395400871">
      <w:bodyDiv w:val="1"/>
      <w:marLeft w:val="0"/>
      <w:marRight w:val="0"/>
      <w:marTop w:val="0"/>
      <w:marBottom w:val="0"/>
      <w:divBdr>
        <w:top w:val="none" w:sz="0" w:space="0" w:color="auto"/>
        <w:left w:val="none" w:sz="0" w:space="0" w:color="auto"/>
        <w:bottom w:val="none" w:sz="0" w:space="0" w:color="auto"/>
        <w:right w:val="none" w:sz="0" w:space="0" w:color="auto"/>
      </w:divBdr>
    </w:div>
    <w:div w:id="407506938">
      <w:bodyDiv w:val="1"/>
      <w:marLeft w:val="0"/>
      <w:marRight w:val="0"/>
      <w:marTop w:val="0"/>
      <w:marBottom w:val="0"/>
      <w:divBdr>
        <w:top w:val="none" w:sz="0" w:space="0" w:color="auto"/>
        <w:left w:val="none" w:sz="0" w:space="0" w:color="auto"/>
        <w:bottom w:val="none" w:sz="0" w:space="0" w:color="auto"/>
        <w:right w:val="none" w:sz="0" w:space="0" w:color="auto"/>
      </w:divBdr>
      <w:divsChild>
        <w:div w:id="329450633">
          <w:marLeft w:val="0"/>
          <w:marRight w:val="0"/>
          <w:marTop w:val="0"/>
          <w:marBottom w:val="0"/>
          <w:divBdr>
            <w:top w:val="none" w:sz="0" w:space="0" w:color="auto"/>
            <w:left w:val="none" w:sz="0" w:space="0" w:color="auto"/>
            <w:bottom w:val="none" w:sz="0" w:space="0" w:color="auto"/>
            <w:right w:val="none" w:sz="0" w:space="0" w:color="auto"/>
          </w:divBdr>
        </w:div>
        <w:div w:id="126558496">
          <w:marLeft w:val="0"/>
          <w:marRight w:val="0"/>
          <w:marTop w:val="0"/>
          <w:marBottom w:val="0"/>
          <w:divBdr>
            <w:top w:val="none" w:sz="0" w:space="0" w:color="auto"/>
            <w:left w:val="none" w:sz="0" w:space="0" w:color="auto"/>
            <w:bottom w:val="none" w:sz="0" w:space="0" w:color="auto"/>
            <w:right w:val="none" w:sz="0" w:space="0" w:color="auto"/>
          </w:divBdr>
        </w:div>
        <w:div w:id="1427649782">
          <w:marLeft w:val="0"/>
          <w:marRight w:val="0"/>
          <w:marTop w:val="0"/>
          <w:marBottom w:val="0"/>
          <w:divBdr>
            <w:top w:val="none" w:sz="0" w:space="0" w:color="auto"/>
            <w:left w:val="none" w:sz="0" w:space="0" w:color="auto"/>
            <w:bottom w:val="none" w:sz="0" w:space="0" w:color="auto"/>
            <w:right w:val="none" w:sz="0" w:space="0" w:color="auto"/>
          </w:divBdr>
        </w:div>
        <w:div w:id="1183740900">
          <w:marLeft w:val="0"/>
          <w:marRight w:val="0"/>
          <w:marTop w:val="0"/>
          <w:marBottom w:val="0"/>
          <w:divBdr>
            <w:top w:val="none" w:sz="0" w:space="0" w:color="auto"/>
            <w:left w:val="none" w:sz="0" w:space="0" w:color="auto"/>
            <w:bottom w:val="none" w:sz="0" w:space="0" w:color="auto"/>
            <w:right w:val="none" w:sz="0" w:space="0" w:color="auto"/>
          </w:divBdr>
        </w:div>
      </w:divsChild>
    </w:div>
    <w:div w:id="683478045">
      <w:bodyDiv w:val="1"/>
      <w:marLeft w:val="0"/>
      <w:marRight w:val="0"/>
      <w:marTop w:val="0"/>
      <w:marBottom w:val="0"/>
      <w:divBdr>
        <w:top w:val="none" w:sz="0" w:space="0" w:color="auto"/>
        <w:left w:val="none" w:sz="0" w:space="0" w:color="auto"/>
        <w:bottom w:val="none" w:sz="0" w:space="0" w:color="auto"/>
        <w:right w:val="none" w:sz="0" w:space="0" w:color="auto"/>
      </w:divBdr>
      <w:divsChild>
        <w:div w:id="685448175">
          <w:marLeft w:val="0"/>
          <w:marRight w:val="0"/>
          <w:marTop w:val="0"/>
          <w:marBottom w:val="0"/>
          <w:divBdr>
            <w:top w:val="none" w:sz="0" w:space="0" w:color="auto"/>
            <w:left w:val="none" w:sz="0" w:space="0" w:color="auto"/>
            <w:bottom w:val="none" w:sz="0" w:space="0" w:color="auto"/>
            <w:right w:val="none" w:sz="0" w:space="0" w:color="auto"/>
          </w:divBdr>
          <w:divsChild>
            <w:div w:id="825703569">
              <w:marLeft w:val="0"/>
              <w:marRight w:val="0"/>
              <w:marTop w:val="0"/>
              <w:marBottom w:val="0"/>
              <w:divBdr>
                <w:top w:val="none" w:sz="0" w:space="0" w:color="auto"/>
                <w:left w:val="none" w:sz="0" w:space="0" w:color="auto"/>
                <w:bottom w:val="none" w:sz="0" w:space="0" w:color="auto"/>
                <w:right w:val="none" w:sz="0" w:space="0" w:color="auto"/>
              </w:divBdr>
              <w:divsChild>
                <w:div w:id="1484618625">
                  <w:marLeft w:val="0"/>
                  <w:marRight w:val="0"/>
                  <w:marTop w:val="0"/>
                  <w:marBottom w:val="0"/>
                  <w:divBdr>
                    <w:top w:val="none" w:sz="0" w:space="0" w:color="auto"/>
                    <w:left w:val="none" w:sz="0" w:space="0" w:color="auto"/>
                    <w:bottom w:val="none" w:sz="0" w:space="0" w:color="auto"/>
                    <w:right w:val="none" w:sz="0" w:space="0" w:color="auto"/>
                  </w:divBdr>
                  <w:divsChild>
                    <w:div w:id="1093166857">
                      <w:marLeft w:val="0"/>
                      <w:marRight w:val="0"/>
                      <w:marTop w:val="0"/>
                      <w:marBottom w:val="0"/>
                      <w:divBdr>
                        <w:top w:val="none" w:sz="0" w:space="0" w:color="auto"/>
                        <w:left w:val="none" w:sz="0" w:space="0" w:color="auto"/>
                        <w:bottom w:val="none" w:sz="0" w:space="0" w:color="auto"/>
                        <w:right w:val="none" w:sz="0" w:space="0" w:color="auto"/>
                      </w:divBdr>
                      <w:divsChild>
                        <w:div w:id="169188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0614914">
      <w:bodyDiv w:val="1"/>
      <w:marLeft w:val="0"/>
      <w:marRight w:val="0"/>
      <w:marTop w:val="0"/>
      <w:marBottom w:val="0"/>
      <w:divBdr>
        <w:top w:val="none" w:sz="0" w:space="0" w:color="auto"/>
        <w:left w:val="none" w:sz="0" w:space="0" w:color="auto"/>
        <w:bottom w:val="none" w:sz="0" w:space="0" w:color="auto"/>
        <w:right w:val="none" w:sz="0" w:space="0" w:color="auto"/>
      </w:divBdr>
    </w:div>
    <w:div w:id="795752621">
      <w:bodyDiv w:val="1"/>
      <w:marLeft w:val="0"/>
      <w:marRight w:val="0"/>
      <w:marTop w:val="0"/>
      <w:marBottom w:val="0"/>
      <w:divBdr>
        <w:top w:val="none" w:sz="0" w:space="0" w:color="auto"/>
        <w:left w:val="none" w:sz="0" w:space="0" w:color="auto"/>
        <w:bottom w:val="none" w:sz="0" w:space="0" w:color="auto"/>
        <w:right w:val="none" w:sz="0" w:space="0" w:color="auto"/>
      </w:divBdr>
    </w:div>
    <w:div w:id="962689240">
      <w:bodyDiv w:val="1"/>
      <w:marLeft w:val="0"/>
      <w:marRight w:val="0"/>
      <w:marTop w:val="0"/>
      <w:marBottom w:val="0"/>
      <w:divBdr>
        <w:top w:val="none" w:sz="0" w:space="0" w:color="auto"/>
        <w:left w:val="none" w:sz="0" w:space="0" w:color="auto"/>
        <w:bottom w:val="none" w:sz="0" w:space="0" w:color="auto"/>
        <w:right w:val="none" w:sz="0" w:space="0" w:color="auto"/>
      </w:divBdr>
    </w:div>
    <w:div w:id="1103301796">
      <w:bodyDiv w:val="1"/>
      <w:marLeft w:val="0"/>
      <w:marRight w:val="0"/>
      <w:marTop w:val="0"/>
      <w:marBottom w:val="0"/>
      <w:divBdr>
        <w:top w:val="none" w:sz="0" w:space="0" w:color="auto"/>
        <w:left w:val="none" w:sz="0" w:space="0" w:color="auto"/>
        <w:bottom w:val="none" w:sz="0" w:space="0" w:color="auto"/>
        <w:right w:val="none" w:sz="0" w:space="0" w:color="auto"/>
      </w:divBdr>
    </w:div>
    <w:div w:id="1456219524">
      <w:bodyDiv w:val="1"/>
      <w:marLeft w:val="0"/>
      <w:marRight w:val="0"/>
      <w:marTop w:val="0"/>
      <w:marBottom w:val="0"/>
      <w:divBdr>
        <w:top w:val="none" w:sz="0" w:space="0" w:color="auto"/>
        <w:left w:val="none" w:sz="0" w:space="0" w:color="auto"/>
        <w:bottom w:val="none" w:sz="0" w:space="0" w:color="auto"/>
        <w:right w:val="none" w:sz="0" w:space="0" w:color="auto"/>
      </w:divBdr>
      <w:divsChild>
        <w:div w:id="515969147">
          <w:marLeft w:val="0"/>
          <w:marRight w:val="0"/>
          <w:marTop w:val="0"/>
          <w:marBottom w:val="0"/>
          <w:divBdr>
            <w:top w:val="none" w:sz="0" w:space="0" w:color="auto"/>
            <w:left w:val="none" w:sz="0" w:space="0" w:color="auto"/>
            <w:bottom w:val="none" w:sz="0" w:space="0" w:color="auto"/>
            <w:right w:val="none" w:sz="0" w:space="0" w:color="auto"/>
          </w:divBdr>
          <w:divsChild>
            <w:div w:id="1117025142">
              <w:marLeft w:val="0"/>
              <w:marRight w:val="0"/>
              <w:marTop w:val="0"/>
              <w:marBottom w:val="0"/>
              <w:divBdr>
                <w:top w:val="none" w:sz="0" w:space="0" w:color="auto"/>
                <w:left w:val="none" w:sz="0" w:space="0" w:color="auto"/>
                <w:bottom w:val="none" w:sz="0" w:space="0" w:color="auto"/>
                <w:right w:val="none" w:sz="0" w:space="0" w:color="auto"/>
              </w:divBdr>
              <w:divsChild>
                <w:div w:id="1273898729">
                  <w:marLeft w:val="0"/>
                  <w:marRight w:val="0"/>
                  <w:marTop w:val="0"/>
                  <w:marBottom w:val="0"/>
                  <w:divBdr>
                    <w:top w:val="none" w:sz="0" w:space="0" w:color="auto"/>
                    <w:left w:val="none" w:sz="0" w:space="0" w:color="auto"/>
                    <w:bottom w:val="none" w:sz="0" w:space="0" w:color="auto"/>
                    <w:right w:val="none" w:sz="0" w:space="0" w:color="auto"/>
                  </w:divBdr>
                  <w:divsChild>
                    <w:div w:id="257520917">
                      <w:marLeft w:val="0"/>
                      <w:marRight w:val="0"/>
                      <w:marTop w:val="0"/>
                      <w:marBottom w:val="0"/>
                      <w:divBdr>
                        <w:top w:val="none" w:sz="0" w:space="0" w:color="auto"/>
                        <w:left w:val="none" w:sz="0" w:space="0" w:color="auto"/>
                        <w:bottom w:val="none" w:sz="0" w:space="0" w:color="auto"/>
                        <w:right w:val="none" w:sz="0" w:space="0" w:color="auto"/>
                      </w:divBdr>
                      <w:divsChild>
                        <w:div w:id="95722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200584">
      <w:bodyDiv w:val="1"/>
      <w:marLeft w:val="0"/>
      <w:marRight w:val="0"/>
      <w:marTop w:val="0"/>
      <w:marBottom w:val="0"/>
      <w:divBdr>
        <w:top w:val="none" w:sz="0" w:space="0" w:color="auto"/>
        <w:left w:val="none" w:sz="0" w:space="0" w:color="auto"/>
        <w:bottom w:val="none" w:sz="0" w:space="0" w:color="auto"/>
        <w:right w:val="none" w:sz="0" w:space="0" w:color="auto"/>
      </w:divBdr>
      <w:divsChild>
        <w:div w:id="445346833">
          <w:marLeft w:val="0"/>
          <w:marRight w:val="0"/>
          <w:marTop w:val="0"/>
          <w:marBottom w:val="0"/>
          <w:divBdr>
            <w:top w:val="none" w:sz="0" w:space="0" w:color="auto"/>
            <w:left w:val="none" w:sz="0" w:space="0" w:color="auto"/>
            <w:bottom w:val="none" w:sz="0" w:space="0" w:color="auto"/>
            <w:right w:val="none" w:sz="0" w:space="0" w:color="auto"/>
          </w:divBdr>
        </w:div>
        <w:div w:id="1305963193">
          <w:marLeft w:val="0"/>
          <w:marRight w:val="0"/>
          <w:marTop w:val="0"/>
          <w:marBottom w:val="0"/>
          <w:divBdr>
            <w:top w:val="none" w:sz="0" w:space="0" w:color="auto"/>
            <w:left w:val="none" w:sz="0" w:space="0" w:color="auto"/>
            <w:bottom w:val="none" w:sz="0" w:space="0" w:color="auto"/>
            <w:right w:val="none" w:sz="0" w:space="0" w:color="auto"/>
          </w:divBdr>
        </w:div>
        <w:div w:id="1647129132">
          <w:marLeft w:val="0"/>
          <w:marRight w:val="0"/>
          <w:marTop w:val="0"/>
          <w:marBottom w:val="0"/>
          <w:divBdr>
            <w:top w:val="none" w:sz="0" w:space="0" w:color="auto"/>
            <w:left w:val="none" w:sz="0" w:space="0" w:color="auto"/>
            <w:bottom w:val="none" w:sz="0" w:space="0" w:color="auto"/>
            <w:right w:val="none" w:sz="0" w:space="0" w:color="auto"/>
          </w:divBdr>
        </w:div>
        <w:div w:id="16842375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9fda62c63804ddb83bd3134abfbcfa2" PartId="811d8e9ff3f744348646529ae0e052d0">
    <Part Type="preambule" DocPartId="01db35befa06490183b9888baa045332" PartId="5e9c35f7074d4da4a7f8937a4b76af75"/>
    <Part Type="pastraipa" DocPartId="273e618d21b9443493a4cf768f6aa2bc" PartId="793b4105b329447b8deba2b3dca7175e"/>
    <Part Type="punktas" Nr="1" Abbr="1 p." DocPartId="832edccd7c2c4f3f8e7790b0155b90e7" PartId="53274ee974ac4075a7cf98304b48c224">
      <Part Type="citata" DocPartId="b91f0b032df047169dd72667a0bbc6ae" PartId="c5063c19ba0949b88852f70bbcfcc82d">
        <Part Type="pastraipa" DocPartId="08ec58393bbf4196895666cb5be9dd8f" PartId="dfaa52f65c5345d1b20a5a42263d306e"/>
      </Part>
    </Part>
    <Part Type="punktas" Nr="2" Abbr="2 p." DocPartId="bb938a0f0f274cbf931399e2f0d96883" PartId="0d0f83cd01f04afb929159ee303de318">
      <Part Type="papunktis" Nr="2.1" Abbr="2.1 pp." DocPartId="83dbe8ca84df49a8b4f3bcb614f11407" PartId="595141a70fec42beba1fb7cac461a373"/>
      <Part Type="papunktis" Nr="2.2" Abbr="2.2 pp." DocPartId="d9d271fed7cb492a8f8bad2079bb45cf" PartId="5c2fee29528d4846a307f4cdafd9e13d">
        <Part Type="citata" DocPartId="5590a65d579a42b78d6961b0759aab8f" PartId="560c5426797141e9b03819b2c40834b5">
          <Part Type="punktas" Nr="44" Abbr="44 p." DocPartId="9a7a6a43c5fc434db27f99d0c27de4e8" PartId="f117826ea1ec4319a76724267b031c5c"/>
        </Part>
      </Part>
      <Part Type="papunktis" Nr="2.3" Abbr="2.3 pp." DocPartId="6e06cecb1c484006b926dd7f0edb3438" PartId="caed1239753a4f6d9f7cc104ad40aad1">
        <Part Type="citata" DocPartId="bbf2bade934347f4a1a853573f923308" PartId="1c8f7c839cf146858cea76c95f5055e4">
          <Part Type="punktas" Nr="121" Abbr="121 p." DocPartId="790b3d9c5d6c4ad29cfbc065f9219990" PartId="ff59c0b321584e7ebd65a3b4b8390d29"/>
        </Part>
      </Part>
      <Part Type="papunktis" Nr="2.4" Abbr="2.4 pp." DocPartId="4ffdbab1857449739edbec247e9c409f" PartId="fc53c54660be4ba88ceb90f9d5a2b07f">
        <Part Type="citata" DocPartId="629814b0c95e4485bede7e5ebbc825d9" PartId="3a6e82a545c7435b977f7ea2389129f1">
          <Part Type="punktas" Nr="189" Abbr="189 p." DocPartId="28d0ce80c0284b5197761d7c49e41f82" PartId="2e6fef1baf114607a13713412fda30fb"/>
        </Part>
      </Part>
    </Part>
    <Part Type="signatura" DocPartId="bde0a72e858e40ca95d11a46dee06b01" PartId="c97e248537664bb485334fc25a1ae6d3"/>
  </Part>
</Parts>
</file>

<file path=customXml/itemProps1.xml><?xml version="1.0" encoding="utf-8"?>
<ds:datastoreItem xmlns:ds="http://schemas.openxmlformats.org/officeDocument/2006/customXml" ds:itemID="{DAF25AC4-C092-4C1D-B9A7-BE22711C96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260</Words>
  <Characters>1832</Characters>
  <Application>Microsoft Office Word</Application>
  <DocSecurity>4</DocSecurity>
  <Lines>41</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2024-10-21T10:09:00Z</dcterms:created>
  <dc:creator>ARNAS ILGAUSKAS</dc:creator>
  <lastModifiedBy>adlibuser</lastModifiedBy>
  <lastPrinted>2022-05-19T05:53:00Z</lastPrinted>
  <dcterms:modified xsi:type="dcterms:W3CDTF">2024-10-21T10:09:00Z</dcterms:modified>
  <revision>2</revision>
</coreProperties>
</file>