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</w:p>
    <w:p/>
    <w:p>
      <w:pPr>
        <w:widowControl w:val="0"/>
        <w:suppressAutoHyphens/>
        <w:jc w:val="center"/>
        <w:rPr>
          <w:rFonts w:eastAsia="HG Mincho Light J"/>
          <w:b/>
          <w:color w:val="000000"/>
          <w:szCs w:val="24"/>
          <w:lang w:eastAsia="lt-LT"/>
        </w:rPr>
      </w:pPr>
      <w:r>
        <w:rPr>
          <w:rFonts w:eastAsia="HG Mincho Light J"/>
          <w:b/>
          <w:color w:val="000000"/>
          <w:szCs w:val="24"/>
          <w:lang w:eastAsia="lt-LT"/>
        </w:rPr>
        <w:t>ŠIAULIŲ MIESTO SAVIVALDYBĖS TARYBA</w:t>
      </w:r>
    </w:p>
    <w:p>
      <w:pPr>
        <w:widowControl w:val="0"/>
        <w:suppressAutoHyphens/>
        <w:jc w:val="center"/>
        <w:rPr>
          <w:rFonts w:eastAsia="HG Mincho Light J"/>
          <w:b/>
          <w:color w:val="000000"/>
          <w:szCs w:val="24"/>
          <w:lang w:eastAsia="lt-LT"/>
        </w:rPr>
      </w:pPr>
    </w:p>
    <w:p>
      <w:pPr>
        <w:widowControl w:val="0"/>
        <w:suppressAutoHyphens/>
        <w:jc w:val="center"/>
        <w:rPr>
          <w:rFonts w:eastAsia="HG Mincho Light J"/>
          <w:b/>
          <w:color w:val="000000"/>
          <w:szCs w:val="24"/>
          <w:lang w:eastAsia="lt-LT"/>
        </w:rPr>
      </w:pPr>
      <w:r>
        <w:rPr>
          <w:rFonts w:eastAsia="HG Mincho Light J"/>
          <w:b/>
          <w:color w:val="000000"/>
          <w:szCs w:val="24"/>
          <w:lang w:eastAsia="lt-LT"/>
        </w:rPr>
        <w:t>SPRENDIMAS</w:t>
      </w:r>
    </w:p>
    <w:p>
      <w:pPr>
        <w:widowControl w:val="0"/>
        <w:suppressAutoHyphens/>
        <w:jc w:val="center"/>
        <w:rPr>
          <w:rFonts w:eastAsia="HG Mincho Light J"/>
          <w:b/>
          <w:color w:val="000000"/>
          <w:szCs w:val="24"/>
          <w:lang w:eastAsia="lt-LT"/>
        </w:rPr>
      </w:pPr>
      <w:r>
        <w:rPr>
          <w:rFonts w:eastAsia="HG Mincho Light J"/>
          <w:b/>
          <w:color w:val="000000"/>
          <w:szCs w:val="24"/>
          <w:lang w:eastAsia="lt-LT"/>
        </w:rPr>
        <w:t>DĖL ŠIAULIŲ MIESTO SAVIVALDYBĖS TARYBOS 2022 M. BALANDŽIO 7 D. SPRENDIMO NR. T-130 „DĖL VAŽIAVIMO ŠIAULIŲ MIESTO REGULIARAUS SUSISIEKIMO AUTOBUSAIS LENGVATOS KARO PABĖGĖLIAMS IŠ UKRAINOS“ PAKEITIMO</w:t>
      </w:r>
    </w:p>
    <w:p>
      <w:pPr>
        <w:widowControl w:val="0"/>
        <w:suppressAutoHyphens/>
        <w:jc w:val="center"/>
        <w:rPr>
          <w:rFonts w:eastAsia="HG Mincho Light J"/>
          <w:color w:val="000000"/>
          <w:szCs w:val="24"/>
          <w:lang w:eastAsia="lt-LT"/>
        </w:rPr>
      </w:pPr>
    </w:p>
    <w:p>
      <w:pPr>
        <w:widowControl w:val="0"/>
        <w:suppressAutoHyphens/>
        <w:jc w:val="center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 xml:space="preserve">2022 m.                                      d. Nr.</w:t>
      </w:r>
    </w:p>
    <w:p>
      <w:pPr>
        <w:widowControl w:val="0"/>
        <w:suppressAutoHyphens/>
        <w:jc w:val="center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Šiauliai</w:t>
      </w:r>
    </w:p>
    <w:p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</w:p>
    <w:p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</w:p>
    <w:p>
      <w:pPr>
        <w:widowControl w:val="0"/>
        <w:ind w:firstLine="680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 xml:space="preserve">Vadovaudamasi Lietuvos Respublikos vietos savivaldos įstatymo 18 straipsnio 1 dalimi, siekdama toliau teikti pagalbą asmenims, pasitraukusiems iš Ukrainos dėl Rusijos Federacijos karinių veiksmų ir gyvenantiems Šiaulių mieste (toliau – karo pabėgėliai), Šiaulių miesto savivaldybės taryba </w:t>
      </w:r>
      <w:r>
        <w:rPr>
          <w:rFonts w:eastAsia="HG Mincho Light J"/>
          <w:color w:val="000000"/>
          <w:spacing w:val="40"/>
          <w:szCs w:val="24"/>
          <w:lang w:eastAsia="lt-LT"/>
        </w:rPr>
        <w:t>nusprendžia</w:t>
      </w:r>
      <w:r>
        <w:rPr>
          <w:rFonts w:eastAsia="HG Mincho Light J"/>
          <w:color w:val="000000"/>
          <w:szCs w:val="24"/>
          <w:lang w:eastAsia="lt-LT"/>
        </w:rPr>
        <w:t>:</w:t>
      </w:r>
    </w:p>
    <w:p>
      <w:pPr>
        <w:widowControl w:val="0"/>
        <w:ind w:firstLine="680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Pakeisti Šiaulių miesto savivaldybės tarybos 2022 m. balandžio 7 d. sprendimą Nr. T-130 „Dėl važiavimo Šiaulių miesto reguliaraus susisiekimo autobusais lengvatos karo pabėgėliams iš Ukrainos“:</w:t>
      </w:r>
    </w:p>
    <w:p>
      <w:pPr>
        <w:widowControl w:val="0"/>
        <w:tabs>
          <w:tab w:val="left" w:pos="993"/>
        </w:tabs>
        <w:ind w:firstLine="680"/>
        <w:jc w:val="both"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color w:val="000000"/>
          <w:szCs w:val="24"/>
          <w:lang w:eastAsia="ar-SA"/>
        </w:rPr>
        <w:t>1</w:t>
      </w:r>
      <w:r>
        <w:rPr>
          <w:color w:val="000000"/>
          <w:szCs w:val="24"/>
          <w:lang w:eastAsia="ar-SA"/>
        </w:rPr>
        <w:t>.</w:t>
        <w:tab/>
      </w:r>
      <w:r>
        <w:rPr>
          <w:rFonts w:ascii="Thorndale" w:eastAsia="HG Mincho Light J" w:hAnsi="Thorndale"/>
          <w:color w:val="000000"/>
          <w:szCs w:val="24"/>
          <w:lang w:eastAsia="lt-LT"/>
        </w:rPr>
        <w:t>Pakeisti 2 punktą ir jį išdėstyti taip:</w:t>
      </w:r>
    </w:p>
    <w:p>
      <w:pPr>
        <w:widowControl w:val="0"/>
        <w:ind w:firstLine="680"/>
        <w:jc w:val="both"/>
        <w:rPr>
          <w:rFonts w:eastAsia="HG Mincho Light J"/>
          <w:color w:val="000000"/>
          <w:szCs w:val="24"/>
          <w:shd w:val="clear" w:color="auto" w:fill="FFFFFF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„</w:t>
      </w:r>
      <w:r>
        <w:rPr>
          <w:rFonts w:eastAsia="HG Mincho Light J"/>
          <w:color w:val="000000"/>
          <w:szCs w:val="24"/>
          <w:lang w:eastAsia="lt-LT"/>
        </w:rPr>
        <w:t>2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shd w:val="clear" w:color="auto" w:fill="FFFFFF"/>
          <w:lang w:eastAsia="lt-LT"/>
        </w:rPr>
        <w:t>Kartinis elektroninis bilietas įsigalioja nuo jo išdavimo dienos ir galioja 9 mėnesius. Šio sprendimo 1 punktu nustatyta lengvata taikoma visą kartinio elektroninio bilieto galiojimo laikotarpį (9 mėnesius).“</w:t>
      </w:r>
    </w:p>
    <w:p>
      <w:pPr>
        <w:widowControl w:val="0"/>
        <w:tabs>
          <w:tab w:val="left" w:pos="993"/>
        </w:tabs>
        <w:ind w:firstLine="680"/>
        <w:jc w:val="both"/>
        <w:rPr>
          <w:rFonts w:ascii="Thorndale" w:eastAsia="HG Mincho Light J" w:hAnsi="Thorndale"/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lang w:eastAsia="ar-SA"/>
        </w:rPr>
        <w:t>2</w:t>
      </w:r>
      <w:r>
        <w:rPr>
          <w:color w:val="000000"/>
          <w:lang w:eastAsia="ar-SA"/>
        </w:rPr>
        <w:t>.</w:t>
        <w:tab/>
      </w:r>
      <w:r>
        <w:rPr>
          <w:rFonts w:ascii="Thorndale" w:eastAsia="HG Mincho Light J" w:hAnsi="Thorndale"/>
          <w:color w:val="000000"/>
          <w:szCs w:val="24"/>
          <w:shd w:val="clear" w:color="auto" w:fill="FFFFFF"/>
          <w:lang w:eastAsia="lt-LT"/>
        </w:rPr>
        <w:t>Pakeisti 2</w:t>
      </w:r>
      <w:r>
        <w:rPr>
          <w:rFonts w:ascii="Thorndale" w:eastAsia="HG Mincho Light J" w:hAnsi="Thorndale"/>
          <w:color w:val="000000"/>
          <w:szCs w:val="24"/>
          <w:shd w:val="clear" w:color="auto" w:fill="FFFFFF"/>
          <w:vertAlign w:val="superscript"/>
          <w:lang w:eastAsia="lt-LT"/>
        </w:rPr>
        <w:t>1</w:t>
      </w:r>
      <w:r>
        <w:rPr>
          <w:rFonts w:ascii="Thorndale" w:eastAsia="HG Mincho Light J" w:hAnsi="Thorndale"/>
          <w:color w:val="000000"/>
          <w:szCs w:val="24"/>
          <w:shd w:val="clear" w:color="auto" w:fill="FFFFFF"/>
          <w:lang w:eastAsia="lt-LT"/>
        </w:rPr>
        <w:t xml:space="preserve"> punktą ir jį išdėstyti taip:</w:t>
      </w:r>
    </w:p>
    <w:p>
      <w:pPr>
        <w:widowControl w:val="0"/>
        <w:ind w:firstLine="680"/>
        <w:jc w:val="both"/>
        <w:rPr>
          <w:rFonts w:eastAsia="HG Mincho Light J"/>
          <w:color w:val="000000"/>
          <w:szCs w:val="24"/>
          <w:shd w:val="clear" w:color="auto" w:fill="FFFFFF"/>
          <w:lang w:eastAsia="lt-LT"/>
        </w:rPr>
      </w:pPr>
      <w:r>
        <w:rPr>
          <w:rFonts w:eastAsia="HG Mincho Light J"/>
          <w:color w:val="000000"/>
          <w:szCs w:val="24"/>
          <w:shd w:val="clear" w:color="auto" w:fill="FFFFFF"/>
          <w:lang w:eastAsia="lt-LT"/>
        </w:rPr>
        <w:t>„</w:t>
      </w:r>
      <w:r>
        <w:rPr>
          <w:rFonts w:eastAsia="HG Mincho Light J"/>
          <w:color w:val="000000"/>
          <w:szCs w:val="24"/>
          <w:shd w:val="clear" w:color="auto" w:fill="FFFFFF"/>
          <w:lang w:eastAsia="lt-LT"/>
        </w:rPr>
        <w:t>2</w:t>
      </w:r>
      <w:r>
        <w:rPr>
          <w:rFonts w:eastAsia="HG Mincho Light J"/>
          <w:color w:val="000000"/>
          <w:szCs w:val="24"/>
          <w:shd w:val="clear" w:color="auto" w:fill="FFFFFF"/>
          <w:vertAlign w:val="superscript"/>
          <w:lang w:eastAsia="lt-LT"/>
        </w:rPr>
        <w:t>1</w:t>
      </w:r>
      <w:r>
        <w:rPr>
          <w:rFonts w:eastAsia="HG Mincho Light J"/>
          <w:color w:val="000000"/>
          <w:szCs w:val="24"/>
          <w:shd w:val="clear" w:color="auto" w:fill="FFFFFF"/>
          <w:lang w:eastAsia="lt-LT"/>
        </w:rPr>
        <w:t>. Nustatyti, kad karo pabėgėliams, įsigijusiems kartinį elektroninį bilietą trumpesniam nei 9 mėnesių laikotarpiui, bilieto galiojimo laikotarpį pratęsia vežėjas. Karo pabėgėliams, įsigyjantiems kartinį elektroninį bilietą pirmą kartą, taikomas 9 mėnesių elektroninio bilieto galiojimo laikotarpis.“</w:t>
      </w:r>
    </w:p>
    <w:p>
      <w:pPr>
        <w:widowControl w:val="0"/>
        <w:tabs>
          <w:tab w:val="left" w:pos="993"/>
        </w:tabs>
        <w:ind w:firstLine="680"/>
        <w:jc w:val="both"/>
        <w:rPr>
          <w:rFonts w:ascii="Thorndale" w:eastAsia="HG Mincho Light J" w:hAnsi="Thorndale"/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lang w:eastAsia="ar-SA"/>
        </w:rPr>
        <w:t>3</w:t>
      </w:r>
      <w:r>
        <w:rPr>
          <w:color w:val="000000"/>
          <w:lang w:eastAsia="ar-SA"/>
        </w:rPr>
        <w:t>.</w:t>
        <w:tab/>
      </w:r>
      <w:r>
        <w:rPr>
          <w:rFonts w:ascii="Thorndale" w:eastAsia="HG Mincho Light J" w:hAnsi="Thorndale"/>
          <w:color w:val="000000"/>
          <w:szCs w:val="24"/>
          <w:shd w:val="clear" w:color="auto" w:fill="FFFFFF"/>
          <w:lang w:eastAsia="lt-LT"/>
        </w:rPr>
        <w:t>Pakeisti 9.2 papunktį ir jį išdėstyti taip:</w:t>
      </w:r>
    </w:p>
    <w:p>
      <w:pPr>
        <w:widowControl w:val="0"/>
        <w:tabs>
          <w:tab w:val="left" w:pos="993"/>
        </w:tabs>
        <w:suppressAutoHyphens/>
        <w:ind w:firstLine="680"/>
        <w:jc w:val="both"/>
        <w:rPr>
          <w:rFonts w:eastAsia="HG Mincho Light J"/>
          <w:color w:val="000000"/>
          <w:szCs w:val="24"/>
          <w:shd w:val="clear" w:color="auto" w:fill="FFFFFF"/>
          <w:lang w:eastAsia="lt-LT"/>
        </w:rPr>
      </w:pPr>
      <w:r>
        <w:rPr>
          <w:rFonts w:eastAsia="HG Mincho Light J"/>
          <w:color w:val="000000"/>
          <w:szCs w:val="24"/>
          <w:shd w:val="clear" w:color="auto" w:fill="FFFFFF"/>
          <w:lang w:eastAsia="lt-LT"/>
        </w:rPr>
        <w:t>„</w:t>
      </w:r>
      <w:r>
        <w:rPr>
          <w:rFonts w:eastAsia="HG Mincho Light J"/>
          <w:color w:val="000000"/>
          <w:szCs w:val="24"/>
          <w:shd w:val="clear" w:color="auto" w:fill="FFFFFF"/>
          <w:lang w:eastAsia="lt-LT"/>
        </w:rPr>
        <w:t>9.2</w:t>
      </w:r>
      <w:r>
        <w:rPr>
          <w:rFonts w:eastAsia="HG Mincho Light J"/>
          <w:color w:val="000000"/>
          <w:szCs w:val="24"/>
          <w:lang w:eastAsia="lt-LT"/>
        </w:rPr>
        <w:t>. ataskaitą (pirminius apskaitos dokumentus) iš elektroninio bilieto sistemos apie faktinį karo pabėgėlių, per kalendorinį mėnesį panaudojusių elektroninio bilieto korteles, kelionių skaičių ir kompensacijos sumą.“</w:t>
      </w:r>
    </w:p>
    <w:p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p>
      <w:pPr>
        <w:widowControl w:val="0"/>
        <w:tabs>
          <w:tab w:val="right" w:pos="9570"/>
        </w:tabs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p>
      <w:pPr>
        <w:widowControl w:val="0"/>
        <w:tabs>
          <w:tab w:val="right" w:pos="9570"/>
        </w:tabs>
        <w:suppressAutoHyphens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Savivaldybės meras</w:t>
      </w:r>
    </w:p>
    <w:sectPr>
      <w:headerReference w:type="default" r:id="rId6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561" w:footer="697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endnote>
  <w:endnote w:type="continuationSeparator" w:id="0">
    <w:p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footnote>
  <w:footnote w:type="continuationSeparator" w:id="0">
    <w:p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num" w:pos="0"/>
        <w:tab w:val="center" w:pos="4986"/>
        <w:tab w:val="right" w:pos="9972"/>
      </w:tabs>
      <w:suppressAutoHyphens/>
      <w:jc w:val="right"/>
      <w:rPr>
        <w:rFonts w:ascii="Thorndale" w:eastAsia="HG Mincho Light J" w:hAnsi="Thorndale"/>
        <w:b/>
        <w:color w:val="000000"/>
        <w:szCs w:val="24"/>
        <w:lang w:eastAsia="lt-LT"/>
      </w:rPr>
    </w:pPr>
    <w:r>
      <w:rPr>
        <w:rFonts w:ascii="Thorndale" w:eastAsia="HG Mincho Light J" w:hAnsi="Thorndale"/>
        <w:b/>
        <w:color w:val="000000"/>
        <w:szCs w:val="24"/>
        <w:lang w:eastAsia="lt-LT"/>
      </w:rPr>
      <w:t xml:space="preserve"> </w:t>
    </w:r>
    <w:r>
      <w:rPr>
        <w:rFonts w:ascii="Thorndale" w:eastAsia="HG Mincho Light J" w:hAnsi="Thorndale"/>
        <w:b/>
        <w:szCs w:val="24"/>
        <w:lang w:eastAsia="lt-LT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FE4F0-3E9C-4BE6-85C9-83177D2E00B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1482</Characters>
  <Application>Microsoft Office Word</Application>
  <DocSecurity>4</DocSecurity>
  <Lines>37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2022-09-12T09:23:00Z</dcterms:created>
  <dc:creator>Violeta Valančienė</dc:creator>
  <lastModifiedBy>adlibuser</lastModifiedBy>
  <dcterms:modified xsi:type="dcterms:W3CDTF">2022-09-12T09:23:00Z</dcterms:modified>
  <revision>2</revision>
</coreProperties>
</file>