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ecb9369e2b4d1ea24521903c6a46dc"/>
        <w:lock w:val="sdtLocked"/>
        <w:richText/>
      </w:sdtPr>
      <w:sdtContent>
        <w:p>
          <w:pPr>
            <w:ind w:left="6480" w:firstLine="1296"/>
            <w:rPr>
              <w:rFonts w:eastAsia="Calibri"/>
              <w:b/>
              <w:bCs/>
              <w:szCs w:val="24"/>
            </w:rPr>
          </w:pPr>
          <w:r>
            <w:rPr>
              <w:rFonts w:eastAsia="Calibri"/>
              <w:b/>
              <w:bCs/>
              <w:szCs w:val="24"/>
            </w:rPr>
            <w:t>Projektas</w:t>
          </w:r>
        </w:p>
        <w:p>
          <w:pPr>
            <w:ind w:left="6480" w:firstLine="1296"/>
            <w:rPr>
              <w:szCs w:val="24"/>
              <w:lang w:val="en-US" w:eastAsia="lt-LT"/>
            </w:rPr>
          </w:pPr>
          <w:r>
            <w:rPr>
              <w:szCs w:val="24"/>
              <w:lang w:eastAsia="lt-LT"/>
            </w:rPr>
            <w:t>Nr. TSP-</w:t>
          </w:r>
        </w:p>
        <w:p>
          <w:pPr>
            <w:jc w:val="cente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rFonts w:eastAsia="Calibri"/>
              <w:b/>
              <w:bCs/>
              <w:szCs w:val="24"/>
            </w:rPr>
          </w:pPr>
          <w:r>
            <w:rPr>
              <w:rFonts w:eastAsia="Calibri"/>
              <w:b/>
              <w:bCs/>
              <w:szCs w:val="24"/>
            </w:rPr>
            <w:t>DĖL PRITARIMO RADVILIŠKIO MIESTO VIETOS VEIKLOS GRUPĖS RADVILIŠKIO MIESTO VIETOS PLĖTROS STRATEGIJOS 2023–2029 M. KEITIMUI</w:t>
          </w:r>
        </w:p>
        <w:p>
          <w:pPr>
            <w:jc w:val="center"/>
            <w:rPr>
              <w:b/>
              <w:bCs/>
              <w:szCs w:val="24"/>
            </w:rPr>
          </w:pPr>
        </w:p>
        <w:p>
          <w:pPr>
            <w:jc w:val="center"/>
            <w:rPr>
              <w:szCs w:val="24"/>
            </w:rPr>
          </w:pPr>
          <w:r>
            <w:rPr>
              <w:szCs w:val="24"/>
            </w:rPr>
            <w:t xml:space="preserve">2026 m.                        d. Nr. T-</w:t>
          </w:r>
        </w:p>
        <w:p>
          <w:pPr>
            <w:jc w:val="center"/>
            <w:rPr>
              <w:szCs w:val="24"/>
            </w:rPr>
          </w:pPr>
          <w:r>
            <w:rPr>
              <w:szCs w:val="24"/>
            </w:rPr>
            <w:t>Radviliškis</w:t>
          </w:r>
        </w:p>
        <w:p>
          <w:pPr>
            <w:jc w:val="center"/>
            <w:rPr>
              <w:sz w:val="22"/>
              <w:szCs w:val="22"/>
            </w:rPr>
          </w:pPr>
        </w:p>
        <w:sdt>
          <w:sdtPr>
            <w:alias w:val="preambule"/>
            <w:tag w:val="part_ca8387c361d541d4b8b22d9c6a146011"/>
            <w:lock w:val="sdtLocked"/>
            <w:richText/>
          </w:sdtPr>
          <w:sdtContent>
            <w:p>
              <w:pPr>
                <w:ind w:firstLine="709"/>
                <w:jc w:val="both"/>
                <w:rPr>
                  <w:rFonts w:ascii="TimesNewRomanPSMT" w:eastAsia="Calibri" w:hAnsi="TimesNewRomanPSMT" w:cs="TimesNewRomanPSMT"/>
                  <w:b/>
                  <w:bCs/>
                  <w:color w:val="FF0000"/>
                  <w:szCs w:val="24"/>
                </w:rPr>
              </w:pPr>
              <w:r>
                <w:rPr>
                  <w:rFonts w:ascii="TimesNewRomanPSMT" w:eastAsia="Calibri" w:hAnsi="TimesNewRomanPSMT" w:cs="TimesNewRomanPSMT"/>
                  <w:szCs w:val="24"/>
                </w:rPr>
                <w:t>Radviliškio rajono savivaldybės taryba n u s p r e n d ž i a</w:t>
              </w:r>
              <w:r>
                <w:rPr>
                  <w:spacing w:val="30"/>
                  <w:szCs w:val="24"/>
                  <w:lang w:eastAsia="lt-LT"/>
                </w:rPr>
                <w:t>:</w:t>
              </w:r>
            </w:p>
          </w:sdtContent>
        </w:sdt>
        <w:sdt>
          <w:sdtPr>
            <w:alias w:val="1 p."/>
            <w:tag w:val="part_1ac164f601fa4ae68875753d1f79faec"/>
            <w:lock w:val="sdtLocked"/>
            <w:richText/>
          </w:sdtPr>
          <w:sdtContent>
            <w:p>
              <w:pPr>
                <w:tabs>
                  <w:tab w:val="left" w:pos="993"/>
                </w:tabs>
                <w:ind w:firstLine="720"/>
                <w:jc w:val="both"/>
                <w:rPr>
                  <w:rFonts w:ascii="TimesNewRomanPSMT" w:eastAsia="Calibri" w:hAnsi="TimesNewRomanPSMT" w:cs="TimesNewRomanPSMT"/>
                  <w:szCs w:val="24"/>
                </w:rPr>
              </w:pPr>
              <w:sdt>
                <w:sdtPr>
                  <w:alias w:val="Numeris"/>
                  <w:tag w:val="nr_1ac164f601fa4ae68875753d1f79faec"/>
                  <w:lock w:val="sdtLocked"/>
                  <w:richText/>
                </w:sdtPr>
                <w:sdtContent>
                  <w:r>
                    <w:rPr>
                      <w:rFonts w:ascii="TimesNewRomanPSMT" w:eastAsia="Calibri" w:hAnsi="TimesNewRomanPSMT" w:cs="TimesNewRomanPSMT"/>
                      <w:szCs w:val="24"/>
                    </w:rPr>
                    <w:t>1</w:t>
                  </w:r>
                </w:sdtContent>
              </w:sdt>
              <w:r>
                <w:rPr>
                  <w:rFonts w:ascii="TimesNewRomanPSMT" w:eastAsia="Calibri" w:hAnsi="TimesNewRomanPSMT" w:cs="TimesNewRomanPSMT"/>
                  <w:szCs w:val="24"/>
                </w:rPr>
                <w:t>.</w:t>
                <w:tab/>
              </w:r>
              <w:r>
                <w:t>Pakeist</w:t>
              </w:r>
              <w:r>
                <w:rPr>
                  <w:spacing w:val="40"/>
                </w:rPr>
                <w:t>i</w:t>
              </w:r>
              <w:r>
                <w:t xml:space="preserve"> Radviliškio rajono savivaldybės tarybos 2023 m. lapkričio 16 d. Radviliškio rajono savivaldybės tarybos sprendimo Nr. T-203 „Dėl pritarimo Radviliškio miesto vietos veiklos grupės Radviliškio miesto vietos plėtros strategijos 2023–2029 m. projektui ir bendrojo finansavimo skyrimo strategijai įgyvendinti“ 1 punktą ir jį išdėstyti taip:</w:t>
              </w:r>
            </w:p>
            <w:sdt>
              <w:sdtPr>
                <w:alias w:val="citata"/>
                <w:tag w:val="part_a75ed3cbc4654feeaffa591b0658ef33"/>
                <w:lock w:val="sdtLocked"/>
                <w:richText/>
              </w:sdtPr>
              <w:sdtContent>
                <w:sdt>
                  <w:sdtPr>
                    <w:alias w:val="1 p."/>
                    <w:tag w:val="part_e05627e7c2fa40ac82dde04817e28c70"/>
                    <w:lock w:val="sdtLocked"/>
                    <w:richText/>
                  </w:sdtPr>
                  <w:sdtContent>
                    <w:p>
                      <w:pPr>
                        <w:ind w:firstLine="782"/>
                        <w:jc w:val="both"/>
                        <w:rPr>
                          <w:rFonts w:ascii="TimesNewRomanPSMT" w:eastAsia="Calibri" w:hAnsi="TimesNewRomanPSMT" w:cs="TimesNewRomanPSMT"/>
                          <w:szCs w:val="24"/>
                        </w:rPr>
                      </w:pPr>
                      <w:r>
                        <w:t>„</w:t>
                      </w:r>
                      <w:sdt>
                        <w:sdtPr>
                          <w:alias w:val="Numeris"/>
                          <w:tag w:val="nr_e05627e7c2fa40ac82dde04817e28c70"/>
                          <w:lock w:val="sdtLocked"/>
                          <w:richText/>
                        </w:sdtPr>
                        <w:sdtContent>
                          <w:r>
                            <w:t>1</w:t>
                          </w:r>
                        </w:sdtContent>
                      </w:sdt>
                      <w:r>
                        <w:t>. Pritarti Radviliškio miesto vietos veiklos grupės parengtai Radviliškio miesto 2023–2029 m. vietos plėtros strategijos naujai redakcijai (pridedama)“</w:t>
                      </w:r>
                      <w:r>
                        <w:rPr>
                          <w:rFonts w:ascii="TimesNewRomanPSMT" w:eastAsia="Calibri" w:hAnsi="TimesNewRomanPSMT" w:cs="TimesNewRomanPSMT"/>
                          <w:szCs w:val="24"/>
                        </w:rPr>
                        <w:t>.</w:t>
                      </w:r>
                    </w:p>
                  </w:sdtContent>
                </w:sdt>
              </w:sdtContent>
            </w:sdt>
          </w:sdtContent>
        </w:sdt>
        <w:sdt>
          <w:sdtPr>
            <w:alias w:val="2 p."/>
            <w:tag w:val="part_8c516dac98da48998238fbd1fbab9802"/>
            <w:lock w:val="sdtLocked"/>
            <w:richText/>
          </w:sdtPr>
          <w:sdtContent>
            <w:p>
              <w:pPr>
                <w:tabs>
                  <w:tab w:val="left" w:pos="993"/>
                </w:tabs>
                <w:ind w:firstLine="720"/>
                <w:jc w:val="both"/>
                <w:rPr>
                  <w:rFonts w:ascii="TimesNewRomanPSMT" w:eastAsia="Calibri" w:hAnsi="TimesNewRomanPSMT" w:cs="TimesNewRomanPSMT"/>
                  <w:spacing w:val="40"/>
                  <w:szCs w:val="24"/>
                </w:rPr>
              </w:pPr>
              <w:sdt>
                <w:sdtPr>
                  <w:alias w:val="Numeris"/>
                  <w:tag w:val="nr_8c516dac98da48998238fbd1fbab9802"/>
                  <w:lock w:val="sdtLocked"/>
                  <w:richText/>
                </w:sdtPr>
                <w:sdtContent>
                  <w:r>
                    <w:rPr>
                      <w:rFonts w:ascii="TimesNewRomanPSMT" w:eastAsia="Calibri" w:hAnsi="TimesNewRomanPSMT" w:cs="TimesNewRomanPSMT"/>
                      <w:spacing w:val="40"/>
                      <w:szCs w:val="24"/>
                    </w:rPr>
                    <w:t>2</w:t>
                  </w:r>
                </w:sdtContent>
              </w:sdt>
              <w:r>
                <w:rPr>
                  <w:rFonts w:ascii="TimesNewRomanPSMT" w:eastAsia="Calibri" w:hAnsi="TimesNewRomanPSMT" w:cs="TimesNewRomanPSMT"/>
                  <w:spacing w:val="40"/>
                  <w:szCs w:val="24"/>
                </w:rPr>
                <w:t>.</w:t>
                <w:tab/>
              </w:r>
              <w:r>
                <w:rPr>
                  <w:rFonts w:ascii="TimesNewRomanPSMT" w:eastAsia="Calibri" w:hAnsi="TimesNewRomanPSMT" w:cs="TimesNewRomanPSMT"/>
                  <w:szCs w:val="24"/>
                </w:rPr>
                <w:t>Panaikint</w:t>
              </w:r>
              <w:r>
                <w:rPr>
                  <w:rFonts w:ascii="TimesNewRomanPSMT" w:eastAsia="Calibri" w:hAnsi="TimesNewRomanPSMT" w:cs="TimesNewRomanPSMT"/>
                  <w:spacing w:val="40"/>
                  <w:szCs w:val="24"/>
                </w:rPr>
                <w:t xml:space="preserve">i </w:t>
              </w:r>
              <w:r>
                <w:t>Radviliškio rajono savivaldybės tarybos 2025 m. rugsėjo 25 d. Radviliškio rajono savivaldybės tarybos sprendimą Nr. T-786 „Dėl pritarimo Radviliškio miesto vietos veiklos grupės Radviliškio miesto vietos plėtros strategijos 2023–2029 m. projektui ir bendrojo finansavimo skyrimo strategijai įgyvendinti“ pakeitimo“.</w:t>
              </w:r>
            </w:p>
            <w:p>
              <w:pPr>
                <w:tabs>
                  <w:tab w:val="left" w:pos="709"/>
                </w:tabs>
                <w:ind w:firstLine="720"/>
                <w:jc w:val="both"/>
              </w:pPr>
            </w:p>
            <w:p>
              <w:pPr>
                <w:tabs>
                  <w:tab w:val="left" w:pos="709"/>
                </w:tabs>
                <w:overflowPunct w:val="0"/>
                <w:ind w:firstLine="720"/>
                <w:jc w:val="both"/>
              </w:pPr>
            </w:p>
            <w:p>
              <w:pPr>
                <w:tabs>
                  <w:tab w:val="left" w:pos="709"/>
                </w:tabs>
                <w:overflowPunct w:val="0"/>
                <w:ind w:firstLine="720"/>
                <w:jc w:val="both"/>
              </w:pPr>
            </w:p>
            <w:p>
              <w:r>
                <w:rPr>
                  <w:szCs w:val="24"/>
                </w:rPr>
                <w:t xml:space="preserve">Savivaldybės meras </w:t>
                <w:tab/>
                <w:tab/>
                <w:tab/>
                <w:tab/>
                <w:t xml:space="preserve">               </w:t>
              </w: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rPr>
                  <w:b/>
                  <w:bCs/>
                  <w:sz w:val="22"/>
                  <w:szCs w:val="22"/>
                  <w:lang w:eastAsia="lt-LT"/>
                </w:rPr>
              </w:pPr>
            </w:p>
            <w:p>
              <w:pPr>
                <w:rPr>
                  <w:sz w:val="20"/>
                </w:rPr>
              </w:pPr>
            </w:p>
            <w:p>
              <w:pPr>
                <w:rPr>
                  <w:b/>
                  <w:bCs/>
                  <w:sz w:val="22"/>
                  <w:szCs w:val="22"/>
                  <w:lang w:eastAsia="lt-LT"/>
                </w:rPr>
              </w:pPr>
            </w:p>
            <w:p>
              <w:pPr>
                <w:rPr>
                  <w:sz w:val="20"/>
                </w:rPr>
              </w:pPr>
            </w:p>
            <w:p>
              <w:pPr>
                <w:rPr>
                  <w:b/>
                  <w:bCs/>
                  <w:sz w:val="22"/>
                  <w:szCs w:val="22"/>
                  <w:lang w:eastAsia="lt-LT"/>
                </w:rPr>
              </w:pPr>
            </w:p>
            <w:p>
              <w:pPr>
                <w:rPr>
                  <w:sz w:val="20"/>
                </w:rPr>
              </w:pPr>
            </w:p>
          </w:sdtContent>
        </w:sdt>
        <w:sdt>
          <w:sdtPr>
            <w:alias w:val="skirsnis"/>
            <w:tag w:val="part_4d357eb414b9446481a1f258a3cee47a"/>
            <w:lock w:val="sdtLocked"/>
            <w:richText/>
          </w:sdtPr>
          <w:sdtContent>
            <w:sdt>
              <w:sdtPr>
                <w:alias w:val="Pavadinimas"/>
                <w:tag w:val="title_4d357eb414b9446481a1f258a3cee47a"/>
                <w:lock w:val="sdtLocked"/>
                <w:richText/>
              </w:sdtPr>
              <w:sdtContent>
                <w:p>
                  <w:pPr>
                    <w:jc w:val="center"/>
                    <w:rPr>
                      <w:rFonts w:eastAsia="Calibri"/>
                      <w:b/>
                      <w:bCs/>
                      <w:szCs w:val="24"/>
                    </w:rPr>
                  </w:pPr>
                  <w:r>
                    <w:rPr>
                      <w:rFonts w:eastAsia="Calibri"/>
                      <w:b/>
                      <w:bCs/>
                      <w:szCs w:val="24"/>
                    </w:rPr>
                    <w:t>RADVILIŠKIO RAJONO SAVIVALDYBĖS TARYBOS SPRENDIMO PROJEKTO</w:t>
                  </w:r>
                </w:p>
                <w:p>
                  <w:pPr>
                    <w:jc w:val="center"/>
                    <w:rPr>
                      <w:rFonts w:eastAsia="Calibri"/>
                      <w:b/>
                      <w:bCs/>
                      <w:szCs w:val="24"/>
                    </w:rPr>
                  </w:pPr>
                  <w:r>
                    <w:rPr>
                      <w:rFonts w:eastAsia="Calibri"/>
                      <w:b/>
                      <w:bCs/>
                      <w:szCs w:val="24"/>
                    </w:rPr>
                    <w:t>„DĖL PRITARIMO RADVILIŠKIO MIESTO VIETOS VEIKLOS GRUPĖS RADVILIŠKIO MIESTO VIETOS PLĖTROS STRATEGIJOS 2023–2029 M. KEITIMUI“</w:t>
                  </w:r>
                </w:p>
                <w:p>
                  <w:pPr>
                    <w:ind w:left="-120"/>
                    <w:jc w:val="center"/>
                    <w:rPr>
                      <w:szCs w:val="24"/>
                      <w:lang w:val="en-US" w:eastAsia="lt-LT"/>
                    </w:rPr>
                  </w:pPr>
                  <w:r>
                    <w:rPr>
                      <w:b/>
                      <w:bCs/>
                      <w:szCs w:val="24"/>
                      <w:lang w:eastAsia="lt-LT"/>
                    </w:rPr>
                    <w:t>AIŠKINAMASIS RAŠTAS</w:t>
                  </w:r>
                </w:p>
              </w:sdtContent>
            </w:sdt>
            <w:p>
              <w:pPr>
                <w:rPr>
                  <w:sz w:val="20"/>
                </w:rPr>
              </w:pPr>
            </w:p>
            <w:p>
              <w:pPr>
                <w:ind w:left="-120"/>
                <w:jc w:val="center"/>
                <w:rPr>
                  <w:szCs w:val="24"/>
                  <w:lang w:eastAsia="lt-LT"/>
                </w:rPr>
              </w:pPr>
              <w:r>
                <w:rPr>
                  <w:szCs w:val="24"/>
                  <w:lang w:eastAsia="lt-LT"/>
                </w:rPr>
                <w:t>2026 m. gegužės 13 d. </w:t>
              </w:r>
            </w:p>
            <w:p>
              <w:pPr>
                <w:jc w:val="center"/>
                <w:rPr>
                  <w:szCs w:val="24"/>
                </w:rPr>
              </w:pPr>
              <w:r>
                <w:rPr>
                  <w:szCs w:val="24"/>
                </w:rPr>
                <w:t>Radviliškis</w:t>
              </w:r>
            </w:p>
            <w:p>
              <w:pPr>
                <w:ind w:right="191" w:firstLine="57"/>
                <w:jc w:val="both"/>
                <w:rPr>
                  <w:szCs w:val="24"/>
                  <w:lang w:val="en-US" w:eastAsia="lt-LT"/>
                </w:rPr>
              </w:pPr>
            </w:p>
            <w:sdt>
              <w:sdtPr>
                <w:alias w:val="1 p."/>
                <w:tag w:val="part_dfe8082115a54b879a6be597956fecbd"/>
                <w:lock w:val="sdtLocked"/>
                <w:richText/>
              </w:sdtPr>
              <w:sdtContent>
                <w:p>
                  <w:pPr>
                    <w:ind w:firstLine="720"/>
                    <w:jc w:val="both"/>
                    <w:rPr>
                      <w:szCs w:val="24"/>
                      <w:lang w:val="en-US" w:eastAsia="lt-LT"/>
                    </w:rPr>
                  </w:pPr>
                  <w:sdt>
                    <w:sdtPr>
                      <w:alias w:val="Numeris"/>
                      <w:tag w:val="nr_dfe8082115a54b879a6be597956fecbd"/>
                      <w:lock w:val="sdtLocked"/>
                      <w:richText/>
                    </w:sdtPr>
                    <w:sdtContent>
                      <w:r>
                        <w:rPr>
                          <w:b/>
                          <w:bCs/>
                          <w:szCs w:val="24"/>
                          <w:lang w:eastAsia="lt-LT"/>
                        </w:rPr>
                        <w:t>1</w:t>
                      </w:r>
                    </w:sdtContent>
                  </w:sdt>
                  <w:r>
                    <w:rPr>
                      <w:b/>
                      <w:bCs/>
                      <w:szCs w:val="24"/>
                      <w:lang w:eastAsia="lt-LT"/>
                    </w:rPr>
                    <w:t xml:space="preserve">. Sprendimo projekto rengimą paskatinusios priežastys, parengto sprendimo projekto tikslas ir uždaviniai. </w:t>
                  </w:r>
                </w:p>
                <w:p>
                  <w:pPr>
                    <w:ind w:firstLine="720"/>
                    <w:jc w:val="both"/>
                    <w:rPr>
                      <w:b/>
                      <w:bCs/>
                      <w:szCs w:val="24"/>
                    </w:rPr>
                  </w:pPr>
                  <w:r>
                    <w:rPr>
                      <w:szCs w:val="24"/>
                      <w:lang w:eastAsia="lt-LT"/>
                    </w:rPr>
                    <w:t xml:space="preserve">Sprendimo projekto rengimą paskatino 2026 m. gegužės 12 d.  asociacijos „</w:t>
                  </w:r>
                  <w:r>
                    <w:rPr>
                      <w:szCs w:val="24"/>
                    </w:rPr>
                    <w:t xml:space="preserve">Radviliškio miesto vietos veiklos grupė“   prašymas „</w:t>
                  </w:r>
                  <w:r>
                    <w:rPr>
                      <w:szCs w:val="24"/>
                      <w:lang w:val="en-US"/>
                    </w:rPr>
                    <w:t>D</w:t>
                  </w:r>
                  <w:r>
                    <w:rPr>
                      <w:szCs w:val="24"/>
                    </w:rPr>
                    <w:t xml:space="preserve">ėl pritarimo Radviliškio miesto 2023–2029 m. vietos plėtros strategijos esminiam keitimui“ . </w:t>
                  </w:r>
                  <w:r>
                    <w:rPr>
                      <w:szCs w:val="24"/>
                      <w:lang w:eastAsia="lt-LT"/>
                    </w:rPr>
                    <w:t>Tikslas – pritarti Radviliškio miesto 2023–2029 m. vietos plėtros strategijos keitimui.</w:t>
                  </w:r>
                </w:p>
              </w:sdtContent>
            </w:sdt>
            <w:sdt>
              <w:sdtPr>
                <w:alias w:val="2 p."/>
                <w:tag w:val="part_3d07fb2b6e2943aa93c160e1e707103d"/>
                <w:lock w:val="sdtLocked"/>
                <w:richText/>
              </w:sdtPr>
              <w:sdtContent>
                <w:p>
                  <w:pPr>
                    <w:ind w:firstLine="720"/>
                    <w:rPr>
                      <w:b/>
                      <w:bCs/>
                      <w:szCs w:val="24"/>
                      <w:lang w:eastAsia="lt-LT"/>
                    </w:rPr>
                  </w:pPr>
                  <w:sdt>
                    <w:sdtPr>
                      <w:alias w:val="Numeris"/>
                      <w:tag w:val="nr_3d07fb2b6e2943aa93c160e1e707103d"/>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ind w:firstLine="720"/>
                    <w:rPr>
                      <w:szCs w:val="24"/>
                      <w:lang w:eastAsia="lt-LT"/>
                    </w:rPr>
                  </w:pPr>
                  <w:r>
                    <w:rPr>
                      <w:szCs w:val="24"/>
                      <w:lang w:eastAsia="lt-LT"/>
                    </w:rPr>
                    <w:t xml:space="preserve">Projekto iniciatorius – Radviliškio miesto vietos veiklos grupė. </w:t>
                    <w:br/>
                    <w:t xml:space="preserve">Projekto rengėjas – Rimvydas Aleknavičius, Radviliškio rajono savivaldybės administracijos jaunimo reikalų koordinatorius (patarėjas). </w:t>
                  </w:r>
                </w:p>
              </w:sdtContent>
            </w:sdt>
            <w:sdt>
              <w:sdtPr>
                <w:alias w:val="3 p."/>
                <w:tag w:val="part_d0d9bd6c67a5486aa643bc3b0ea1395b"/>
                <w:lock w:val="sdtLocked"/>
                <w:richText/>
              </w:sdtPr>
              <w:sdtContent>
                <w:p>
                  <w:pPr>
                    <w:ind w:firstLine="720"/>
                    <w:rPr>
                      <w:szCs w:val="24"/>
                    </w:rPr>
                  </w:pPr>
                  <w:sdt>
                    <w:sdtPr>
                      <w:alias w:val="Numeris"/>
                      <w:tag w:val="nr_d0d9bd6c67a5486aa643bc3b0ea1395b"/>
                      <w:lock w:val="sdtLocked"/>
                      <w:richText/>
                    </w:sdtPr>
                    <w:sdtContent>
                      <w:r>
                        <w:rPr>
                          <w:b/>
                          <w:bCs/>
                          <w:color w:val="000000"/>
                          <w:szCs w:val="24"/>
                          <w:lang w:eastAsia="lt-LT"/>
                        </w:rPr>
                        <w:t>3</w:t>
                      </w:r>
                    </w:sdtContent>
                  </w:sdt>
                  <w:r>
                    <w:rPr>
                      <w:b/>
                      <w:bCs/>
                      <w:color w:val="000000"/>
                      <w:szCs w:val="24"/>
                      <w:lang w:eastAsia="lt-LT"/>
                    </w:rPr>
                    <w:t>.  Kaip šiuo metu yra reguliuojami sprendimo projekte aptarti teisiniai santykiai.</w:t>
                  </w:r>
                </w:p>
                <w:p>
                  <w:pPr>
                    <w:ind w:firstLine="720"/>
                    <w:jc w:val="both"/>
                    <w:rPr>
                      <w:szCs w:val="24"/>
                      <w:lang w:eastAsia="lt-LT"/>
                    </w:rPr>
                  </w:pPr>
                  <w:r>
                    <w:rPr>
                      <w:szCs w:val="24"/>
                      <w:lang w:eastAsia="lt-LT"/>
                    </w:rPr>
                    <w:t xml:space="preserve">Radviliškio rajono savivaldybės tarybos 2023 m. lapkričio 16 d. sprendimu </w:t>
                  </w:r>
                  <w:r>
                    <w:rPr>
                      <w:iCs/>
                      <w:szCs w:val="24"/>
                      <w:lang w:eastAsia="lt-LT"/>
                    </w:rPr>
                    <w:t>Nr. T-203 „Dėl pritarimo Radviliškio miesto vietos veiklos grupės Radviliškio miesto vietos plėtros strategijos 2023–2029 m. projektui ir bendrojo finansavimo skyrimo strategijai įgyvendinti“</w:t>
                  </w:r>
                  <w:r>
                    <w:rPr>
                      <w:szCs w:val="24"/>
                      <w:lang w:eastAsia="lt-LT"/>
                    </w:rPr>
                    <w:t xml:space="preserve"> buvo pritarta</w:t>
                  </w:r>
                  <w:r>
                    <w:rPr>
                      <w:iCs/>
                      <w:szCs w:val="24"/>
                      <w:lang w:eastAsia="lt-LT"/>
                    </w:rPr>
                    <w:t xml:space="preserve"> Radviliškio miesto vietos veiklos grupės Radviliškio miesto vietos plėtros strategijos 2023–2029 m. projektui</w:t>
                  </w:r>
                  <w:r>
                    <w:rPr>
                      <w:szCs w:val="24"/>
                      <w:lang w:eastAsia="lt-LT"/>
                    </w:rPr>
                    <w:t xml:space="preserve">. 2025 m. rugsėjo 25 d.  Radviliškio rajono savivaldybės tarybos  sprendimu Nr. T-783 „Dėl 2023 m. lapkričio 16 d.  Radviliškio rajono savivaldybės tarybos sprendimo Nr. T-203 „Dėl pritarimo Radviliškio miesto vietos veiklos grupės Radviliškio miesto vietos plėtros strategijos 2023–2029 m. projektui ir bendrojo finansavimo skyrimo strategijai įgyvendinti“ pakeitimo“ strategija buvo pakeista ir išdėstyta nauja redakcija. </w:t>
                  </w:r>
                </w:p>
                <w:p>
                  <w:pPr>
                    <w:suppressAutoHyphens/>
                    <w:ind w:firstLine="851"/>
                    <w:jc w:val="both"/>
                    <w:textAlignment w:val="baseline"/>
                    <w:rPr>
                      <w:kern w:val="3"/>
                      <w:szCs w:val="24"/>
                      <w:lang w:eastAsia="ar-SA"/>
                    </w:rPr>
                  </w:pPr>
                  <w:r>
                    <w:rPr>
                      <w:kern w:val="3"/>
                      <w:szCs w:val="24"/>
                      <w:lang w:eastAsia="ar-SA"/>
                    </w:rPr>
                    <w:t>Dabartinis strategijos keitimas atliekamas vadovaujantis 2026 m. balandžio 20 d. Lietuvos Respublikos Vidaus reikalų ministro įsakymu Nr. 1V-314 „Dėl vietos plėtros strategijų keitimo inicijavimo, jo esminių sąlygų, pradžios ir pabaigos nustatymo“. Esminis keitimas atliekamas siekiant įgyvendinti 2021–2027 metų Europos Sąjungos fondų investicijų programos, patvirtintos Europos Komisijos 2022 m. rugpjūčio 3 d. sprendimu Nr. C(2022) 5742 15 specialiojo prioriteto „Civilinės infrastruktūros atsparumo ir civilinės parengties stiprinimas“ 15.1 konkretų uždavinį „Sukurti atsparią gynybos infrastruktūrą, pirmenybę teikiant dvejopo naudojimo infrastruktūrai, taip pat, siekti skatinti karinį mobilumą ES ir gerinti civilinę parengtį“ ir 16 specialiojo prioriteto „Civilinės parengties įgūdžių, rengiantis ekstremaliosioms situacijoms ir grėsmėms, stiprinimas “ 16.1 konkretų uždavinį „Skatinti mokymąsi visą gyvenimą, visų pirma siekti, kad visi turėtų lanksčių kvalifikacijos kėlimo ir persikvalifikavimo galimybių, atsižvelgiant į verslumo ir skaitmeninius įgūdžius, geriau numatyti pokyčius ir naujų įgūdžių reikalavimus, grindžiamus darbo rinkos poreikiais, sudaryti palankesnes sąlygas keisti profesinę veiklą ir skatinti profesinį judumą“.</w:t>
                  </w:r>
                </w:p>
              </w:sdtContent>
            </w:sdt>
            <w:sdt>
              <w:sdtPr>
                <w:alias w:val="4 p."/>
                <w:tag w:val="part_8ef8fd69039e465383cf9ba292c33147"/>
                <w:lock w:val="sdtLocked"/>
                <w:richText/>
              </w:sdtPr>
              <w:sdtContent>
                <w:p>
                  <w:pPr>
                    <w:ind w:firstLine="709"/>
                    <w:jc w:val="both"/>
                    <w:rPr>
                      <w:b/>
                      <w:bCs/>
                      <w:szCs w:val="24"/>
                      <w:lang w:eastAsia="lt-LT"/>
                    </w:rPr>
                  </w:pPr>
                  <w:sdt>
                    <w:sdtPr>
                      <w:alias w:val="Numeris"/>
                      <w:tag w:val="nr_8ef8fd69039e465383cf9ba292c33147"/>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pPr>
                    <w:ind w:firstLine="771"/>
                    <w:jc w:val="both"/>
                    <w:rPr>
                      <w:szCs w:val="24"/>
                      <w:lang w:eastAsia="lt-LT"/>
                    </w:rPr>
                  </w:pPr>
                  <w:r>
                    <w:rPr>
                      <w:szCs w:val="24"/>
                      <w:lang w:eastAsia="lt-LT"/>
                    </w:rPr>
                    <w:t>Keičiamas Strategijos finansinis planas, formuojamas naujas 2 tikslas „Didinti Radviliškio miesto gyventojų saugumą, atsparumą ir pasirengimą ekstremaliosioms situacijoms, stiprinant civilinės saugos žinias ir praktinius įgūdžius</w:t>
                  </w:r>
                  <w:r>
                    <w:rPr>
                      <w:bCs/>
                      <w:szCs w:val="24"/>
                      <w:lang w:eastAsia="lt-LT"/>
                    </w:rPr>
                    <w:t>“,</w:t>
                  </w:r>
                  <w:r>
                    <w:rPr>
                      <w:b/>
                      <w:bCs/>
                      <w:szCs w:val="24"/>
                      <w:lang w:eastAsia="lt-LT"/>
                    </w:rPr>
                    <w:t xml:space="preserve"> </w:t>
                  </w:r>
                  <w:r>
                    <w:rPr>
                      <w:szCs w:val="24"/>
                      <w:lang w:eastAsia="lt-LT"/>
                    </w:rPr>
                    <w:t>skirtas didinti Radviliškio miesto gyventojų pasirengimą ekstremaliosioms situacijoms, formuojamas naujas 2.1 uždavinys „</w:t>
                  </w:r>
                  <w:r>
                    <w:rPr>
                      <w:bCs/>
                      <w:szCs w:val="24"/>
                      <w:lang w:eastAsia="lt-LT"/>
                    </w:rPr>
                    <w:t>S</w:t>
                  </w:r>
                  <w:r>
                    <w:rPr>
                      <w:szCs w:val="24"/>
                      <w:lang w:eastAsia="lt-LT"/>
                    </w:rPr>
                    <w:t>tiprinti Radviliškio miesto gyventojų civilinės saugos žinias ir praktinius įgūdžius, užtikrinant jų pasirengimą, gebėjimą reaguoti ir savarankiškai veikti ekstremaliosiomis situacijomis“ ir naujas 2.1.1 veiksmas „Vykdyti Radviliškio gyventojų pasirengimo ekstremaliosioms situacijoms mokymus ir praktinius užsiėmimus“, kurio įgyvendinimui numatoma 100 000,00 Eur (95 proc.) Europos socialinio fondo+ lėšų.</w:t>
                  </w:r>
                </w:p>
                <w:p>
                  <w:pPr>
                    <w:ind w:firstLine="709"/>
                    <w:jc w:val="both"/>
                    <w:rPr>
                      <w:szCs w:val="24"/>
                      <w:lang w:eastAsia="lt-LT"/>
                    </w:rPr>
                  </w:pPr>
                  <w:r>
                    <w:rPr>
                      <w:szCs w:val="24"/>
                      <w:lang w:eastAsia="lt-LT"/>
                    </w:rPr>
                    <w:t xml:space="preserve">Teigiama pasekmė – priėmus sprendimą, bus sustiprintas Radviliškio miesto gyventojų pasirengimas ekstremaliosioms situacijoms, pagerės civilinės saugos žinios ir praktiniai įgūdžiai, didės visuomenės saugumas ir atsparumas krizėms. </w:t>
                  </w:r>
                </w:p>
              </w:sdtContent>
            </w:sdt>
            <w:sdt>
              <w:sdtPr>
                <w:alias w:val="5 p."/>
                <w:tag w:val="part_421e06d8169b45449b66190f11272ba1"/>
                <w:lock w:val="sdtLocked"/>
                <w:richText/>
              </w:sdtPr>
              <w:sdtContent>
                <w:p>
                  <w:pPr>
                    <w:ind w:firstLine="709"/>
                    <w:jc w:val="both"/>
                    <w:rPr>
                      <w:b/>
                      <w:bCs/>
                      <w:szCs w:val="24"/>
                      <w:lang w:eastAsia="lt-LT"/>
                    </w:rPr>
                  </w:pPr>
                  <w:sdt>
                    <w:sdtPr>
                      <w:alias w:val="Numeris"/>
                      <w:tag w:val="nr_421e06d8169b45449b66190f11272ba1"/>
                      <w:lock w:val="sdtLocked"/>
                      <w:richText/>
                    </w:sdtPr>
                    <w:sdtContent>
                      <w:r>
                        <w:rPr>
                          <w:b/>
                          <w:bCs/>
                          <w:szCs w:val="24"/>
                          <w:lang w:eastAsia="lt-LT"/>
                        </w:rPr>
                        <w:t>5</w:t>
                      </w:r>
                    </w:sdtContent>
                  </w:sdt>
                  <w:r>
                    <w:rPr>
                      <w:b/>
                      <w:bCs/>
                      <w:szCs w:val="24"/>
                      <w:lang w:eastAsia="lt-LT"/>
                    </w:rPr>
                    <w:t>. Galimos neigiamos priimto sprendimo projekto pasekmės ir kokių priemonių reiktų imtis, kad tokių pasekmių būtų išvengta.</w:t>
                  </w:r>
                </w:p>
                <w:p>
                  <w:pPr>
                    <w:ind w:firstLine="709"/>
                    <w:rPr>
                      <w:szCs w:val="24"/>
                      <w:lang w:eastAsia="lt-LT"/>
                    </w:rPr>
                  </w:pPr>
                  <w:r>
                    <w:rPr>
                      <w:szCs w:val="24"/>
                      <w:lang w:eastAsia="lt-LT"/>
                    </w:rPr>
                    <w:t>Neigiamų pasekmių nenumatoma.</w:t>
                  </w:r>
                </w:p>
              </w:sdtContent>
            </w:sdt>
            <w:sdt>
              <w:sdtPr>
                <w:alias w:val="6 p."/>
                <w:tag w:val="part_09d4a2d689a54341b1d19882b692c749"/>
                <w:lock w:val="sdtLocked"/>
                <w:richText/>
              </w:sdtPr>
              <w:sdtContent>
                <w:p>
                  <w:pPr>
                    <w:ind w:firstLine="709"/>
                    <w:rPr>
                      <w:szCs w:val="24"/>
                      <w:lang w:eastAsia="lt-LT"/>
                    </w:rPr>
                  </w:pPr>
                  <w:sdt>
                    <w:sdtPr>
                      <w:alias w:val="Numeris"/>
                      <w:tag w:val="nr_09d4a2d689a54341b1d19882b692c749"/>
                      <w:lock w:val="sdtLocked"/>
                      <w:richText/>
                    </w:sdtPr>
                    <w:sdtContent>
                      <w:r>
                        <w:rPr>
                          <w:b/>
                          <w:bCs/>
                          <w:iCs/>
                          <w:szCs w:val="24"/>
                        </w:rPr>
                        <w:t>6</w:t>
                      </w:r>
                    </w:sdtContent>
                  </w:sdt>
                  <w:r>
                    <w:rPr>
                      <w:b/>
                      <w:bCs/>
                      <w:iCs/>
                      <w:szCs w:val="24"/>
                    </w:rPr>
                    <w:t>. Kokius teisės aktus būtina priimti, kokius galiojančius teisės aktus būtina pakeisti</w:t>
                  </w:r>
                </w:p>
              </w:sdtContent>
            </w:sdt>
          </w:sdtContent>
        </w:sdt>
        <w:sdt>
          <w:sdtPr>
            <w:alias w:val="skirsnis"/>
            <w:tag w:val="part_7d59ce662c9f43ce9b5e6057c2f7b342"/>
            <w:lock w:val="sdtLocked"/>
            <w:richText/>
          </w:sdtPr>
          <w:sdtContent>
            <w:p>
              <w:pPr>
                <w:tabs>
                  <w:tab w:val="left" w:pos="1276"/>
                </w:tabs>
                <w:jc w:val="both"/>
                <w:rPr>
                  <w:b/>
                  <w:bCs/>
                  <w:iCs/>
                  <w:szCs w:val="24"/>
                </w:rPr>
              </w:pPr>
              <w:sdt>
                <w:sdtPr>
                  <w:alias w:val="Pavadinimas"/>
                  <w:tag w:val="title_7d59ce662c9f43ce9b5e6057c2f7b342"/>
                  <w:lock w:val="sdtLocked"/>
                  <w:richText/>
                </w:sdtPr>
                <w:sdtContent>
                  <w:r>
                    <w:rPr>
                      <w:b/>
                      <w:bCs/>
                      <w:iCs/>
                      <w:szCs w:val="24"/>
                    </w:rPr>
                    <w:t>ar pripažinti netekusiais galios priėmus sprendimo projektą.</w:t>
                  </w:r>
                </w:sdtContent>
              </w:sdt>
            </w:p>
            <w:p>
              <w:pPr>
                <w:tabs>
                  <w:tab w:val="left" w:pos="1276"/>
                </w:tabs>
                <w:ind w:firstLine="709"/>
                <w:jc w:val="both"/>
                <w:rPr>
                  <w:b/>
                  <w:bCs/>
                  <w:iCs/>
                  <w:szCs w:val="24"/>
                </w:rPr>
              </w:pPr>
              <w:r>
                <w:rPr>
                  <w:iCs/>
                  <w:szCs w:val="24"/>
                </w:rPr>
                <w:t xml:space="preserve">Priėmus šį sprendimą, bus pakeistas Radviliškio rajono savivaldybės tarybos 2023 m. lapkričio 16 d. sprendimas Nr. T-203 „Dėl pritarimo Radviliškio miesto vietos veiklos grupės Radviliškio miesto vietos plėtros strategijos 2023–2029 m. projektui ir bendrojo finansavimo skyrimo strategijai įgyvendinti“, panaikintas Radviliškio rajono savivaldybės tarybos 2025 m. rugsėjo 25 d. Radviliškio rajono savivaldybės tarybos sprendimą Nr. T-786 „Dėl pritarimo Radviliškio miesto vietos veiklos grupės Radviliškio miesto vietos plėtros strategijos 2023–2029 m. projektui ir bendrojo finansavimo skyrimo strategijai įgyvendinti“ pakeitimo“. </w:t>
              </w:r>
            </w:p>
            <w:sdt>
              <w:sdtPr>
                <w:alias w:val="7 p."/>
                <w:tag w:val="part_3f1ce461249646b29c0fe95cddc89340"/>
                <w:lock w:val="sdtLocked"/>
                <w:richText/>
              </w:sdtPr>
              <w:sdtContent>
                <w:p>
                  <w:pPr>
                    <w:tabs>
                      <w:tab w:val="left" w:pos="1276"/>
                    </w:tabs>
                    <w:ind w:firstLine="709"/>
                    <w:jc w:val="both"/>
                    <w:rPr>
                      <w:b/>
                      <w:bCs/>
                      <w:iCs/>
                      <w:szCs w:val="24"/>
                    </w:rPr>
                  </w:pPr>
                  <w:sdt>
                    <w:sdtPr>
                      <w:alias w:val="Numeris"/>
                      <w:tag w:val="nr_3f1ce461249646b29c0fe95cddc89340"/>
                      <w:lock w:val="sdtLocked"/>
                      <w:richText/>
                    </w:sdtPr>
                    <w:sdtContent>
                      <w:r>
                        <w:rPr>
                          <w:b/>
                          <w:bCs/>
                          <w:iCs/>
                          <w:szCs w:val="24"/>
                        </w:rPr>
                        <w:t>7</w:t>
                      </w:r>
                    </w:sdtContent>
                  </w:sdt>
                  <w:r>
                    <w:rPr>
                      <w:b/>
                      <w:bCs/>
                      <w:iCs/>
                      <w:szCs w:val="24"/>
                    </w:rPr>
                    <w:t>. Sprendimo projektui įgyvendinti reikalingos lėšos, finansavimo šaltiniai.</w:t>
                  </w:r>
                </w:p>
                <w:p>
                  <w:pPr>
                    <w:suppressAutoHyphens/>
                    <w:ind w:firstLine="709"/>
                    <w:jc w:val="both"/>
                    <w:textAlignment w:val="baseline"/>
                    <w:rPr>
                      <w:kern w:val="3"/>
                      <w:szCs w:val="24"/>
                      <w:lang w:eastAsia="ar-SA"/>
                    </w:rPr>
                  </w:pPr>
                  <w:r>
                    <w:rPr>
                      <w:kern w:val="3"/>
                      <w:szCs w:val="24"/>
                      <w:lang w:eastAsia="ar-SA"/>
                    </w:rPr>
                    <w:t>Pritarus sprendimui, iš Radviliškio rajono savivaldybės biudžeto lėšų tektų skirti 5 263, 16 Eur (5 proc.) prisidėjimui prie 2.1.1 veiksmo „Vykdyti Radviliškio gyventojų pasirengimo ekstremaliosioms situacijoms mokymus ir praktinius užsiėmimus“ įgyvendinimo. Planuojama veiksmo įgyvendinimo pradžia – 2027 m. ir pabaiga – 2030 m. III ketvirtis. Preliminarus lėšų poreikis pasiskirstytų proporcingai per veiksmo įgyvendinimo laikotarpį – 3–4 metus.</w:t>
                  </w:r>
                </w:p>
              </w:sdtContent>
            </w:sdt>
            <w:sdt>
              <w:sdtPr>
                <w:alias w:val="8 p."/>
                <w:tag w:val="part_0e093e688fb04dc1887204882360c501"/>
                <w:lock w:val="sdtLocked"/>
                <w:richText/>
              </w:sdtPr>
              <w:sdtContent>
                <w:p>
                  <w:pPr>
                    <w:suppressAutoHyphens/>
                    <w:ind w:firstLine="709"/>
                    <w:jc w:val="both"/>
                    <w:textAlignment w:val="baseline"/>
                    <w:rPr>
                      <w:kern w:val="3"/>
                      <w:szCs w:val="24"/>
                      <w:lang w:eastAsia="ar-SA"/>
                    </w:rPr>
                  </w:pPr>
                  <w:sdt>
                    <w:sdtPr>
                      <w:alias w:val="Numeris"/>
                      <w:tag w:val="nr_0e093e688fb04dc1887204882360c501"/>
                      <w:lock w:val="sdtLocked"/>
                      <w:richText/>
                    </w:sdtPr>
                    <w:sdtContent>
                      <w:r>
                        <w:rPr>
                          <w:b/>
                          <w:bCs/>
                          <w:iCs/>
                          <w:szCs w:val="24"/>
                        </w:rPr>
                        <w:t>8</w:t>
                      </w:r>
                    </w:sdtContent>
                  </w:sdt>
                  <w:r>
                    <w:rPr>
                      <w:b/>
                      <w:bCs/>
                      <w:iCs/>
                      <w:szCs w:val="24"/>
                    </w:rPr>
                    <w:t>. Sprendimo projekto rengimo metu gauti specialistų vertinimai ir išvados.</w:t>
                  </w:r>
                </w:p>
                <w:p>
                  <w:pPr>
                    <w:spacing w:line="290" w:lineRule="exact"/>
                    <w:ind w:firstLine="709"/>
                    <w:jc w:val="both"/>
                    <w:rPr>
                      <w:bCs/>
                      <w:szCs w:val="24"/>
                    </w:rPr>
                  </w:pPr>
                  <w:r>
                    <w:rPr>
                      <w:bCs/>
                      <w:szCs w:val="24"/>
                    </w:rPr>
                    <w:t>Sprendimo projektas</w:t>
                  </w:r>
                  <w:r>
                    <w:rPr>
                      <w:b/>
                      <w:szCs w:val="24"/>
                    </w:rPr>
                    <w:t xml:space="preserve"> </w:t>
                  </w:r>
                  <w:r>
                    <w:rPr>
                      <w:bCs/>
                      <w:szCs w:val="24"/>
                    </w:rPr>
                    <w:t>suderintas su Savivaldybės administracijos direktore, juristu, kalbininku, vicemerais ir meru.</w:t>
                  </w:r>
                </w:p>
              </w:sdtContent>
            </w:sdt>
            <w:sdt>
              <w:sdtPr>
                <w:alias w:val="9 p."/>
                <w:tag w:val="part_6c33e25a16754853b23deea8d33a0db6"/>
                <w:lock w:val="sdtLocked"/>
                <w:richText/>
              </w:sdtPr>
              <w:sdtContent>
                <w:p>
                  <w:pPr>
                    <w:spacing w:line="290" w:lineRule="exact"/>
                    <w:ind w:firstLine="709"/>
                    <w:jc w:val="both"/>
                    <w:rPr>
                      <w:bCs/>
                      <w:szCs w:val="24"/>
                    </w:rPr>
                  </w:pPr>
                  <w:sdt>
                    <w:sdtPr>
                      <w:alias w:val="Numeris"/>
                      <w:tag w:val="nr_6c33e25a16754853b23deea8d33a0db6"/>
                      <w:lock w:val="sdtLocked"/>
                      <w:richText/>
                    </w:sdtPr>
                    <w:sdtContent>
                      <w:r>
                        <w:rPr>
                          <w:b/>
                          <w:bCs/>
                          <w:iCs/>
                          <w:szCs w:val="24"/>
                        </w:rPr>
                        <w:t>9</w:t>
                      </w:r>
                    </w:sdtContent>
                  </w:sdt>
                  <w:r>
                    <w:rPr>
                      <w:b/>
                      <w:bCs/>
                      <w:iCs/>
                      <w:szCs w:val="24"/>
                    </w:rPr>
                    <w:t>. Numatomo teisinio reguliavimo poveikio vertinimo rezultatai.</w:t>
                  </w:r>
                </w:p>
                <w:p>
                  <w:pPr>
                    <w:ind w:firstLine="709"/>
                    <w:jc w:val="both"/>
                    <w:rPr>
                      <w:iCs/>
                      <w:szCs w:val="24"/>
                    </w:rPr>
                  </w:pPr>
                  <w:r>
                    <w:rPr>
                      <w:szCs w:val="24"/>
                    </w:rPr>
                    <w:t xml:space="preserve">Rezultatai nenumatomi. </w:t>
                  </w:r>
                </w:p>
              </w:sdtContent>
            </w:sdt>
            <w:sdt>
              <w:sdtPr>
                <w:alias w:val="10 p."/>
                <w:tag w:val="part_5b116df16e5d43b7ab1a2b6685b2b2a5"/>
                <w:lock w:val="sdtLocked"/>
                <w:richText/>
              </w:sdtPr>
              <w:sdtContent>
                <w:p>
                  <w:pPr>
                    <w:ind w:firstLine="709"/>
                    <w:jc w:val="both"/>
                    <w:rPr>
                      <w:iCs/>
                      <w:szCs w:val="24"/>
                    </w:rPr>
                  </w:pPr>
                  <w:sdt>
                    <w:sdtPr>
                      <w:alias w:val="Numeris"/>
                      <w:tag w:val="nr_5b116df16e5d43b7ab1a2b6685b2b2a5"/>
                      <w:lock w:val="sdtLocked"/>
                      <w:richText/>
                    </w:sdtPr>
                    <w:sdtContent>
                      <w:r>
                        <w:rPr>
                          <w:b/>
                          <w:bCs/>
                          <w:iCs/>
                          <w:szCs w:val="24"/>
                        </w:rPr>
                        <w:t>10</w:t>
                      </w:r>
                    </w:sdtContent>
                  </w:sdt>
                  <w:r>
                    <w:rPr>
                      <w:b/>
                      <w:bCs/>
                      <w:iCs/>
                      <w:szCs w:val="24"/>
                    </w:rPr>
                    <w:t>. Sprendimo projekto antikorupcinis vertinimas.</w:t>
                  </w:r>
                </w:p>
                <w:p>
                  <w:pPr>
                    <w:ind w:firstLine="709"/>
                    <w:jc w:val="both"/>
                    <w:rPr>
                      <w:iCs/>
                      <w:szCs w:val="24"/>
                    </w:rPr>
                  </w:pPr>
                  <w:r>
                    <w:rPr>
                      <w:szCs w:val="24"/>
                    </w:rPr>
                    <w:t xml:space="preserve">Antikorupciniam vertinimui sprendimo projektas neteikiamas. </w:t>
                  </w:r>
                </w:p>
              </w:sdtContent>
            </w:sdt>
            <w:sdt>
              <w:sdtPr>
                <w:alias w:val="11 p."/>
                <w:tag w:val="part_13804f808f0c4ba188e15000a21c3be0"/>
                <w:lock w:val="sdtLocked"/>
                <w:richText/>
              </w:sdtPr>
              <w:sdtContent>
                <w:p>
                  <w:pPr>
                    <w:ind w:firstLine="709"/>
                    <w:jc w:val="both"/>
                    <w:rPr>
                      <w:iCs/>
                      <w:szCs w:val="24"/>
                    </w:rPr>
                  </w:pPr>
                  <w:sdt>
                    <w:sdtPr>
                      <w:alias w:val="Numeris"/>
                      <w:tag w:val="nr_13804f808f0c4ba188e15000a21c3be0"/>
                      <w:lock w:val="sdtLocked"/>
                      <w:richText/>
                    </w:sdtPr>
                    <w:sdtContent>
                      <w:r>
                        <w:rPr>
                          <w:b/>
                          <w:bCs/>
                          <w:iCs/>
                          <w:szCs w:val="24"/>
                        </w:rPr>
                        <w:t>11</w:t>
                      </w:r>
                    </w:sdtContent>
                  </w:sdt>
                  <w:r>
                    <w:rPr>
                      <w:b/>
                      <w:bCs/>
                      <w:iCs/>
                      <w:szCs w:val="24"/>
                    </w:rPr>
                    <w:t>. Kiti, iniciatoriaus nuomone, reikalingi pagrindimai ir paaiškinimai.</w:t>
                  </w:r>
                </w:p>
                <w:p>
                  <w:pPr>
                    <w:ind w:firstLine="709"/>
                    <w:jc w:val="both"/>
                    <w:rPr>
                      <w:iCs/>
                      <w:szCs w:val="24"/>
                    </w:rPr>
                  </w:pPr>
                  <w:r>
                    <w:rPr>
                      <w:iCs/>
                      <w:szCs w:val="24"/>
                    </w:rPr>
                    <w:t>Nėra.</w:t>
                  </w:r>
                </w:p>
              </w:sdtContent>
            </w:sdt>
            <w:sdt>
              <w:sdtPr>
                <w:alias w:val="12 p."/>
                <w:tag w:val="part_d3dc1a65c759438f8ad88e90360e65ad"/>
                <w:lock w:val="sdtLocked"/>
                <w:richText/>
              </w:sdtPr>
              <w:sdtContent>
                <w:p>
                  <w:pPr>
                    <w:ind w:firstLine="709"/>
                    <w:jc w:val="both"/>
                    <w:rPr>
                      <w:iCs/>
                      <w:szCs w:val="24"/>
                    </w:rPr>
                  </w:pPr>
                  <w:sdt>
                    <w:sdtPr>
                      <w:alias w:val="Numeris"/>
                      <w:tag w:val="nr_d3dc1a65c759438f8ad88e90360e65ad"/>
                      <w:lock w:val="sdtLocked"/>
                      <w:richText/>
                    </w:sdtPr>
                    <w:sdtContent>
                      <w:r>
                        <w:rPr>
                          <w:b/>
                          <w:bCs/>
                          <w:iCs/>
                          <w:szCs w:val="24"/>
                        </w:rPr>
                        <w:t>12</w:t>
                      </w:r>
                    </w:sdtContent>
                  </w:sdt>
                  <w:r>
                    <w:rPr>
                      <w:b/>
                      <w:bCs/>
                      <w:iCs/>
                      <w:szCs w:val="24"/>
                    </w:rPr>
                    <w:t>. Pridedami dokumentai.</w:t>
                  </w:r>
                </w:p>
                <w:p>
                  <w:pPr>
                    <w:ind w:firstLine="709"/>
                    <w:jc w:val="both"/>
                    <w:rPr>
                      <w:iCs/>
                      <w:szCs w:val="24"/>
                    </w:rPr>
                  </w:pPr>
                  <w:r>
                    <w:rPr>
                      <w:iCs/>
                      <w:szCs w:val="24"/>
                    </w:rPr>
                    <w:t>Radviliškio miesto 2023–2029 m. vietos plėtros strategija.</w:t>
                  </w:r>
                </w:p>
                <w:p>
                  <w:pPr>
                    <w:ind w:firstLine="851"/>
                    <w:jc w:val="both"/>
                    <w:rPr>
                      <w:iCs/>
                      <w:szCs w:val="24"/>
                    </w:rPr>
                  </w:pPr>
                </w:p>
                <w:p>
                  <w:pPr>
                    <w:ind w:firstLine="851"/>
                    <w:jc w:val="both"/>
                    <w:rPr>
                      <w:sz w:val="22"/>
                      <w:szCs w:val="22"/>
                    </w:rPr>
                  </w:pPr>
                </w:p>
                <w:p>
                  <w:pPr>
                    <w:ind w:firstLine="851"/>
                    <w:jc w:val="both"/>
                    <w:rPr>
                      <w:szCs w:val="24"/>
                    </w:rPr>
                  </w:pPr>
                </w:p>
                <w:p>
                  <w:pPr>
                    <w:jc w:val="both"/>
                    <w:rPr>
                      <w:szCs w:val="24"/>
                      <w:lang w:eastAsia="lt-LT"/>
                    </w:rPr>
                  </w:pPr>
                  <w:r>
                    <w:rPr>
                      <w:szCs w:val="24"/>
                    </w:rPr>
                    <w:t xml:space="preserve">Rengė – Rimvydas Aleknavičius, Radviliškio rajono savivaldybės administracijos jaunimo reikalų koordinatorius (patarėjas), </w:t>
                  </w:r>
                  <w:r>
                    <w:rPr>
                      <w:color w:val="0000FF"/>
                      <w:szCs w:val="24"/>
                      <w:u w:val="single"/>
                      <w:lang w:eastAsia="lt-LT"/>
                    </w:rPr>
                    <w:t>rimvydas.aleknavicius@radviliskis.lt</w:t>
                  </w:r>
                  <w:r>
                    <w:rPr>
                      <w:szCs w:val="24"/>
                      <w:lang w:eastAsia="lt-LT"/>
                    </w:rPr>
                    <w:t xml:space="preserve"> </w:t>
                  </w:r>
                  <w:r>
                    <w:rPr>
                      <w:szCs w:val="24"/>
                    </w:rPr>
                    <w:t xml:space="preserve">, tel. </w:t>
                  </w:r>
                  <w:r>
                    <w:rPr>
                      <w:szCs w:val="24"/>
                      <w:lang w:eastAsia="lt-LT"/>
                    </w:rPr>
                    <w:t>+370 62033786</w:t>
                  </w:r>
                </w:p>
                <w:p>
                  <w:pPr>
                    <w:jc w:val="both"/>
                    <w:rPr>
                      <w:szCs w:val="24"/>
                      <w:lang w:eastAsia="lt-LT"/>
                    </w:rPr>
                  </w:pPr>
                </w:p>
              </w:sdtContent>
            </w:sdt>
          </w:sdtContent>
        </w:sdt>
      </w:sdtContent>
    </w:sdt>
    <w:sectPr>
      <w:headerReference w:type="default" r:id="rId8"/>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40</w:t>
    </w:r>
    <w:r>
      <w:rPr>
        <w:szCs w:val="24"/>
      </w:rPr>
      <w:fldChar w:fldCharType="end"/>
    </w:r>
  </w:p>
  <w:p>
    <w:pPr>
      <w:widowControl w:val="0"/>
      <w:tabs>
        <w:tab w:val="center" w:pos="4819"/>
        <w:tab w:val="right" w:pos="9638"/>
      </w:tabs>
      <w:jc w:val="center"/>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0B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932205-2DD7-4CFC-9E86-C47A5606E6A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04712">
      <w:bodyDiv w:val="1"/>
      <w:marLeft w:val="0"/>
      <w:marRight w:val="0"/>
      <w:marTop w:val="0"/>
      <w:marBottom w:val="0"/>
      <w:divBdr>
        <w:top w:val="none" w:sz="0" w:space="0" w:color="auto"/>
        <w:left w:val="none" w:sz="0" w:space="0" w:color="auto"/>
        <w:bottom w:val="none" w:sz="0" w:space="0" w:color="auto"/>
        <w:right w:val="none" w:sz="0" w:space="0" w:color="auto"/>
      </w:divBdr>
    </w:div>
    <w:div w:id="297686853">
      <w:bodyDiv w:val="1"/>
      <w:marLeft w:val="0"/>
      <w:marRight w:val="0"/>
      <w:marTop w:val="0"/>
      <w:marBottom w:val="0"/>
      <w:divBdr>
        <w:top w:val="none" w:sz="0" w:space="0" w:color="auto"/>
        <w:left w:val="none" w:sz="0" w:space="0" w:color="auto"/>
        <w:bottom w:val="none" w:sz="0" w:space="0" w:color="auto"/>
        <w:right w:val="none" w:sz="0" w:space="0" w:color="auto"/>
      </w:divBdr>
    </w:div>
    <w:div w:id="591739777">
      <w:bodyDiv w:val="1"/>
      <w:marLeft w:val="0"/>
      <w:marRight w:val="0"/>
      <w:marTop w:val="0"/>
      <w:marBottom w:val="0"/>
      <w:divBdr>
        <w:top w:val="none" w:sz="0" w:space="0" w:color="auto"/>
        <w:left w:val="none" w:sz="0" w:space="0" w:color="auto"/>
        <w:bottom w:val="none" w:sz="0" w:space="0" w:color="auto"/>
        <w:right w:val="none" w:sz="0" w:space="0" w:color="auto"/>
      </w:divBdr>
    </w:div>
    <w:div w:id="624166359">
      <w:bodyDiv w:val="1"/>
      <w:marLeft w:val="0"/>
      <w:marRight w:val="0"/>
      <w:marTop w:val="0"/>
      <w:marBottom w:val="0"/>
      <w:divBdr>
        <w:top w:val="none" w:sz="0" w:space="0" w:color="auto"/>
        <w:left w:val="none" w:sz="0" w:space="0" w:color="auto"/>
        <w:bottom w:val="none" w:sz="0" w:space="0" w:color="auto"/>
        <w:right w:val="none" w:sz="0" w:space="0" w:color="auto"/>
      </w:divBdr>
    </w:div>
    <w:div w:id="634261848">
      <w:bodyDiv w:val="1"/>
      <w:marLeft w:val="0"/>
      <w:marRight w:val="0"/>
      <w:marTop w:val="0"/>
      <w:marBottom w:val="0"/>
      <w:divBdr>
        <w:top w:val="none" w:sz="0" w:space="0" w:color="auto"/>
        <w:left w:val="none" w:sz="0" w:space="0" w:color="auto"/>
        <w:bottom w:val="none" w:sz="0" w:space="0" w:color="auto"/>
        <w:right w:val="none" w:sz="0" w:space="0" w:color="auto"/>
      </w:divBdr>
    </w:div>
    <w:div w:id="644968150">
      <w:bodyDiv w:val="1"/>
      <w:marLeft w:val="0"/>
      <w:marRight w:val="0"/>
      <w:marTop w:val="0"/>
      <w:marBottom w:val="0"/>
      <w:divBdr>
        <w:top w:val="none" w:sz="0" w:space="0" w:color="auto"/>
        <w:left w:val="none" w:sz="0" w:space="0" w:color="auto"/>
        <w:bottom w:val="none" w:sz="0" w:space="0" w:color="auto"/>
        <w:right w:val="none" w:sz="0" w:space="0" w:color="auto"/>
      </w:divBdr>
    </w:div>
    <w:div w:id="649480263">
      <w:bodyDiv w:val="1"/>
      <w:marLeft w:val="0"/>
      <w:marRight w:val="0"/>
      <w:marTop w:val="0"/>
      <w:marBottom w:val="0"/>
      <w:divBdr>
        <w:top w:val="none" w:sz="0" w:space="0" w:color="auto"/>
        <w:left w:val="none" w:sz="0" w:space="0" w:color="auto"/>
        <w:bottom w:val="none" w:sz="0" w:space="0" w:color="auto"/>
        <w:right w:val="none" w:sz="0" w:space="0" w:color="auto"/>
      </w:divBdr>
    </w:div>
    <w:div w:id="660044098">
      <w:bodyDiv w:val="1"/>
      <w:marLeft w:val="0"/>
      <w:marRight w:val="0"/>
      <w:marTop w:val="0"/>
      <w:marBottom w:val="0"/>
      <w:divBdr>
        <w:top w:val="none" w:sz="0" w:space="0" w:color="auto"/>
        <w:left w:val="none" w:sz="0" w:space="0" w:color="auto"/>
        <w:bottom w:val="none" w:sz="0" w:space="0" w:color="auto"/>
        <w:right w:val="none" w:sz="0" w:space="0" w:color="auto"/>
      </w:divBdr>
    </w:div>
    <w:div w:id="669259387">
      <w:bodyDiv w:val="1"/>
      <w:marLeft w:val="0"/>
      <w:marRight w:val="0"/>
      <w:marTop w:val="0"/>
      <w:marBottom w:val="0"/>
      <w:divBdr>
        <w:top w:val="none" w:sz="0" w:space="0" w:color="auto"/>
        <w:left w:val="none" w:sz="0" w:space="0" w:color="auto"/>
        <w:bottom w:val="none" w:sz="0" w:space="0" w:color="auto"/>
        <w:right w:val="none" w:sz="0" w:space="0" w:color="auto"/>
      </w:divBdr>
    </w:div>
    <w:div w:id="721752893">
      <w:bodyDiv w:val="1"/>
      <w:marLeft w:val="0"/>
      <w:marRight w:val="0"/>
      <w:marTop w:val="0"/>
      <w:marBottom w:val="0"/>
      <w:divBdr>
        <w:top w:val="none" w:sz="0" w:space="0" w:color="auto"/>
        <w:left w:val="none" w:sz="0" w:space="0" w:color="auto"/>
        <w:bottom w:val="none" w:sz="0" w:space="0" w:color="auto"/>
        <w:right w:val="none" w:sz="0" w:space="0" w:color="auto"/>
      </w:divBdr>
    </w:div>
    <w:div w:id="901133977">
      <w:bodyDiv w:val="1"/>
      <w:marLeft w:val="0"/>
      <w:marRight w:val="0"/>
      <w:marTop w:val="0"/>
      <w:marBottom w:val="0"/>
      <w:divBdr>
        <w:top w:val="none" w:sz="0" w:space="0" w:color="auto"/>
        <w:left w:val="none" w:sz="0" w:space="0" w:color="auto"/>
        <w:bottom w:val="none" w:sz="0" w:space="0" w:color="auto"/>
        <w:right w:val="none" w:sz="0" w:space="0" w:color="auto"/>
      </w:divBdr>
    </w:div>
    <w:div w:id="933509889">
      <w:bodyDiv w:val="1"/>
      <w:marLeft w:val="0"/>
      <w:marRight w:val="0"/>
      <w:marTop w:val="0"/>
      <w:marBottom w:val="0"/>
      <w:divBdr>
        <w:top w:val="none" w:sz="0" w:space="0" w:color="auto"/>
        <w:left w:val="none" w:sz="0" w:space="0" w:color="auto"/>
        <w:bottom w:val="none" w:sz="0" w:space="0" w:color="auto"/>
        <w:right w:val="none" w:sz="0" w:space="0" w:color="auto"/>
      </w:divBdr>
    </w:div>
    <w:div w:id="1013724069">
      <w:bodyDiv w:val="1"/>
      <w:marLeft w:val="0"/>
      <w:marRight w:val="0"/>
      <w:marTop w:val="0"/>
      <w:marBottom w:val="0"/>
      <w:divBdr>
        <w:top w:val="none" w:sz="0" w:space="0" w:color="auto"/>
        <w:left w:val="none" w:sz="0" w:space="0" w:color="auto"/>
        <w:bottom w:val="none" w:sz="0" w:space="0" w:color="auto"/>
        <w:right w:val="none" w:sz="0" w:space="0" w:color="auto"/>
      </w:divBdr>
    </w:div>
    <w:div w:id="1106851155">
      <w:bodyDiv w:val="1"/>
      <w:marLeft w:val="0"/>
      <w:marRight w:val="0"/>
      <w:marTop w:val="0"/>
      <w:marBottom w:val="0"/>
      <w:divBdr>
        <w:top w:val="none" w:sz="0" w:space="0" w:color="auto"/>
        <w:left w:val="none" w:sz="0" w:space="0" w:color="auto"/>
        <w:bottom w:val="none" w:sz="0" w:space="0" w:color="auto"/>
        <w:right w:val="none" w:sz="0" w:space="0" w:color="auto"/>
      </w:divBdr>
    </w:div>
    <w:div w:id="1188831219">
      <w:bodyDiv w:val="1"/>
      <w:marLeft w:val="0"/>
      <w:marRight w:val="0"/>
      <w:marTop w:val="0"/>
      <w:marBottom w:val="0"/>
      <w:divBdr>
        <w:top w:val="none" w:sz="0" w:space="0" w:color="auto"/>
        <w:left w:val="none" w:sz="0" w:space="0" w:color="auto"/>
        <w:bottom w:val="none" w:sz="0" w:space="0" w:color="auto"/>
        <w:right w:val="none" w:sz="0" w:space="0" w:color="auto"/>
      </w:divBdr>
    </w:div>
    <w:div w:id="1198929418">
      <w:bodyDiv w:val="1"/>
      <w:marLeft w:val="0"/>
      <w:marRight w:val="0"/>
      <w:marTop w:val="0"/>
      <w:marBottom w:val="0"/>
      <w:divBdr>
        <w:top w:val="none" w:sz="0" w:space="0" w:color="auto"/>
        <w:left w:val="none" w:sz="0" w:space="0" w:color="auto"/>
        <w:bottom w:val="none" w:sz="0" w:space="0" w:color="auto"/>
        <w:right w:val="none" w:sz="0" w:space="0" w:color="auto"/>
      </w:divBdr>
      <w:divsChild>
        <w:div w:id="2313072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7107508">
      <w:bodyDiv w:val="1"/>
      <w:marLeft w:val="0"/>
      <w:marRight w:val="0"/>
      <w:marTop w:val="0"/>
      <w:marBottom w:val="0"/>
      <w:divBdr>
        <w:top w:val="none" w:sz="0" w:space="0" w:color="auto"/>
        <w:left w:val="none" w:sz="0" w:space="0" w:color="auto"/>
        <w:bottom w:val="none" w:sz="0" w:space="0" w:color="auto"/>
        <w:right w:val="none" w:sz="0" w:space="0" w:color="auto"/>
      </w:divBdr>
    </w:div>
    <w:div w:id="1309822786">
      <w:bodyDiv w:val="1"/>
      <w:marLeft w:val="0"/>
      <w:marRight w:val="0"/>
      <w:marTop w:val="0"/>
      <w:marBottom w:val="0"/>
      <w:divBdr>
        <w:top w:val="none" w:sz="0" w:space="0" w:color="auto"/>
        <w:left w:val="none" w:sz="0" w:space="0" w:color="auto"/>
        <w:bottom w:val="none" w:sz="0" w:space="0" w:color="auto"/>
        <w:right w:val="none" w:sz="0" w:space="0" w:color="auto"/>
      </w:divBdr>
    </w:div>
    <w:div w:id="1359046402">
      <w:bodyDiv w:val="1"/>
      <w:marLeft w:val="0"/>
      <w:marRight w:val="0"/>
      <w:marTop w:val="0"/>
      <w:marBottom w:val="0"/>
      <w:divBdr>
        <w:top w:val="none" w:sz="0" w:space="0" w:color="auto"/>
        <w:left w:val="none" w:sz="0" w:space="0" w:color="auto"/>
        <w:bottom w:val="none" w:sz="0" w:space="0" w:color="auto"/>
        <w:right w:val="none" w:sz="0" w:space="0" w:color="auto"/>
      </w:divBdr>
    </w:div>
    <w:div w:id="1419057268">
      <w:bodyDiv w:val="1"/>
      <w:marLeft w:val="0"/>
      <w:marRight w:val="0"/>
      <w:marTop w:val="0"/>
      <w:marBottom w:val="0"/>
      <w:divBdr>
        <w:top w:val="none" w:sz="0" w:space="0" w:color="auto"/>
        <w:left w:val="none" w:sz="0" w:space="0" w:color="auto"/>
        <w:bottom w:val="none" w:sz="0" w:space="0" w:color="auto"/>
        <w:right w:val="none" w:sz="0" w:space="0" w:color="auto"/>
      </w:divBdr>
    </w:div>
    <w:div w:id="1428815960">
      <w:bodyDiv w:val="1"/>
      <w:marLeft w:val="0"/>
      <w:marRight w:val="0"/>
      <w:marTop w:val="0"/>
      <w:marBottom w:val="0"/>
      <w:divBdr>
        <w:top w:val="none" w:sz="0" w:space="0" w:color="auto"/>
        <w:left w:val="none" w:sz="0" w:space="0" w:color="auto"/>
        <w:bottom w:val="none" w:sz="0" w:space="0" w:color="auto"/>
        <w:right w:val="none" w:sz="0" w:space="0" w:color="auto"/>
      </w:divBdr>
    </w:div>
    <w:div w:id="1561820808">
      <w:bodyDiv w:val="1"/>
      <w:marLeft w:val="0"/>
      <w:marRight w:val="0"/>
      <w:marTop w:val="0"/>
      <w:marBottom w:val="0"/>
      <w:divBdr>
        <w:top w:val="none" w:sz="0" w:space="0" w:color="auto"/>
        <w:left w:val="none" w:sz="0" w:space="0" w:color="auto"/>
        <w:bottom w:val="none" w:sz="0" w:space="0" w:color="auto"/>
        <w:right w:val="none" w:sz="0" w:space="0" w:color="auto"/>
      </w:divBdr>
    </w:div>
    <w:div w:id="1659072914">
      <w:bodyDiv w:val="1"/>
      <w:marLeft w:val="0"/>
      <w:marRight w:val="0"/>
      <w:marTop w:val="0"/>
      <w:marBottom w:val="0"/>
      <w:divBdr>
        <w:top w:val="none" w:sz="0" w:space="0" w:color="auto"/>
        <w:left w:val="none" w:sz="0" w:space="0" w:color="auto"/>
        <w:bottom w:val="none" w:sz="0" w:space="0" w:color="auto"/>
        <w:right w:val="none" w:sz="0" w:space="0" w:color="auto"/>
      </w:divBdr>
    </w:div>
    <w:div w:id="1669020572">
      <w:bodyDiv w:val="1"/>
      <w:marLeft w:val="0"/>
      <w:marRight w:val="0"/>
      <w:marTop w:val="0"/>
      <w:marBottom w:val="0"/>
      <w:divBdr>
        <w:top w:val="none" w:sz="0" w:space="0" w:color="auto"/>
        <w:left w:val="none" w:sz="0" w:space="0" w:color="auto"/>
        <w:bottom w:val="none" w:sz="0" w:space="0" w:color="auto"/>
        <w:right w:val="none" w:sz="0" w:space="0" w:color="auto"/>
      </w:divBdr>
      <w:divsChild>
        <w:div w:id="435994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8290862">
      <w:bodyDiv w:val="1"/>
      <w:marLeft w:val="0"/>
      <w:marRight w:val="0"/>
      <w:marTop w:val="0"/>
      <w:marBottom w:val="0"/>
      <w:divBdr>
        <w:top w:val="none" w:sz="0" w:space="0" w:color="auto"/>
        <w:left w:val="none" w:sz="0" w:space="0" w:color="auto"/>
        <w:bottom w:val="none" w:sz="0" w:space="0" w:color="auto"/>
        <w:right w:val="none" w:sz="0" w:space="0" w:color="auto"/>
      </w:divBdr>
    </w:div>
    <w:div w:id="1790124031">
      <w:bodyDiv w:val="1"/>
      <w:marLeft w:val="0"/>
      <w:marRight w:val="0"/>
      <w:marTop w:val="0"/>
      <w:marBottom w:val="0"/>
      <w:divBdr>
        <w:top w:val="none" w:sz="0" w:space="0" w:color="auto"/>
        <w:left w:val="none" w:sz="0" w:space="0" w:color="auto"/>
        <w:bottom w:val="none" w:sz="0" w:space="0" w:color="auto"/>
        <w:right w:val="none" w:sz="0" w:space="0" w:color="auto"/>
      </w:divBdr>
    </w:div>
    <w:div w:id="1820489264">
      <w:bodyDiv w:val="1"/>
      <w:marLeft w:val="0"/>
      <w:marRight w:val="0"/>
      <w:marTop w:val="0"/>
      <w:marBottom w:val="0"/>
      <w:divBdr>
        <w:top w:val="none" w:sz="0" w:space="0" w:color="auto"/>
        <w:left w:val="none" w:sz="0" w:space="0" w:color="auto"/>
        <w:bottom w:val="none" w:sz="0" w:space="0" w:color="auto"/>
        <w:right w:val="none" w:sz="0" w:space="0" w:color="auto"/>
      </w:divBdr>
    </w:div>
    <w:div w:id="2005745245">
      <w:bodyDiv w:val="1"/>
      <w:marLeft w:val="0"/>
      <w:marRight w:val="0"/>
      <w:marTop w:val="0"/>
      <w:marBottom w:val="0"/>
      <w:divBdr>
        <w:top w:val="none" w:sz="0" w:space="0" w:color="auto"/>
        <w:left w:val="none" w:sz="0" w:space="0" w:color="auto"/>
        <w:bottom w:val="none" w:sz="0" w:space="0" w:color="auto"/>
        <w:right w:val="none" w:sz="0" w:space="0" w:color="auto"/>
      </w:divBdr>
    </w:div>
    <w:div w:id="2136632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2892b4e08da4223a5c1d82bb1dbe44b" PartId="d6ecb9369e2b4d1ea24521903c6a46dc">
    <Part Type="preambule" DocPartId="be0ab73f48084889834b807407443de3" PartId="ca8387c361d541d4b8b22d9c6a146011"/>
    <Part Type="punktas" Nr="1" Abbr="1 p." DocPartId="2c9b28cd2ba049a4b741703d8194c58b" PartId="1ac164f601fa4ae68875753d1f79faec">
      <Part Type="citata" DocPartId="0648020c6ddb48008f008742aded57f6" PartId="a75ed3cbc4654feeaffa591b0658ef33">
        <Part Type="punktas" Nr="1" Abbr="1 p." DocPartId="a0f6e55608d54b03ab5490e551094afc" PartId="e05627e7c2fa40ac82dde04817e28c70"/>
      </Part>
    </Part>
    <Part Type="punktas" Nr="2" Abbr="2 p." DocPartId="36350d3eaad646ce8c99db2efa524f9f" PartId="8c516dac98da48998238fbd1fbab9802"/>
    <Part Type="skirsnis" Title="RADVILIŠKIO RAJONO SAVIVALDYBĖS TARYBOS SPRENDIMO PROJEKTO „DĖL PRITARIMO RADVILIŠKIO MIESTO VIETOS VEIKLOS GRUPĖS RADVILIŠKIO MIESTO VIETOS PLĖTROS STRATEGIJOS 2023–2029 M. KEITIMUI“ AIŠKINAMASIS RAŠTAS" DocPartId="fb08e5ea96ca4340bb209835f99dada4" PartId="4d357eb414b9446481a1f258a3cee47a">
      <Part Type="punktas" Nr="1" Abbr="1 p." DocPartId="fae69b57770242da8f7dafaf757e694d" PartId="dfe8082115a54b879a6be597956fecbd"/>
      <Part Type="punktas" Nr="2" Abbr="2 p." DocPartId="aae32da58e9c4e3799572bbe96175274" PartId="3d07fb2b6e2943aa93c160e1e707103d"/>
      <Part Type="punktas" Nr="3" Abbr="3 p." DocPartId="a2a27e98683745a7be1b230f1ff80f25" PartId="d0d9bd6c67a5486aa643bc3b0ea1395b"/>
      <Part Type="punktas" Nr="4" Abbr="4 p." DocPartId="e593c0bad4aa457aa146a45662ad0e5c" PartId="8ef8fd69039e465383cf9ba292c33147"/>
      <Part Type="punktas" Nr="5" Abbr="5 p." DocPartId="c09fae6724c244bd93fe0cd6bbdcbb67" PartId="421e06d8169b45449b66190f11272ba1"/>
      <Part Type="punktas" Nr="6" Abbr="6 p." DocPartId="798f2088d51045a6a0ad2f5838dd142b" PartId="09d4a2d689a54341b1d19882b692c749"/>
    </Part>
    <Part Type="skirsnis" Title="ar pripažinti netekusiais galios priėmus sprendimo projektą." DocPartId="420f1089819547f6a58602523d6f2a87" PartId="7d59ce662c9f43ce9b5e6057c2f7b342">
      <Part Type="punktas" Nr="7" Abbr="7 p." DocPartId="44a82858985a4cf78bcb0ae65c75df24" PartId="3f1ce461249646b29c0fe95cddc89340"/>
      <Part Type="punktas" Nr="8" Abbr="8 p." DocPartId="fdce68bfb8c9468ba96aa15cdf57f65d" PartId="0e093e688fb04dc1887204882360c501"/>
      <Part Type="punktas" Nr="9" Abbr="9 p." DocPartId="0897bc618a78411d840ef66d8fd3615b" PartId="6c33e25a16754853b23deea8d33a0db6"/>
      <Part Type="punktas" Nr="10" Abbr="10 p." DocPartId="72d59d61b8794ce28e6b33830539d44c" PartId="5b116df16e5d43b7ab1a2b6685b2b2a5"/>
      <Part Type="punktas" Nr="11" Abbr="11 p." DocPartId="911f1fb86004486d9121ab1885a21557" PartId="13804f808f0c4ba188e15000a21c3be0"/>
      <Part Type="punktas" Nr="12" Abbr="12 p." DocPartId="0f758c86f1d24e4187621299b5490611" PartId="d3dc1a65c759438f8ad88e90360e65ad"/>
    </Part>
  </Part>
</Parts>
</file>

<file path=customXml/itemProps1.xml><?xml version="1.0" encoding="utf-8"?>
<ds:datastoreItem xmlns:ds="http://schemas.openxmlformats.org/officeDocument/2006/customXml" ds:itemID="{433AC253-150E-4D60-A217-554B6B2F4E53}">
  <ds:schemaRefs>
    <ds:schemaRef ds:uri="http://schemas.openxmlformats.org/officeDocument/2006/bibliography"/>
  </ds:schemaRefs>
</ds:datastoreItem>
</file>

<file path=customXml/itemProps2.xml><?xml version="1.0" encoding="utf-8"?>
<ds:datastoreItem xmlns:ds="http://schemas.openxmlformats.org/officeDocument/2006/customXml" ds:itemID="{41995E23-EEE6-400B-8A8C-6EBD4DDDF2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924</Words>
  <Characters>6724</Characters>
  <Application>Microsoft Office Word</Application>
  <DocSecurity>4</DocSecurity>
  <Lines>131</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2026-05-18T05:43:00Z</dcterms:created>
  <dc:creator>Milda Mineikytė-Juknė</dc:creator>
  <lastModifiedBy>adlibuser</lastModifiedBy>
  <lastPrinted>2025-07-31T07:27:00Z</lastPrinted>
  <dcterms:modified xsi:type="dcterms:W3CDTF">2026-05-18T05:43:00Z</dcterms:modified>
  <revision>2</revision>
</coreProperties>
</file>