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5fbe89a4d00491baec6e4aef4f86c21"/>
        <w:lock w:val="sdtLocked"/>
        <w:richText/>
      </w:sdtPr>
      <w:sdtContent>
        <w:p w14:paraId="54502AC7" w14:textId="77777777">
          <w:pPr>
            <w:keepNext/>
            <w:ind w:left="7774" w:hanging="544"/>
            <w:jc w:val="both"/>
            <w:outlineLvl w:val="1"/>
            <w:rPr>
              <w:b/>
              <w:iCs/>
              <w:szCs w:val="24"/>
            </w:rPr>
          </w:pPr>
          <w:r>
            <w:rPr>
              <w:b/>
              <w:iCs/>
              <w:szCs w:val="24"/>
            </w:rPr>
            <w:t>Projektas</w:t>
          </w:r>
        </w:p>
        <w:p w14:paraId="7A452D63" w14:textId="7915BAF8">
          <w:pPr>
            <w:suppressLineNumbers/>
            <w:tabs>
              <w:tab w:val="left" w:pos="7230"/>
              <w:tab w:val="right" w:pos="10771"/>
            </w:tabs>
            <w:suppressAutoHyphens/>
            <w:ind w:firstLine="7230"/>
            <w:rPr>
              <w:color w:val="000000"/>
              <w:lang w:eastAsia="ar-SA"/>
            </w:rPr>
          </w:pPr>
          <w:r>
            <w:rPr>
              <w:bCs/>
              <w:color w:val="000000"/>
              <w:lang w:eastAsia="ar-SA"/>
            </w:rPr>
            <w:t xml:space="preserve">Nr. TSP-              (1.2 E)</w:t>
          </w:r>
        </w:p>
        <w:p w14:paraId="33B31ABE" w14:textId="77777777">
          <w:pPr>
            <w:suppressLineNumbers/>
            <w:tabs>
              <w:tab w:val="left" w:pos="7230"/>
              <w:tab w:val="right" w:pos="10771"/>
            </w:tabs>
            <w:suppressAutoHyphens/>
            <w:rPr>
              <w:color w:val="000000"/>
              <w:lang w:eastAsia="ar-SA"/>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46E3D2F8" w14:textId="71F1AB90">
          <w:pPr>
            <w:jc w:val="center"/>
            <w:rPr>
              <w:b/>
              <w:bCs/>
              <w:caps/>
              <w:szCs w:val="24"/>
            </w:rPr>
          </w:pPr>
          <w:r>
            <w:rPr>
              <w:b/>
              <w:bCs/>
              <w:caps/>
              <w:szCs w:val="24"/>
            </w:rPr>
            <w:t xml:space="preserve">DĖL 1997 M. spalio 2 D. VALSTYBINĖS ŽEMĖS PANAUDOS SUTARTIES </w:t>
          </w:r>
        </w:p>
        <w:p w14:paraId="0EDCE8FE" w14:textId="325D6D25">
          <w:pPr>
            <w:jc w:val="center"/>
            <w:rPr>
              <w:b/>
              <w:bCs/>
              <w:caps/>
              <w:szCs w:val="24"/>
            </w:rPr>
          </w:pPr>
          <w:r>
            <w:rPr>
              <w:b/>
              <w:bCs/>
              <w:caps/>
              <w:szCs w:val="24"/>
            </w:rPr>
            <w:t xml:space="preserve">NR. N 71/97-0192 PRIPAŽINIMO PASIBAIGUSIa </w:t>
          </w:r>
        </w:p>
        <w:p w14:paraId="7552CFC2" w14:textId="77777777">
          <w:pPr>
            <w:jc w:val="center"/>
            <w:rPr>
              <w:szCs w:val="24"/>
            </w:rPr>
          </w:pPr>
        </w:p>
        <w:p w14:paraId="08BB530E" w14:textId="6AD75C74">
          <w:pPr>
            <w:jc w:val="center"/>
            <w:rPr>
              <w:szCs w:val="24"/>
            </w:rPr>
          </w:pPr>
          <w:r>
            <w:rPr>
              <w:szCs w:val="24"/>
            </w:rPr>
            <w:t xml:space="preserve">2025 m.                             d. Nr. T-</w:t>
          </w:r>
        </w:p>
        <w:sdt>
          <w:sdtPr>
            <w:alias w:val="preambule"/>
            <w:tag w:val="part_872d51db6c4e4777aa9c83cf1b9c0d2d"/>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60d01bdd3ac54f279b2653e6ff193221"/>
            <w:lock w:val="sdtLocked"/>
            <w:richText/>
          </w:sdtPr>
          <w:sdtContent>
            <w:p w14:paraId="6999F9AB" w14:textId="2E4C82A1">
              <w:pPr>
                <w:spacing w:line="360" w:lineRule="auto"/>
                <w:ind w:firstLine="851"/>
                <w:jc w:val="both"/>
                <w:rPr>
                  <w:color w:val="000000"/>
                  <w:szCs w:val="24"/>
                </w:rPr>
              </w:pPr>
              <w:r>
                <w:rPr>
                  <w:color w:val="000000"/>
                  <w:szCs w:val="24"/>
                </w:rPr>
                <w:t xml:space="preserve">Vadovaudamasi Lietuvos Respublikos civilinio kodekso 6.642 straipsniu, Lietuvos Respublikos vietos savivaldos įstatymo 15 straipsnio 2 dalies 20 punktu, Lietuvos Respublikos žemės įstatymo 7 straipsnio 1 dalies 2 punktu, 8 straipsnio 3 dalies 1 punktu, Valstybinės žemės perdavimo neatlygintinai naudotis taisyklėmis, patvirtintomis Lietuvos Respublikos Vyriausybės 1995 m. lapkričio 13 d. nutarimu Nr. 1428 „Dėl Valstybinės žemės perdavimo neatlygintinai naudotis taisyklių patvirtinimo“, </w:t>
              </w:r>
              <w:r>
                <w:t>atsižvelgdama į Radviliškio technologijų ir verslo mokymo centro 2025 m. rugpjūčio 26 d. prašymą Nr. S1-181,</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aed47d409e0143ee90ea64b3b189baec"/>
            <w:lock w:val="sdtLocked"/>
            <w:richText/>
          </w:sdtPr>
          <w:sdtContent>
            <w:p w14:paraId="56A302B5" w14:textId="76267F20">
              <w:pPr>
                <w:spacing w:line="360" w:lineRule="auto"/>
                <w:ind w:firstLine="851"/>
                <w:jc w:val="both"/>
                <w:rPr>
                  <w:szCs w:val="24"/>
                </w:rPr>
              </w:pPr>
              <w:sdt>
                <w:sdtPr>
                  <w:alias w:val="Numeris"/>
                  <w:tag w:val="nr_aed47d409e0143ee90ea64b3b189baec"/>
                  <w:lock w:val="sdtLocked"/>
                  <w:richText/>
                </w:sdtPr>
                <w:sdtContent>
                  <w:r>
                    <w:rPr>
                      <w:szCs w:val="24"/>
                    </w:rPr>
                    <w:t>1</w:t>
                  </w:r>
                </w:sdtContent>
              </w:sdt>
              <w:r>
                <w:rPr>
                  <w:szCs w:val="24"/>
                </w:rPr>
                <w:t>. Pripažinti pasibaigusia 1997 m. spalio 2 d. valstybinės žemės panaudos sutartį Nr. N 71/97-0192, sudarytą su Radviliškio technologijų ir verslo mokymo centru, a. k. 190977872, valstybinės žemės sklypuose:</w:t>
              </w:r>
            </w:p>
            <w:sdt>
              <w:sdtPr>
                <w:alias w:val="1.1 pp."/>
                <w:tag w:val="part_ff29bdf842ff4e49b5b0a248a8a99e98"/>
                <w:lock w:val="sdtLocked"/>
                <w:richText/>
              </w:sdtPr>
              <w:sdtContent>
                <w:p w14:paraId="35F0E838" w14:textId="4DAF3F43">
                  <w:pPr>
                    <w:spacing w:line="360" w:lineRule="auto"/>
                    <w:ind w:firstLine="851"/>
                    <w:jc w:val="both"/>
                    <w:rPr>
                      <w:szCs w:val="24"/>
                    </w:rPr>
                  </w:pPr>
                  <w:sdt>
                    <w:sdtPr>
                      <w:alias w:val="Numeris"/>
                      <w:tag w:val="nr_ff29bdf842ff4e49b5b0a248a8a99e98"/>
                      <w:lock w:val="sdtLocked"/>
                      <w:richText/>
                    </w:sdtPr>
                    <w:sdtContent>
                      <w:r>
                        <w:rPr>
                          <w:szCs w:val="24"/>
                        </w:rPr>
                        <w:t>1.1</w:t>
                      </w:r>
                    </w:sdtContent>
                  </w:sdt>
                  <w:r>
                    <w:rPr>
                      <w:szCs w:val="24"/>
                    </w:rPr>
                    <w:t>. 8,6037 ha ploto sklype (kadastro Nr. 7157/0019:363, unikalus Nr. 4400-6426-7954), esančiame Gedimino g. 85, Radviliškyje (Nekilnojamojo turto registro Nr. 44/3541829);</w:t>
                  </w:r>
                </w:p>
              </w:sdtContent>
            </w:sdt>
            <w:sdt>
              <w:sdtPr>
                <w:alias w:val="1.2 pp."/>
                <w:tag w:val="part_04c9864b137241278b47c6bdeb807e7a"/>
                <w:lock w:val="sdtLocked"/>
                <w:richText/>
              </w:sdtPr>
              <w:sdtContent>
                <w:p w14:paraId="56AB9ADC" w14:textId="56591FFA">
                  <w:pPr>
                    <w:spacing w:line="360" w:lineRule="auto"/>
                    <w:ind w:firstLine="851"/>
                    <w:jc w:val="both"/>
                    <w:rPr>
                      <w:szCs w:val="24"/>
                    </w:rPr>
                  </w:pPr>
                  <w:sdt>
                    <w:sdtPr>
                      <w:alias w:val="Numeris"/>
                      <w:tag w:val="nr_04c9864b137241278b47c6bdeb807e7a"/>
                      <w:lock w:val="sdtLocked"/>
                      <w:richText/>
                    </w:sdtPr>
                    <w:sdtContent>
                      <w:r>
                        <w:rPr>
                          <w:szCs w:val="24"/>
                        </w:rPr>
                        <w:t>1.2</w:t>
                      </w:r>
                    </w:sdtContent>
                  </w:sdt>
                  <w:r>
                    <w:rPr>
                      <w:szCs w:val="24"/>
                    </w:rPr>
                    <w:t xml:space="preserve">. 5,8827 ha ploto sklype (kadastro Nr. 7157/0019:362, unikalus Nr. 4400-6426-8108), esančiame Gedimino g. 81, Radviliškyje (Nekilnojamojo turto registro Nr. 44/3540722). </w:t>
                  </w:r>
                </w:p>
              </w:sdtContent>
            </w:sdt>
          </w:sdtContent>
        </w:sdt>
        <w:sdt>
          <w:sdtPr>
            <w:alias w:val="2 p."/>
            <w:tag w:val="part_a2126f6148bb4f819721e14c9f0b6e0c"/>
            <w:lock w:val="sdtLocked"/>
            <w:richText/>
          </w:sdtPr>
          <w:sdtContent>
            <w:p w14:paraId="11453EA1" w14:textId="54F56017">
              <w:pPr>
                <w:spacing w:line="360" w:lineRule="auto"/>
                <w:ind w:firstLine="851"/>
                <w:jc w:val="both"/>
                <w:rPr>
                  <w:color w:val="000000"/>
                  <w:szCs w:val="24"/>
                </w:rPr>
              </w:pPr>
              <w:sdt>
                <w:sdtPr>
                  <w:alias w:val="Numeris"/>
                  <w:tag w:val="nr_a2126f6148bb4f819721e14c9f0b6e0c"/>
                  <w:lock w:val="sdtLocked"/>
                  <w:richText/>
                </w:sdtPr>
                <w:sdtContent>
                  <w:r>
                    <w:rPr>
                      <w:color w:val="000000"/>
                      <w:szCs w:val="24"/>
                    </w:rPr>
                    <w:t>2</w:t>
                  </w:r>
                </w:sdtContent>
              </w:sdt>
              <w:r>
                <w:rPr>
                  <w:color w:val="000000"/>
                  <w:szCs w:val="24"/>
                </w:rPr>
                <w:t xml:space="preserve">. Pavesti Radviliškio rajono savivaldybės administracijai kreiptis į Nekilnojamojo turto  registro tvarkytoją su prašymu dėl 1 punkte nurodytos valstybinės žemės panaudos sutarties išregistravimo iš Nekilnojamojo turto registro.</w:t>
              </w:r>
            </w:p>
          </w:sdtContent>
        </w:sdt>
        <w:sdt>
          <w:sdtPr>
            <w:alias w:val="3 p."/>
            <w:tag w:val="part_12a2485fbf0340c9af244c2b28120df5"/>
            <w:lock w:val="sdtLocked"/>
            <w:richText/>
          </w:sdtPr>
          <w:sdtContent>
            <w:p w14:paraId="40C2F4B2" w14:textId="2BDF4379">
              <w:pPr>
                <w:spacing w:line="360" w:lineRule="auto"/>
                <w:ind w:firstLine="851"/>
                <w:jc w:val="both"/>
                <w:rPr>
                  <w:color w:val="000000"/>
                  <w:szCs w:val="24"/>
                </w:rPr>
              </w:pPr>
              <w:sdt>
                <w:sdtPr>
                  <w:alias w:val="Numeris"/>
                  <w:tag w:val="nr_12a2485fbf0340c9af244c2b28120df5"/>
                  <w:lock w:val="sdtLocked"/>
                  <w:richText/>
                </w:sdtPr>
                <w:sdtContent>
                  <w:r>
                    <w:rPr>
                      <w:color w:val="000000"/>
                      <w:szCs w:val="24"/>
                    </w:rPr>
                    <w:t>3</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50EA70CC" w14:textId="77777777">
              <w:pPr>
                <w:ind w:firstLine="720"/>
                <w:jc w:val="both"/>
                <w:rPr>
                  <w:color w:val="000000"/>
                  <w:szCs w:val="24"/>
                </w:rPr>
              </w:pPr>
            </w:p>
            <w:p w14:paraId="2DE56126" w14:textId="77777777">
              <w:pPr>
                <w:ind w:firstLine="720"/>
                <w:jc w:val="both"/>
                <w:rPr>
                  <w:color w:val="000000"/>
                  <w:szCs w:val="24"/>
                </w:rPr>
              </w:pPr>
            </w:p>
            <w:p w14:paraId="4BA48CD2" w14:textId="10D4DB36">
              <w:pPr>
                <w:tabs>
                  <w:tab w:val="left" w:pos="7560"/>
                </w:tabs>
                <w:rPr>
                  <w:color w:val="000000"/>
                  <w:szCs w:val="24"/>
                </w:rPr>
              </w:pPr>
              <w:r>
                <w:rPr>
                  <w:color w:val="000000"/>
                  <w:szCs w:val="24"/>
                </w:rPr>
                <w:t xml:space="preserve">Savivaldybės meras                                                                                        </w:t>
              </w:r>
            </w:p>
            <w:p w14:paraId="2F2C40F7" w14:textId="77777777">
              <w:pPr>
                <w:tabs>
                  <w:tab w:val="left" w:pos="7560"/>
                </w:tabs>
                <w:rPr>
                  <w:color w:val="000000"/>
                  <w:szCs w:val="24"/>
                </w:rPr>
              </w:pPr>
            </w:p>
            <w:p w14:paraId="557FB911" w14:textId="63D5A49A">
              <w:pPr>
                <w:tabs>
                  <w:tab w:val="left" w:pos="7560"/>
                </w:tabs>
                <w:rPr>
                  <w:color w:val="000000"/>
                  <w:szCs w:val="24"/>
                </w:rPr>
              </w:pPr>
              <w:r>
                <w:rPr>
                  <w:color w:val="000000"/>
                  <w:szCs w:val="24"/>
                </w:rPr>
                <w:br w:type="page"/>
              </w:r>
            </w:p>
          </w:sdtContent>
        </w:sdt>
        <w:sdt>
          <w:sdtPr>
            <w:alias w:val="skirsnis"/>
            <w:tag w:val="part_a7706c4b19a94e1f96522cffc841e90f"/>
            <w:lock w:val="sdtLocked"/>
            <w:richText/>
          </w:sdtPr>
          <w:sdtContent>
            <w:sdt>
              <w:sdtPr>
                <w:alias w:val="Pavadinimas"/>
                <w:tag w:val="title_a7706c4b19a94e1f96522cffc841e90f"/>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334EA660" w14:textId="77777777">
                  <w:pPr>
                    <w:jc w:val="center"/>
                    <w:rPr>
                      <w:b/>
                      <w:bCs/>
                      <w:caps/>
                      <w:szCs w:val="24"/>
                    </w:rPr>
                  </w:pPr>
                  <w:r>
                    <w:rPr>
                      <w:b/>
                      <w:color w:val="000000"/>
                      <w:szCs w:val="24"/>
                    </w:rPr>
                    <w:t>„</w:t>
                  </w:r>
                  <w:r>
                    <w:rPr>
                      <w:b/>
                      <w:bCs/>
                      <w:caps/>
                      <w:color w:val="000000"/>
                      <w:szCs w:val="24"/>
                    </w:rPr>
                    <w:t xml:space="preserve">DĖL </w:t>
                  </w:r>
                  <w:r>
                    <w:rPr>
                      <w:b/>
                      <w:bCs/>
                      <w:caps/>
                      <w:szCs w:val="24"/>
                    </w:rPr>
                    <w:t xml:space="preserve">1997 M. spalio 2 D. VALSTYBINĖS ŽEMĖS PANAUDOS SUTARTIES </w:t>
                  </w:r>
                </w:p>
                <w:p w14:paraId="5FFD3C25" w14:textId="6B517834">
                  <w:pPr>
                    <w:jc w:val="center"/>
                    <w:rPr>
                      <w:b/>
                      <w:color w:val="000000"/>
                      <w:szCs w:val="24"/>
                    </w:rPr>
                  </w:pPr>
                  <w:r>
                    <w:rPr>
                      <w:b/>
                      <w:bCs/>
                      <w:caps/>
                      <w:szCs w:val="24"/>
                    </w:rPr>
                    <w:t>NR. N 71/97-0192</w:t>
                  </w:r>
                  <w:r>
                    <w:rPr>
                      <w:b/>
                      <w:bCs/>
                      <w:caps/>
                      <w:color w:val="000000"/>
                      <w:szCs w:val="24"/>
                    </w:rPr>
                    <w:t xml:space="preserve"> PRIPAŽINIMO PASIBAIGUSIA</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FF0000"/>
                  <w:szCs w:val="24"/>
                </w:rPr>
              </w:pPr>
            </w:p>
            <w:p w14:paraId="4B0DEFA3" w14:textId="5339D962">
              <w:pPr>
                <w:jc w:val="center"/>
                <w:rPr>
                  <w:szCs w:val="24"/>
                </w:rPr>
              </w:pPr>
              <w:r>
                <w:rPr>
                  <w:szCs w:val="24"/>
                </w:rPr>
                <w:t>2025 m. rugsėjo 5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512fe033e6f042d5bbc39d8f1858b687"/>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512fe033e6f042d5bbc39d8f1858b687"/>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5602A596">
                  <w:pPr>
                    <w:tabs>
                      <w:tab w:val="left" w:pos="855"/>
                    </w:tabs>
                    <w:suppressAutoHyphens/>
                    <w:spacing w:line="360" w:lineRule="auto"/>
                    <w:ind w:firstLine="709"/>
                    <w:jc w:val="both"/>
                    <w:rPr>
                      <w:color w:val="000000"/>
                      <w:szCs w:val="24"/>
                    </w:rPr>
                  </w:pPr>
                  <w:r>
                    <w:rPr>
                      <w:color w:val="000000"/>
                      <w:szCs w:val="24"/>
                    </w:rPr>
                    <w:t xml:space="preserve">Sprendimo projektas parengtas gavus Radviliškio technologijų ir verslo mokymo centro prašymą nutraukti 1997 m. spalio 2 d.  valstybinės žemės panaudos sutartį Nr. N 71/97-0192. </w:t>
                  </w:r>
                </w:p>
                <w:p w14:paraId="2E5D99C0" w14:textId="2F315D86">
                  <w:pPr>
                    <w:tabs>
                      <w:tab w:val="left" w:pos="855"/>
                    </w:tabs>
                    <w:suppressAutoHyphens/>
                    <w:spacing w:line="360" w:lineRule="auto"/>
                    <w:ind w:firstLine="709"/>
                    <w:jc w:val="both"/>
                    <w:rPr>
                      <w:color w:val="FF0000"/>
                      <w:szCs w:val="24"/>
                    </w:rPr>
                  </w:pPr>
                  <w:r>
                    <w:rPr>
                      <w:color w:val="000000"/>
                      <w:szCs w:val="24"/>
                    </w:rPr>
                    <w:t xml:space="preserve">Sprendimo tikslas – gauti Radviliškio rajono savivaldybės tarybos pritarimą pripažinti pasibaigusia 1997 m. spalio 2 d. valstybinės žemės panaudos sutartį Nr. N 71/97-0192, sudarytą su Radviliškio technologijų ir verslo mokymo centru, a. k. 190977872,  valstybinės žemės sklypuose (kadastro Nr. 7157/0019:363 ir Nr. 7157/0019:362), esančiuose Gedimino g. 85 ir Gedimino g. 81, Radviliškyje (Nekilnojamojo turto registro Nr. 44/3541829 ir Nr. 44/3540722). </w:t>
                  </w:r>
                </w:p>
              </w:sdtContent>
            </w:sdt>
            <w:sdt>
              <w:sdtPr>
                <w:alias w:val="2 p."/>
                <w:tag w:val="part_464bab7bcd3943bfa2df355c0666f1fa"/>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464bab7bcd3943bfa2df355c0666f1fa"/>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40DFABF">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Vytautas Urbonas. </w:t>
                  </w:r>
                </w:p>
              </w:sdtContent>
            </w:sdt>
            <w:sdt>
              <w:sdtPr>
                <w:alias w:val="3 p."/>
                <w:tag w:val="part_31c7e8ccaeca4479b620364f87b342e5"/>
                <w:lock w:val="sdtLocked"/>
                <w:richText/>
              </w:sdtPr>
              <w:sdtContent>
                <w:p w14:paraId="1ACEFB89" w14:textId="38B7E040">
                  <w:pPr>
                    <w:suppressAutoHyphens/>
                    <w:spacing w:line="360" w:lineRule="auto"/>
                    <w:ind w:firstLine="680"/>
                    <w:jc w:val="both"/>
                    <w:rPr>
                      <w:b/>
                      <w:color w:val="000000"/>
                      <w:szCs w:val="24"/>
                    </w:rPr>
                  </w:pPr>
                  <w:sdt>
                    <w:sdtPr>
                      <w:alias w:val="Numeris"/>
                      <w:tag w:val="nr_31c7e8ccaeca4479b620364f87b342e5"/>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color w:val="000000"/>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1D9E8ADB" w14:textId="77777777">
                  <w:pPr>
                    <w:tabs>
                      <w:tab w:val="left" w:pos="855"/>
                    </w:tabs>
                    <w:spacing w:line="360" w:lineRule="auto"/>
                    <w:ind w:firstLine="680"/>
                    <w:jc w:val="both"/>
                    <w:rPr>
                      <w:color w:val="000000"/>
                      <w:szCs w:val="24"/>
                    </w:rPr>
                  </w:pPr>
                  <w:r>
                    <w:rPr>
                      <w:color w:val="000000"/>
                      <w:szCs w:val="24"/>
                    </w:rPr>
                    <w:t>Valstybinės žemės perdavimą neatlygintinai naudotis reglamentuoja Valstybinės žemės perdavimo neatlygintinai naudotis taisyklės, patvirtintos Lietuvos Respublikos Vyriausybės 1995 m. lapkričio 13 d. nutarimu Nr. 1428 „Dėl Valstybinės žemės perdavimo neatlygintinai naudotis taisyklių patvirtinimo“.</w:t>
                  </w:r>
                </w:p>
              </w:sdtContent>
            </w:sdt>
            <w:sdt>
              <w:sdtPr>
                <w:alias w:val="4 p."/>
                <w:tag w:val="part_45351c818047403f984413650f770379"/>
                <w:lock w:val="sdtLocked"/>
                <w:richText/>
              </w:sdtPr>
              <w:sdtContent>
                <w:p w14:paraId="1FB295FD" w14:textId="6641B20C">
                  <w:pPr>
                    <w:tabs>
                      <w:tab w:val="left" w:pos="855"/>
                    </w:tabs>
                    <w:spacing w:line="360" w:lineRule="auto"/>
                    <w:ind w:firstLine="680"/>
                    <w:jc w:val="both"/>
                    <w:rPr>
                      <w:szCs w:val="24"/>
                    </w:rPr>
                  </w:pPr>
                  <w:sdt>
                    <w:sdtPr>
                      <w:alias w:val="Numeris"/>
                      <w:tag w:val="nr_45351c818047403f984413650f770379"/>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32595373cf9c4b148c2168c6bdc64182"/>
                <w:lock w:val="sdtLocked"/>
                <w:richText/>
              </w:sdtPr>
              <w:sdtContent>
                <w:p w14:paraId="6A547BF9" w14:textId="77777777">
                  <w:pPr>
                    <w:spacing w:line="360" w:lineRule="auto"/>
                    <w:ind w:firstLine="680"/>
                    <w:jc w:val="both"/>
                    <w:rPr>
                      <w:b/>
                      <w:bCs/>
                      <w:szCs w:val="24"/>
                    </w:rPr>
                  </w:pPr>
                  <w:sdt>
                    <w:sdtPr>
                      <w:alias w:val="Numeris"/>
                      <w:tag w:val="nr_32595373cf9c4b148c2168c6bdc64182"/>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color w:val="000000"/>
                      <w:szCs w:val="24"/>
                    </w:rPr>
                  </w:pPr>
                  <w:r>
                    <w:rPr>
                      <w:color w:val="000000"/>
                      <w:szCs w:val="24"/>
                    </w:rPr>
                    <w:t>Neigiamų pasekmių nenumatoma.</w:t>
                  </w:r>
                </w:p>
              </w:sdtContent>
            </w:sdt>
            <w:sdt>
              <w:sdtPr>
                <w:alias w:val="6 p."/>
                <w:tag w:val="part_f5bd8aa8f9344e5596b3e6d2d55bf1bc"/>
                <w:lock w:val="sdtLocked"/>
                <w:richText/>
              </w:sdtPr>
              <w:sdtContent>
                <w:p w14:paraId="12EF9966" w14:textId="77777777">
                  <w:pPr>
                    <w:spacing w:line="360" w:lineRule="auto"/>
                    <w:ind w:firstLine="680"/>
                    <w:jc w:val="both"/>
                    <w:rPr>
                      <w:color w:val="000000"/>
                      <w:szCs w:val="24"/>
                    </w:rPr>
                  </w:pPr>
                  <w:sdt>
                    <w:sdtPr>
                      <w:alias w:val="Numeris"/>
                      <w:tag w:val="nr_f5bd8aa8f9344e5596b3e6d2d55bf1bc"/>
                      <w:lock w:val="sdtLocked"/>
                      <w:richText/>
                    </w:sdtPr>
                    <w:sdtContent>
                      <w:r>
                        <w:rPr>
                          <w:b/>
                          <w:bCs/>
                          <w:color w:val="000000"/>
                          <w:szCs w:val="24"/>
                        </w:rPr>
                        <w:t>6</w:t>
                      </w:r>
                    </w:sdtContent>
                  </w:sdt>
                  <w:r>
                    <w:rPr>
                      <w:b/>
                      <w:bCs/>
                      <w:color w:val="000000"/>
                      <w:szCs w:val="24"/>
                    </w:rPr>
                    <w:t>.</w:t>
                  </w:r>
                  <w:r>
                    <w:rPr>
                      <w:color w:val="000000"/>
                      <w:szCs w:val="24"/>
                    </w:rPr>
                    <w:t xml:space="preserve"> </w:t>
                  </w:r>
                  <w:r>
                    <w:rPr>
                      <w:b/>
                      <w:bCs/>
                      <w:color w:val="000000"/>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color w:val="000000"/>
                      <w:szCs w:val="24"/>
                      <w:shd w:val="clear" w:color="auto" w:fill="FFFFFF"/>
                    </w:rPr>
                  </w:pPr>
                  <w:r>
                    <w:rPr>
                      <w:rFonts w:eastAsia="Lucida Sans Unicode" w:cs="Tahoma"/>
                      <w:color w:val="000000"/>
                      <w:szCs w:val="24"/>
                      <w:shd w:val="clear" w:color="auto" w:fill="FFFFFF"/>
                    </w:rPr>
                    <w:t xml:space="preserve">Priėmus sprendimą, nebus keičiami ar pripažįstami negaliojančiais teisės aktai. </w:t>
                  </w:r>
                  <w:r>
                    <w:rPr>
                      <w:color w:val="000000"/>
                      <w:szCs w:val="24"/>
                    </w:rPr>
                    <w:t>Sprendimui įgyvendinti papildomų teisės aktų priimti nereikia.</w:t>
                  </w:r>
                </w:p>
              </w:sdtContent>
            </w:sdt>
            <w:sdt>
              <w:sdtPr>
                <w:alias w:val="7 p."/>
                <w:tag w:val="part_77040827cfa149e5a3d0858ccf08218b"/>
                <w:lock w:val="sdtLocked"/>
                <w:richText/>
              </w:sdtPr>
              <w:sdtContent>
                <w:p w14:paraId="06FB46BC" w14:textId="77777777">
                  <w:pPr>
                    <w:tabs>
                      <w:tab w:val="left" w:pos="855"/>
                    </w:tabs>
                    <w:spacing w:line="360" w:lineRule="auto"/>
                    <w:ind w:firstLine="680"/>
                    <w:jc w:val="both"/>
                    <w:rPr>
                      <w:b/>
                      <w:color w:val="000000"/>
                      <w:szCs w:val="24"/>
                      <w:shd w:val="clear" w:color="auto" w:fill="FFFFFF"/>
                    </w:rPr>
                  </w:pPr>
                  <w:sdt>
                    <w:sdtPr>
                      <w:alias w:val="Numeris"/>
                      <w:tag w:val="nr_77040827cfa149e5a3d0858ccf08218b"/>
                      <w:lock w:val="sdtLocked"/>
                      <w:richText/>
                    </w:sdtPr>
                    <w:sdtContent>
                      <w:r>
                        <w:rPr>
                          <w:b/>
                          <w:color w:val="000000"/>
                          <w:szCs w:val="24"/>
                        </w:rPr>
                        <w:t>7</w:t>
                      </w:r>
                    </w:sdtContent>
                  </w:sdt>
                  <w:r>
                    <w:rPr>
                      <w:b/>
                      <w:color w:val="000000"/>
                      <w:szCs w:val="24"/>
                    </w:rPr>
                    <w:t>. Sprendimo projektui įgyvendinti reikalingos lėšos, finansavimo šaltiniai</w:t>
                  </w:r>
                  <w:r>
                    <w:rPr>
                      <w:b/>
                      <w:color w:val="000000"/>
                      <w:szCs w:val="24"/>
                      <w:shd w:val="clear" w:color="auto" w:fill="FFFFFF"/>
                    </w:rPr>
                    <w:t>.</w:t>
                  </w:r>
                </w:p>
                <w:p w14:paraId="70D54B39" w14:textId="38EADE76">
                  <w:pPr>
                    <w:tabs>
                      <w:tab w:val="left" w:pos="1200"/>
                    </w:tabs>
                    <w:spacing w:line="360" w:lineRule="auto"/>
                    <w:ind w:firstLine="680"/>
                    <w:jc w:val="both"/>
                    <w:rPr>
                      <w:color w:val="FF0000"/>
                      <w:szCs w:val="24"/>
                    </w:rPr>
                  </w:pPr>
                  <w:r>
                    <w:rPr>
                      <w:color w:val="000000"/>
                      <w:szCs w:val="24"/>
                    </w:rPr>
                    <w:t xml:space="preserve">Priėmusi sprendimą, Radviliškio rajono savivaldybė papildomų išlaidų nepatirs. </w:t>
                  </w:r>
                </w:p>
              </w:sdtContent>
            </w:sdt>
            <w:sdt>
              <w:sdtPr>
                <w:alias w:val="8 p."/>
                <w:tag w:val="part_ad3384dbf47c4cff9bff19e70b8256ef"/>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ad3384dbf47c4cff9bff19e70b8256ef"/>
                      <w:lock w:val="sdtLocked"/>
                      <w:richText/>
                    </w:sdtPr>
                    <w:sdtContent>
                      <w:r>
                        <w:rPr>
                          <w:b/>
                          <w:color w:val="000000"/>
                          <w:szCs w:val="24"/>
                        </w:rPr>
                        <w:t>8</w:t>
                      </w:r>
                    </w:sdtContent>
                  </w:sdt>
                  <w:r>
                    <w:rPr>
                      <w:b/>
                      <w:color w:val="000000"/>
                      <w:szCs w:val="24"/>
                    </w:rPr>
                    <w:t>. Sprendimo projekto rengimo metu gauti specialistų vertinimai ir išvados.</w:t>
                  </w:r>
                </w:p>
                <w:p w14:paraId="2719BB0E" w14:textId="77777777">
                  <w:pPr>
                    <w:tabs>
                      <w:tab w:val="left" w:pos="1200"/>
                    </w:tabs>
                    <w:spacing w:line="360" w:lineRule="auto"/>
                    <w:ind w:firstLine="680"/>
                    <w:jc w:val="both"/>
                    <w:rPr>
                      <w:bCs/>
                      <w:color w:val="000000"/>
                      <w:szCs w:val="24"/>
                    </w:rPr>
                  </w:pPr>
                  <w:r>
                    <w:rPr>
                      <w:bCs/>
                      <w:color w:val="000000"/>
                      <w:szCs w:val="24"/>
                    </w:rPr>
                    <w:t>Nėra.</w:t>
                  </w:r>
                </w:p>
              </w:sdtContent>
            </w:sdt>
            <w:sdt>
              <w:sdtPr>
                <w:alias w:val="9 p."/>
                <w:tag w:val="part_b48f6265843a4437bdb75459bf082d58"/>
                <w:lock w:val="sdtLocked"/>
                <w:richText/>
              </w:sdtPr>
              <w:sdtContent>
                <w:p w14:paraId="2129C993" w14:textId="77777777">
                  <w:pPr>
                    <w:tabs>
                      <w:tab w:val="left" w:pos="1200"/>
                    </w:tabs>
                    <w:spacing w:line="360" w:lineRule="auto"/>
                    <w:ind w:firstLine="680"/>
                    <w:jc w:val="both"/>
                    <w:rPr>
                      <w:b/>
                      <w:color w:val="000000"/>
                      <w:szCs w:val="24"/>
                    </w:rPr>
                  </w:pPr>
                  <w:sdt>
                    <w:sdtPr>
                      <w:alias w:val="Numeris"/>
                      <w:tag w:val="nr_b48f6265843a4437bdb75459bf082d58"/>
                      <w:lock w:val="sdtLocked"/>
                      <w:richText/>
                    </w:sdtPr>
                    <w:sdtContent>
                      <w:r>
                        <w:rPr>
                          <w:b/>
                          <w:color w:val="000000"/>
                          <w:szCs w:val="24"/>
                        </w:rPr>
                        <w:t>9</w:t>
                      </w:r>
                    </w:sdtContent>
                  </w:sdt>
                  <w:r>
                    <w:rPr>
                      <w:b/>
                      <w:color w:val="000000"/>
                      <w:szCs w:val="24"/>
                    </w:rPr>
                    <w:t>. Numatomo teisinio reguliavimo poveikio vertinimo rezultatai.</w:t>
                  </w:r>
                </w:p>
                <w:p w14:paraId="5B26DCCD" w14:textId="77777777">
                  <w:pPr>
                    <w:tabs>
                      <w:tab w:val="left" w:pos="855"/>
                    </w:tabs>
                    <w:spacing w:line="360" w:lineRule="auto"/>
                    <w:ind w:firstLine="680"/>
                    <w:jc w:val="both"/>
                    <w:rPr>
                      <w:color w:val="000000"/>
                      <w:szCs w:val="24"/>
                      <w:shd w:val="clear" w:color="auto" w:fill="FFFFFF"/>
                    </w:rPr>
                  </w:pPr>
                  <w:r>
                    <w:rPr>
                      <w:color w:val="000000"/>
                      <w:szCs w:val="24"/>
                      <w:shd w:val="clear" w:color="auto" w:fill="FFFFFF"/>
                    </w:rPr>
                    <w:t>Neatlikta ir nenumatyta.</w:t>
                  </w:r>
                </w:p>
              </w:sdtContent>
            </w:sdt>
            <w:sdt>
              <w:sdtPr>
                <w:alias w:val="10 p."/>
                <w:tag w:val="part_785ab1c422444ffdbde98da92f51eadd"/>
                <w:lock w:val="sdtLocked"/>
                <w:richText/>
              </w:sdtPr>
              <w:sdtContent>
                <w:p w14:paraId="7CF17A7D" w14:textId="77777777">
                  <w:pPr>
                    <w:spacing w:line="360" w:lineRule="auto"/>
                    <w:ind w:firstLine="680"/>
                    <w:jc w:val="both"/>
                    <w:rPr>
                      <w:color w:val="000000"/>
                      <w:szCs w:val="24"/>
                      <w:shd w:val="clear" w:color="auto" w:fill="FFFFFF"/>
                    </w:rPr>
                  </w:pPr>
                  <w:sdt>
                    <w:sdtPr>
                      <w:alias w:val="Numeris"/>
                      <w:tag w:val="nr_785ab1c422444ffdbde98da92f51eadd"/>
                      <w:lock w:val="sdtLocked"/>
                      <w:richText/>
                    </w:sdtPr>
                    <w:sdtContent>
                      <w:r>
                        <w:rPr>
                          <w:rFonts w:eastAsia="Calibri"/>
                          <w:b/>
                          <w:color w:val="000000"/>
                          <w:szCs w:val="24"/>
                          <w:lang w:eastAsia="ar-SA"/>
                        </w:rPr>
                        <w:t>10</w:t>
                      </w:r>
                    </w:sdtContent>
                  </w:sdt>
                  <w:r>
                    <w:rPr>
                      <w:rFonts w:eastAsia="Calibri"/>
                      <w:b/>
                      <w:color w:val="000000"/>
                      <w:szCs w:val="24"/>
                      <w:lang w:eastAsia="ar-SA"/>
                    </w:rPr>
                    <w:t>. Sprendimo projekto antikorupcinis vertinimas.</w:t>
                  </w:r>
                  <w:r>
                    <w:rPr>
                      <w:i/>
                      <w:color w:val="000000"/>
                      <w:szCs w:val="24"/>
                      <w:shd w:val="clear" w:color="auto" w:fill="FFFFFF"/>
                    </w:rPr>
                    <w:t xml:space="preserve"> </w:t>
                  </w:r>
                </w:p>
                <w:p w14:paraId="56F4FB54" w14:textId="77777777">
                  <w:pPr>
                    <w:spacing w:line="360" w:lineRule="auto"/>
                    <w:ind w:firstLine="680"/>
                    <w:jc w:val="both"/>
                    <w:rPr>
                      <w:color w:val="000000"/>
                      <w:szCs w:val="24"/>
                      <w:shd w:val="clear" w:color="auto" w:fill="FFFFFF"/>
                    </w:rPr>
                  </w:pPr>
                  <w:r>
                    <w:rPr>
                      <w:color w:val="000000"/>
                      <w:szCs w:val="24"/>
                      <w:shd w:val="clear" w:color="auto" w:fill="FFFFFF"/>
                    </w:rPr>
                    <w:t>A</w:t>
                  </w:r>
                  <w:r>
                    <w:rPr>
                      <w:color w:val="000000"/>
                      <w:szCs w:val="24"/>
                    </w:rPr>
                    <w:t>ntikorupcinis sprendimo vertinimas neatliekamas</w:t>
                  </w:r>
                  <w:r>
                    <w:rPr>
                      <w:color w:val="000000"/>
                      <w:szCs w:val="24"/>
                      <w:shd w:val="clear" w:color="auto" w:fill="FFFFFF"/>
                    </w:rPr>
                    <w:t>.</w:t>
                  </w:r>
                </w:p>
              </w:sdtContent>
            </w:sdt>
            <w:sdt>
              <w:sdtPr>
                <w:alias w:val="11 p."/>
                <w:tag w:val="part_0068050fb619466ca299216dd402af05"/>
                <w:lock w:val="sdtLocked"/>
                <w:richText/>
              </w:sdtPr>
              <w:sdtContent>
                <w:p w14:paraId="0F5AB157" w14:textId="77777777">
                  <w:pPr>
                    <w:tabs>
                      <w:tab w:val="left" w:pos="1134"/>
                    </w:tabs>
                    <w:spacing w:line="360" w:lineRule="auto"/>
                    <w:ind w:left="1069" w:hanging="360"/>
                    <w:rPr>
                      <w:rFonts w:eastAsia="Calibri"/>
                      <w:b/>
                      <w:bCs/>
                      <w:color w:val="000000"/>
                      <w:szCs w:val="24"/>
                    </w:rPr>
                  </w:pPr>
                  <w:sdt>
                    <w:sdtPr>
                      <w:alias w:val="Numeris"/>
                      <w:tag w:val="nr_0068050fb619466ca299216dd402af05"/>
                      <w:lock w:val="sdtLocked"/>
                      <w:richText/>
                    </w:sdtPr>
                    <w:sdtContent>
                      <w:r>
                        <w:rPr>
                          <w:rFonts w:eastAsia="Calibri"/>
                          <w:b/>
                          <w:bCs/>
                          <w:color w:val="000000"/>
                          <w:szCs w:val="24"/>
                        </w:rPr>
                        <w:t>11</w:t>
                      </w:r>
                    </w:sdtContent>
                  </w:sdt>
                  <w:r>
                    <w:rPr>
                      <w:rFonts w:eastAsia="Calibri"/>
                      <w:b/>
                      <w:bCs/>
                      <w:color w:val="000000"/>
                      <w:szCs w:val="24"/>
                    </w:rPr>
                    <w:t>.</w:t>
                    <w:tab/>
                    <w:t xml:space="preserve">Kiti, iniciatoriaus nuomone, reikalingi pagrindimai ir paaiškinimai. </w:t>
                  </w:r>
                </w:p>
                <w:p w14:paraId="255218B2" w14:textId="77777777">
                  <w:pPr>
                    <w:spacing w:line="360" w:lineRule="auto"/>
                    <w:ind w:left="1069" w:hanging="360"/>
                    <w:jc w:val="both"/>
                    <w:rPr>
                      <w:color w:val="000000"/>
                      <w:szCs w:val="24"/>
                    </w:rPr>
                  </w:pPr>
                  <w:r>
                    <w:rPr>
                      <w:color w:val="000000"/>
                      <w:szCs w:val="24"/>
                    </w:rPr>
                    <w:t>Nėra.</w:t>
                  </w:r>
                </w:p>
              </w:sdtContent>
            </w:sdt>
            <w:sdt>
              <w:sdtPr>
                <w:alias w:val="12 p."/>
                <w:tag w:val="part_fa3ebc04bbd74c63a855daf63b39f5d9"/>
                <w:lock w:val="sdtLocked"/>
                <w:richText/>
              </w:sdtPr>
              <w:sdtContent>
                <w:p w14:paraId="598A2015" w14:textId="77777777">
                  <w:pPr>
                    <w:spacing w:line="360" w:lineRule="auto"/>
                    <w:ind w:left="1069" w:hanging="360"/>
                    <w:jc w:val="both"/>
                    <w:rPr>
                      <w:rFonts w:eastAsia="Calibri"/>
                      <w:b/>
                      <w:bCs/>
                      <w:color w:val="000000"/>
                      <w:szCs w:val="24"/>
                    </w:rPr>
                  </w:pPr>
                  <w:sdt>
                    <w:sdtPr>
                      <w:alias w:val="Numeris"/>
                      <w:tag w:val="nr_fa3ebc04bbd74c63a855daf63b39f5d9"/>
                      <w:lock w:val="sdtLocked"/>
                      <w:richText/>
                    </w:sdtPr>
                    <w:sdtContent>
                      <w:r>
                        <w:rPr>
                          <w:rFonts w:eastAsia="Calibri"/>
                          <w:b/>
                          <w:bCs/>
                          <w:color w:val="000000"/>
                          <w:szCs w:val="24"/>
                        </w:rPr>
                        <w:t>12</w:t>
                      </w:r>
                    </w:sdtContent>
                  </w:sdt>
                  <w:r>
                    <w:rPr>
                      <w:rFonts w:eastAsia="Calibri"/>
                      <w:b/>
                      <w:bCs/>
                      <w:color w:val="000000"/>
                      <w:szCs w:val="24"/>
                    </w:rPr>
                    <w:t>.</w:t>
                    <w:tab/>
                    <w:t>Pridedami dokumentai.</w:t>
                  </w:r>
                </w:p>
                <w:p w14:paraId="6C0109CB" w14:textId="38D6B9E2">
                  <w:pPr>
                    <w:spacing w:line="360" w:lineRule="auto"/>
                    <w:ind w:firstLine="744"/>
                    <w:jc w:val="both"/>
                    <w:rPr>
                      <w:rFonts w:eastAsia="Calibri"/>
                      <w:bCs/>
                      <w:color w:val="000000"/>
                      <w:szCs w:val="24"/>
                    </w:rPr>
                  </w:pPr>
                  <w:r>
                    <w:rPr>
                      <w:color w:val="000000"/>
                      <w:szCs w:val="24"/>
                    </w:rPr>
                    <w:t>Radviliškio technologijų ir verslo mokymo centro 2025-08-26 prašymas Nr. S1-181.</w:t>
                  </w:r>
                </w:p>
                <w:p w14:paraId="44369180" w14:textId="77777777">
                  <w:pPr>
                    <w:jc w:val="both"/>
                    <w:rPr>
                      <w:rFonts w:eastAsia="Calibri"/>
                      <w:color w:val="000000"/>
                      <w:szCs w:val="24"/>
                    </w:rPr>
                  </w:pPr>
                </w:p>
                <w:p w14:paraId="38FCEE5D" w14:textId="77777777">
                  <w:pPr>
                    <w:ind w:left="709"/>
                    <w:jc w:val="both"/>
                    <w:rPr>
                      <w:rFonts w:eastAsia="Calibri"/>
                      <w:szCs w:val="24"/>
                    </w:rPr>
                  </w:pPr>
                </w:p>
                <w:p w14:paraId="3B57C0AE" w14:textId="77777777">
                  <w:pPr>
                    <w:ind w:left="709"/>
                    <w:jc w:val="both"/>
                    <w:rPr>
                      <w:rFonts w:eastAsia="Calibri"/>
                      <w:szCs w:val="24"/>
                    </w:rPr>
                  </w:pPr>
                </w:p>
              </w:sdtContent>
            </w:sdt>
          </w:sdtContent>
        </w:sdt>
        <w:sdt>
          <w:sdtPr>
            <w:alias w:val="signatura"/>
            <w:tag w:val="part_527b5f28021e4f7f80e1e9e4d741ed88"/>
            <w:lock w:val="sdtLocked"/>
            <w:richText/>
          </w:sdtPr>
          <w:sdtContent>
            <w:p w14:paraId="7EE1AD59" w14:textId="77777777">
              <w:pPr>
                <w:tabs>
                  <w:tab w:val="left" w:pos="7680"/>
                </w:tabs>
                <w:jc w:val="both"/>
                <w:rPr>
                  <w:szCs w:val="24"/>
                </w:rPr>
              </w:pPr>
              <w:r>
                <w:rPr>
                  <w:szCs w:val="24"/>
                </w:rPr>
                <w:t>Architektūros ir urbanistikos skyriaus</w:t>
              </w:r>
            </w:p>
            <w:p w14:paraId="32C4323C" w14:textId="4A81299C">
              <w:pPr>
                <w:tabs>
                  <w:tab w:val="left" w:pos="7680"/>
                </w:tabs>
                <w:jc w:val="both"/>
                <w:rPr>
                  <w:szCs w:val="24"/>
                </w:rPr>
              </w:pPr>
              <w:r>
                <w:rPr>
                  <w:szCs w:val="24"/>
                </w:rPr>
                <w:t xml:space="preserve">vyriausiasis specialistas                                                                                             Vytautas Urbonas</w:t>
              </w:r>
            </w:p>
            <w:p w14:paraId="6302B8C3" w14:textId="77777777">
              <w:pPr>
                <w:tabs>
                  <w:tab w:val="left" w:pos="7680"/>
                </w:tabs>
                <w:jc w:val="both"/>
                <w:rPr>
                  <w:szCs w:val="24"/>
                </w:rPr>
              </w:pPr>
            </w:p>
            <w:p w14:paraId="7A76FCF5" w14:textId="77777777">
              <w:pPr>
                <w:tabs>
                  <w:tab w:val="left" w:pos="7680"/>
                </w:tabs>
                <w:jc w:val="both"/>
                <w:rPr>
                  <w:szCs w:val="24"/>
                </w:rPr>
              </w:pPr>
            </w:p>
            <w:p w14:paraId="41D34754" w14:textId="4F1EE2BD">
              <w:pPr>
                <w:tabs>
                  <w:tab w:val="left" w:pos="7680"/>
                </w:tabs>
                <w:jc w:val="center"/>
                <w:rPr>
                  <w:szCs w:val="24"/>
                </w:rPr>
              </w:pPr>
              <w:r>
                <w:rPr>
                  <w:szCs w:val="24"/>
                </w:rPr>
                <w:t>_________________________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0275B" w14:textId="77777777">
      <w:pPr>
        <w:rPr>
          <w:szCs w:val="24"/>
        </w:rPr>
      </w:pPr>
      <w:r>
        <w:rPr>
          <w:szCs w:val="24"/>
        </w:rPr>
        <w:separator/>
      </w:r>
    </w:p>
  </w:endnote>
  <w:endnote w:type="continuationSeparator" w:id="0">
    <w:p w14:paraId="13D6E48A"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EB831E" w14:textId="77777777">
      <w:pPr>
        <w:rPr>
          <w:szCs w:val="24"/>
        </w:rPr>
      </w:pPr>
      <w:r>
        <w:rPr>
          <w:szCs w:val="24"/>
        </w:rPr>
        <w:separator/>
      </w:r>
    </w:p>
  </w:footnote>
  <w:footnote w:type="continuationSeparator" w:id="0">
    <w:p w14:paraId="3CFBE6E9"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fd990d8a54414a8c84447a5aba6401" PartId="85fbe89a4d00491baec6e4aef4f86c21">
    <Part Type="preambule" DocPartId="804a4cdb8a7d4f9bb175fec8f642bd76" PartId="872d51db6c4e4777aa9c83cf1b9c0d2d"/>
    <Part Type="pastraipa" DocPartId="26af9048877f484cba1cd9b9fd0a22e1" PartId="60d01bdd3ac54f279b2653e6ff193221"/>
    <Part Type="punktas" Nr="1" Abbr="1 p." DocPartId="9e37e732744a4f959e21529ed1372ae3" PartId="aed47d409e0143ee90ea64b3b189baec">
      <Part Type="papunktis" Nr="1.1" Abbr="1.1 pp." DocPartId="0b4b627b1cc54534be601204edfa325c" PartId="ff29bdf842ff4e49b5b0a248a8a99e98"/>
      <Part Type="papunktis" Nr="1.2" Abbr="1.2 pp." DocPartId="44b4ebe377054936a142f40c9d161c71" PartId="04c9864b137241278b47c6bdeb807e7a"/>
    </Part>
    <Part Type="punktas" Nr="2" Abbr="2 p." DocPartId="4fe9177d285d467da8223006a5be30c9" PartId="a2126f6148bb4f819721e14c9f0b6e0c"/>
    <Part Type="punktas" Nr="3" Abbr="3 p." DocPartId="ec23d5c94c6140bf835a92b5d7323ff6" PartId="12a2485fbf0340c9af244c2b28120df5"/>
    <Part Type="skirsnis" Title="RADVILIŠKIO RAJONO SAVIVALDYBĖS TARYBOS SPRENDIMO PROJEKTO „DĖL 1997 M. SPALIO 2 D. VALSTYBINĖS ŽEMĖS PANAUDOS SUTARTIES NR. N 71/97-0192 PRIPAŽINIMO PASIBAIGUSIA“ AIŠKINAMASIS RAŠTAS" DocPartId="b016e94eba4f4659b293cc3b40c92a32" PartId="a7706c4b19a94e1f96522cffc841e90f">
      <Part Type="punktas" Nr="1" Abbr="1 p." DocPartId="4014c31d2e3f425db57f1a4f5b19a3dc" PartId="512fe033e6f042d5bbc39d8f1858b687"/>
      <Part Type="punktas" Nr="2" Abbr="2 p." DocPartId="80ef4540ccef41b4a703febb05eee377" PartId="464bab7bcd3943bfa2df355c0666f1fa"/>
      <Part Type="punktas" Nr="3" Abbr="3 p." DocPartId="71ec7de75b354cd2a63494bfe92e4d13" PartId="31c7e8ccaeca4479b620364f87b342e5"/>
      <Part Type="punktas" Nr="4" Abbr="4 p." DocPartId="58cc4a51fbc64d55baea410180afb763" PartId="45351c818047403f984413650f770379"/>
      <Part Type="punktas" Nr="5" Abbr="5 p." DocPartId="059365a396f447ccb14b18f9cfffa32f" PartId="32595373cf9c4b148c2168c6bdc64182"/>
      <Part Type="punktas" Nr="6" Abbr="6 p." DocPartId="83e2d17334234f2483ab54810e7be983" PartId="f5bd8aa8f9344e5596b3e6d2d55bf1bc"/>
      <Part Type="punktas" Nr="7" Abbr="7 p." DocPartId="0c6f9f2e1e784264ac95fa19ed1195f6" PartId="77040827cfa149e5a3d0858ccf08218b"/>
      <Part Type="punktas" Nr="8" Abbr="8 p." DocPartId="866e366c67724aa8b7d50fe9bd0d1c9e" PartId="ad3384dbf47c4cff9bff19e70b8256ef"/>
      <Part Type="punktas" Nr="9" Abbr="9 p." DocPartId="945b68620632464393862bfb4ebcc3dd" PartId="b48f6265843a4437bdb75459bf082d58"/>
      <Part Type="punktas" Nr="10" Abbr="10 p." DocPartId="0199b3fb2a4c4b4eb5b1956b18faf560" PartId="785ab1c422444ffdbde98da92f51eadd"/>
      <Part Type="punktas" Nr="11" Abbr="11 p." DocPartId="9cc63854a90d4e05aacb6f32240e593f" PartId="0068050fb619466ca299216dd402af05"/>
      <Part Type="punktas" Nr="12" Abbr="12 p." DocPartId="0bb25f3de8ee4937b86ae65435bf17d6" PartId="fa3ebc04bbd74c63a855daf63b39f5d9"/>
    </Part>
    <Part Type="signatura" DocPartId="92a76892c7bd47799ba1d11fadbe276a" PartId="527b5f28021e4f7f80e1e9e4d741ed88"/>
  </Part>
</Parts>
</file>

<file path=customXml/itemProps1.xml><?xml version="1.0" encoding="utf-8"?>
<ds:datastoreItem xmlns:ds="http://schemas.openxmlformats.org/officeDocument/2006/customXml" ds:itemID="{E07C1A58-F053-494E-8724-4EBD80553C3F}">
  <ds:schemaRefs>
    <ds:schemaRef ds:uri="http://schemas.openxmlformats.org/officeDocument/2006/bibliography"/>
  </ds:schemaRefs>
</ds:datastoreItem>
</file>

<file path=customXml/itemProps2.xml><?xml version="1.0" encoding="utf-8"?>
<ds:datastoreItem xmlns:ds="http://schemas.openxmlformats.org/officeDocument/2006/customXml" ds:itemID="{7B480FD8-82C4-4CD0-A961-209F8F2DF2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666</Words>
  <Characters>4809</Characters>
  <Application>Microsoft Office Word</Application>
  <DocSecurity>4</DocSecurity>
  <Lines>104</Lines>
  <Paragraphs>59</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5416</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2025-09-10T12:20:00Z</dcterms:created>
  <dc:creator>Gintaras</dc:creator>
  <lastModifiedBy>adlibuser</lastModifiedBy>
  <lastPrinted>2025-03-07T07:23:00Z</lastPrinted>
  <dcterms:modified xsi:type="dcterms:W3CDTF">2025-09-10T12:20:00Z</dcterms:modified>
  <revision>2</revision>
</coreProperties>
</file>