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e6eea49c520f44d787d4118a0425c647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sz w:val="20"/>
              <w:lang w:val="x-none"/>
            </w:rPr>
          </w:pPr>
        </w:p>
        <w:p>
          <w:pPr>
            <w:tabs>
              <w:tab w:val="left" w:pos="6379"/>
            </w:tabs>
            <w:ind w:firstLine="7920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>
          <w:pPr>
            <w:jc w:val="center"/>
            <w:rPr>
              <w:b/>
              <w:bCs/>
              <w:caps/>
              <w:szCs w:val="24"/>
            </w:rPr>
          </w:pP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LIETUVOS RESPUBLIKOS</w:t>
          </w: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 xml:space="preserve">VALSTYBĖS TARNYBOS ĮSTATYMO 3 PRIEDO PAKEITIMO IR KAI KURIŲ SU JUO SUSIJUSIŲ ĮSTATYMŲ PRIPAŽINIMO NETEKUSIAIS GALIOS 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ĮSTATYMO NR. XII-681  2 IR 3 STRAIPSNIŲ PAKEITIMO</w:t>
          </w:r>
        </w:p>
        <w:p>
          <w:pPr>
            <w:jc w:val="center"/>
            <w:rPr>
              <w:b/>
              <w:caps/>
              <w:spacing w:val="20"/>
              <w:szCs w:val="24"/>
            </w:rPr>
          </w:pPr>
          <w:r>
            <w:rPr>
              <w:b/>
              <w:caps/>
              <w:spacing w:val="20"/>
              <w:szCs w:val="24"/>
            </w:rPr>
            <w:t>ĮSTATYMAS</w:t>
          </w:r>
        </w:p>
        <w:p>
          <w:pPr>
            <w:ind w:firstLine="62"/>
            <w:jc w:val="center"/>
            <w:rPr>
              <w:rFonts w:ascii="TimesLT" w:hAnsi="TimesLT"/>
              <w:szCs w:val="24"/>
            </w:rPr>
          </w:pPr>
        </w:p>
        <w:p>
          <w:pPr>
            <w:spacing w:line="360" w:lineRule="auto"/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2015 m.                                 d. 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spacing w:line="360" w:lineRule="auto"/>
            <w:ind w:firstLine="720"/>
            <w:jc w:val="both"/>
            <w:rPr>
              <w:b/>
              <w:szCs w:val="24"/>
            </w:rPr>
          </w:pPr>
        </w:p>
        <w:sdt>
          <w:sdtPr>
            <w:alias w:val="1 str."/>
            <w:tag w:val="part_e915561ce67d4c559465b1e92a191bf2"/>
            <w:lock w:val="sdtLocked"/>
            <w:richText/>
          </w:sdtPr>
          <w:sdtContent>
            <w:p>
              <w:pPr>
                <w:spacing w:line="360" w:lineRule="auto"/>
                <w:ind w:left="1080" w:hanging="36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e915561ce67d4c559465b1e92a191bf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ab/>
                <w:t xml:space="preserve">straipsnis. </w:t>
              </w:r>
              <w:sdt>
                <w:sdtPr>
                  <w:alias w:val="Pavadinimas"/>
                  <w:tag w:val="title_e915561ce67d4c559465b1e92a191bf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2f8f3e3b8429458491884ed76ce6d24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2f8f3e3b8429458491884ed76ce6d240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Pakeisti 2 straipsnyje išdėstyto Lietuvos Respublikos valstybės tarnybos įstatymo 3 priedo 6 punktą ir jį išdėstyti taip: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317"/>
                    <w:gridCol w:w="516"/>
                    <w:gridCol w:w="1342"/>
                    <w:gridCol w:w="1322"/>
                    <w:gridCol w:w="1322"/>
                    <w:gridCol w:w="1383"/>
                    <w:gridCol w:w="551"/>
                    <w:gridCol w:w="551"/>
                    <w:gridCol w:w="551"/>
                    <w:gridCol w:w="551"/>
                    <w:gridCol w:w="551"/>
                    <w:gridCol w:w="331"/>
                  </w:tblGrid>
                  <w:tr>
                    <w:tc>
                      <w:tcPr>
                        <w:tcW w:w="438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spacing w:line="360" w:lineRule="auto"/>
                          <w:jc w:val="both"/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534" w:type="dxa"/>
                        <w:tcBorders>
                          <w:lef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spacing w:line="360" w:lineRule="auto"/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„6.</w:t>
                        </w:r>
                      </w:p>
                    </w:tc>
                    <w:tc>
                      <w:tcPr>
                        <w:tcW w:w="1433" w:type="dxa"/>
                        <w:shd w:val="clear" w:color="auto" w:fill="auto"/>
                      </w:tcPr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Seimo Pirmininko pavaduotojo patarėjas,</w:t>
                          <w:br/>
                          <w:t>opozicijos lyderio patarėjas,</w:t>
                          <w:br/>
                          <w:t>Vyriausybės įgaliotinio pavaduotojas</w:t>
                        </w:r>
                      </w:p>
                    </w:tc>
                    <w:tc>
                      <w:tcPr>
                        <w:tcW w:w="1155" w:type="dxa"/>
                        <w:shd w:val="clear" w:color="auto" w:fill="auto"/>
                      </w:tcPr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b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 xml:space="preserve">departamento direktoriaus pavaduotojas, valdybos direktoriaus pavaduotojas, </w:t>
                          <w:br/>
                          <w:t xml:space="preserve">komisijos ar tarybos sekretoriato </w:t>
                        </w:r>
                        <w:r>
                          <w:rPr>
                            <w:rFonts w:ascii="TimesLT" w:hAnsi="TimesLT"/>
                            <w:color w:val="000000"/>
                            <w:sz w:val="20"/>
                            <w:szCs w:val="24"/>
                          </w:rPr>
                          <w:t xml:space="preserve">vadovas, Seimo posėdžių sekretoriato vedėjas, </w:t>
                          <w:br/>
                        </w:r>
                        <w:r>
                          <w:rPr>
                            <w:rFonts w:ascii="TimesLT" w:hAnsi="TimesLT"/>
                            <w:color w:val="000000"/>
                            <w:spacing w:val="-4"/>
                            <w:sz w:val="20"/>
                            <w:szCs w:val="24"/>
                          </w:rPr>
                          <w:t xml:space="preserve">skyriaus </w:t>
                        </w:r>
                        <w:r>
                          <w:rPr>
                            <w:rFonts w:ascii="TimesLT" w:hAnsi="TimesLT"/>
                            <w:color w:val="000000"/>
                            <w:sz w:val="20"/>
                            <w:szCs w:val="24"/>
                          </w:rPr>
                          <w:t xml:space="preserve">vedėjas (taikoma struktūriniam padaliniui, nesančiam kitame struktūrinia-me padalinyje), biuro vedėjas (Seimo kanceliarijo-je), </w:t>
                          <w:br/>
                          <w:t>vyresnysis patarėjas,</w:t>
                          <w:br/>
                          <w:t>Seimo nuolatinis atstovas Europos Sąjungoje, gynybos patarėjo</w:t>
                        </w: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 xml:space="preserve"> pavaduotojas,</w:t>
                          <w:br/>
                          <w:t>teismo skyriaus pirmininko patarėjas</w:t>
                        </w:r>
                        <w:r>
                          <w:rPr>
                            <w:sz w:val="20"/>
                            <w:szCs w:val="24"/>
                          </w:rPr>
                          <w:t>, seniūnas (biudžetinės įstaigos vadovas)</w:t>
                        </w:r>
                      </w:p>
                    </w:tc>
                    <w:tc>
                      <w:tcPr>
                        <w:tcW w:w="1155" w:type="dxa"/>
                        <w:shd w:val="clear" w:color="auto" w:fill="auto"/>
                      </w:tcPr>
                      <w:p>
                        <w:pPr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ministras patarėjas,</w:t>
                        </w:r>
                      </w:p>
                      <w:p>
                        <w:pPr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 xml:space="preserve">departamento direktoriaus pavaduotojas, </w:t>
                        </w: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skyriaus vedėjas (taikoma struktūriniam padaliniui, nesančiam kitame struktūrinia-me padalinyje)</w:t>
                        </w:r>
                      </w:p>
                    </w:tc>
                    <w:tc>
                      <w:tcPr>
                        <w:tcW w:w="1136" w:type="dxa"/>
                        <w:shd w:val="clear" w:color="auto" w:fill="auto"/>
                      </w:tcPr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departamento viršininko pavaduotojas,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valdybos viršininko pavaduotojas,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skyriaus viršininkas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(taikoma struktūriniam padaliniui, nesančiam kitame struktūriniame padalinyje), 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biuro viršininkas (taikoma struktūriniam padaliniui, nesančiam kitame struktūriniame padalinyje),</w:t>
                        </w: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posto viršininkas</w:t>
                        </w:r>
                      </w:p>
                    </w:tc>
                    <w:tc>
                      <w:tcPr>
                        <w:tcW w:w="594" w:type="dxa"/>
                        <w:shd w:val="clear" w:color="auto" w:fill="auto"/>
                        <w:vAlign w:val="center"/>
                      </w:tcPr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szCs w:val="24"/>
                          </w:rPr>
                          <w:t>A 15–17</w:t>
                        </w:r>
                      </w:p>
                    </w:tc>
                    <w:tc>
                      <w:tcPr>
                        <w:tcW w:w="594" w:type="dxa"/>
                        <w:shd w:val="clear" w:color="auto" w:fill="auto"/>
                        <w:vAlign w:val="center"/>
                      </w:tcPr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szCs w:val="24"/>
                          </w:rPr>
                          <w:t>A 14–16</w:t>
                        </w:r>
                      </w:p>
                    </w:tc>
                    <w:tc>
                      <w:tcPr>
                        <w:tcW w:w="594" w:type="dxa"/>
                        <w:shd w:val="clear" w:color="auto" w:fill="auto"/>
                        <w:vAlign w:val="center"/>
                      </w:tcPr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szCs w:val="24"/>
                          </w:rPr>
                          <w:t>A 13–15</w:t>
                        </w:r>
                      </w:p>
                    </w:tc>
                    <w:tc>
                      <w:tcPr>
                        <w:tcW w:w="594" w:type="dxa"/>
                        <w:shd w:val="clear" w:color="auto" w:fill="auto"/>
                        <w:vAlign w:val="center"/>
                      </w:tcPr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b/>
                            <w:bCs/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szCs w:val="24"/>
                          </w:rPr>
                          <w:t>A 12–14</w:t>
                        </w:r>
                      </w:p>
                    </w:tc>
                    <w:tc>
                      <w:tcPr>
                        <w:tcW w:w="594" w:type="dxa"/>
                        <w:tcBorders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b/>
                            <w:bCs/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szCs w:val="24"/>
                          </w:rPr>
                          <w:t>A 11–13“</w:t>
                        </w:r>
                      </w:p>
                    </w:tc>
                    <w:tc>
                      <w:tcPr>
                        <w:tcW w:w="467" w:type="dxa"/>
                        <w:tcBorders>
                          <w:top w:val="nil"/>
                          <w:left w:val="single" w:sz="4" w:space="0" w:color="auto"/>
                          <w:bottom w:val="nil"/>
                          <w:right w:val="nil"/>
                        </w:tcBorders>
                        <w:shd w:val="clear" w:color="auto" w:fill="auto"/>
                      </w:tcPr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</w:tc>
                  </w:tr>
                </w:tbl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</w:p>
              </w:sdtContent>
            </w:sdt>
            <w:sdt>
              <w:sdtPr>
                <w:alias w:val="1 str. 2 d."/>
                <w:tag w:val="part_4a27e8068d144c508a9d238d58988ae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4a27e8068d144c508a9d238d58988ae6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Pakeisti 2 straipsnyje išdėstyto Lietuvos Respublikos valstybės tarnybos įstatymo 3 priedo 7 punktą ir jį išdėstyti taip: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254"/>
                    <w:gridCol w:w="511"/>
                    <w:gridCol w:w="1422"/>
                    <w:gridCol w:w="1439"/>
                    <w:gridCol w:w="1358"/>
                    <w:gridCol w:w="1383"/>
                    <w:gridCol w:w="526"/>
                    <w:gridCol w:w="526"/>
                    <w:gridCol w:w="526"/>
                    <w:gridCol w:w="526"/>
                    <w:gridCol w:w="526"/>
                    <w:gridCol w:w="291"/>
                  </w:tblGrid>
                  <w:tr>
                    <w:tc>
                      <w:tcPr>
                        <w:tcW w:w="255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spacing w:line="360" w:lineRule="auto"/>
                          <w:jc w:val="both"/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512" w:type="dxa"/>
                        <w:tcBorders>
                          <w:lef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spacing w:line="360" w:lineRule="auto"/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„7.</w:t>
                        </w:r>
                      </w:p>
                    </w:tc>
                    <w:tc>
                      <w:tcPr>
                        <w:tcW w:w="1433" w:type="dxa"/>
                        <w:shd w:val="clear" w:color="auto" w:fill="auto"/>
                      </w:tcPr>
                      <w:p>
                        <w:pPr>
                          <w:tabs>
                            <w:tab w:val="left" w:pos="709"/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Respublikos Prezidento atstovas spaudai,</w:t>
                          <w:br/>
                          <w:t>Seimo Pirmininko atstovas spaudai,</w:t>
                          <w:br/>
                          <w:t>Ministro Pirmininko atstovas spaudai,</w:t>
                          <w:br/>
                          <w:t>savivaldybės tarybos sekretorius</w:t>
                        </w:r>
                      </w:p>
                    </w:tc>
                    <w:tc>
                      <w:tcPr>
                        <w:tcW w:w="1419" w:type="dxa"/>
                        <w:shd w:val="clear" w:color="auto" w:fill="auto"/>
                      </w:tcPr>
                      <w:p>
                        <w:pPr>
                          <w:tabs>
                            <w:tab w:val="left" w:pos="709"/>
                            <w:tab w:val="left" w:pos="1134"/>
                          </w:tabs>
                          <w:rPr>
                            <w:b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 xml:space="preserve">skyriaus vedėjas (taikoma struktūriniam padaliniui, esančiam kitame struktūrinia-me padalinyje), </w:t>
                          <w:br/>
                          <w:t>skyriaus vedėjo pavaduotojas (taikoma struktūriniam padaliniui, nesančiam kitame struktūrinia-me padalinyje), Seimo nuolatinio atstovo Europos Sąjungoje pavaduotojas,</w:t>
                          <w:br/>
                          <w:t>patarėjas,</w:t>
                          <w:br/>
                          <w:t xml:space="preserve">seniūnas (savivaldybės administracijos filialo vadovas), </w:t>
                        </w:r>
                        <w:r>
                          <w:rPr>
                            <w:sz w:val="20"/>
                            <w:szCs w:val="24"/>
                          </w:rPr>
                          <w:t>seniūno pavaduotojas (biudžetinės įstaigos vadovo pavaduotojas),</w:t>
                        </w: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 xml:space="preserve"> teismo pirmininko padėjėjas,</w:t>
                          <w:br/>
                          <w:t>teisėjo padėjėjas,</w:t>
                          <w:br/>
                          <w:t>vyriausiojo prokuroro padėjėjas</w:t>
                        </w:r>
                      </w:p>
                    </w:tc>
                    <w:tc>
                      <w:tcPr>
                        <w:tcW w:w="1361" w:type="dxa"/>
                        <w:shd w:val="clear" w:color="auto" w:fill="auto"/>
                      </w:tcPr>
                      <w:p>
                        <w:pPr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 xml:space="preserve">patarėjas, </w:t>
                          <w:br/>
                          <w:t>departamento patarėjas,</w:t>
                        </w:r>
                      </w:p>
                      <w:p>
                        <w:pPr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skyriaus vedėjas (taikoma struktūriniam padaliniui, esančiam kitame struktūrinia-me padalinyje),</w:t>
                        </w:r>
                      </w:p>
                      <w:p>
                        <w:pPr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skyriaus vedėjo pavaduotojas (taikoma struktūriniam padaliniui, nesančiam kitame struktūrinia-me padalinyje)</w:t>
                        </w: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</w:tc>
                    <w:tc>
                      <w:tcPr>
                        <w:tcW w:w="1378" w:type="dxa"/>
                        <w:shd w:val="clear" w:color="auto" w:fill="auto"/>
                      </w:tcPr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skyriaus viršininkas (taikoma struktūriniam padaliniui, esančiam kitame struktūriniame padalinyje),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tarnybos viršininkas,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centro viršininkas,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skyriaus viršininko pavaduotojas (taikoma struktūriniam padaliniui, nesančiam kitame struktūriniame padalinyje),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biuro viršininko pavaduotojas (taikoma struktūriniam padaliniui, nesančiam kitame struktūriniame padalinyje),</w:t>
                        </w:r>
                      </w:p>
                      <w:p>
                        <w:pPr>
                          <w:tabs>
                            <w:tab w:val="left" w:pos="709"/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posto viršininko pavaduotojas</w:t>
                        </w:r>
                      </w:p>
                    </w:tc>
                    <w:tc>
                      <w:tcPr>
                        <w:tcW w:w="527" w:type="dxa"/>
                        <w:shd w:val="clear" w:color="auto" w:fill="auto"/>
                        <w:vAlign w:val="center"/>
                      </w:tcPr>
                      <w:p>
                        <w:pPr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szCs w:val="24"/>
                          </w:rPr>
                          <w:t>A 14–16</w:t>
                        </w:r>
                      </w:p>
                    </w:tc>
                    <w:tc>
                      <w:tcPr>
                        <w:tcW w:w="527" w:type="dxa"/>
                        <w:shd w:val="clear" w:color="auto" w:fill="auto"/>
                        <w:vAlign w:val="center"/>
                      </w:tcPr>
                      <w:p>
                        <w:pPr>
                          <w:tabs>
                            <w:tab w:val="left" w:pos="709"/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szCs w:val="24"/>
                          </w:rPr>
                          <w:t>A 13–15</w:t>
                        </w:r>
                      </w:p>
                    </w:tc>
                    <w:tc>
                      <w:tcPr>
                        <w:tcW w:w="527" w:type="dxa"/>
                        <w:shd w:val="clear" w:color="auto" w:fill="auto"/>
                        <w:vAlign w:val="center"/>
                      </w:tcPr>
                      <w:p>
                        <w:pPr>
                          <w:jc w:val="both"/>
                          <w:rPr>
                            <w:b/>
                            <w:bCs/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szCs w:val="24"/>
                          </w:rPr>
                          <w:t>A 12–14</w:t>
                        </w:r>
                      </w:p>
                    </w:tc>
                    <w:tc>
                      <w:tcPr>
                        <w:tcW w:w="527" w:type="dxa"/>
                        <w:shd w:val="clear" w:color="auto" w:fill="auto"/>
                        <w:vAlign w:val="center"/>
                      </w:tcPr>
                      <w:p>
                        <w:pPr>
                          <w:tabs>
                            <w:tab w:val="left" w:pos="709"/>
                            <w:tab w:val="left" w:pos="1134"/>
                          </w:tabs>
                          <w:jc w:val="both"/>
                          <w:rPr>
                            <w:b/>
                            <w:bCs/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szCs w:val="24"/>
                          </w:rPr>
                          <w:t>A 11–13</w:t>
                        </w:r>
                      </w:p>
                    </w:tc>
                    <w:tc>
                      <w:tcPr>
                        <w:tcW w:w="527" w:type="dxa"/>
                        <w:tcBorders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szCs w:val="24"/>
                          </w:rPr>
                          <w:t>A 10–12“</w:t>
                        </w:r>
                      </w:p>
                    </w:tc>
                    <w:tc>
                      <w:tcPr>
                        <w:tcW w:w="295" w:type="dxa"/>
                        <w:tcBorders>
                          <w:top w:val="nil"/>
                          <w:left w:val="single" w:sz="4" w:space="0" w:color="auto"/>
                          <w:bottom w:val="nil"/>
                          <w:right w:val="nil"/>
                        </w:tcBorders>
                        <w:shd w:val="clear" w:color="auto" w:fill="auto"/>
                      </w:tcPr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</w:tc>
                  </w:tr>
                </w:tbl>
                <w:p>
                  <w:pPr>
                    <w:spacing w:line="360" w:lineRule="auto"/>
                    <w:jc w:val="both"/>
                    <w:rPr>
                      <w:bCs/>
                      <w:szCs w:val="24"/>
                    </w:rPr>
                  </w:pPr>
                </w:p>
              </w:sdtContent>
            </w:sdt>
            <w:sdt>
              <w:sdtPr>
                <w:alias w:val="1 str. 3 d."/>
                <w:tag w:val="part_546e87610a7a42f8949a62c780379de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546e87610a7a42f8949a62c780379de0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Pakeisti 2 straipsnyje išdėstyto Lietuvos Respublikos valstybės tarnybos įstatymo 3 priedo 8 punktą ir jį išdėstyti taip:</w:t>
                  </w:r>
                </w:p>
                <w:tbl>
                  <w:tblPr>
                    <w:tblW w:w="9180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779"/>
                    <w:gridCol w:w="1323"/>
                    <w:gridCol w:w="1545"/>
                    <w:gridCol w:w="1417"/>
                    <w:gridCol w:w="1416"/>
                    <w:gridCol w:w="432"/>
                    <w:gridCol w:w="567"/>
                    <w:gridCol w:w="567"/>
                    <w:gridCol w:w="567"/>
                    <w:gridCol w:w="567"/>
                  </w:tblGrid>
                  <w:tr>
                    <w:tc>
                      <w:tcPr>
                        <w:tcW w:w="779" w:type="dxa"/>
                        <w:tcBorders>
                          <w:lef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spacing w:line="360" w:lineRule="auto"/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„8.</w:t>
                        </w:r>
                      </w:p>
                    </w:tc>
                    <w:tc>
                      <w:tcPr>
                        <w:tcW w:w="1323" w:type="dxa"/>
                        <w:shd w:val="clear" w:color="auto" w:fill="auto"/>
                      </w:tcPr>
                      <w:p>
                        <w:pPr>
                          <w:tabs>
                            <w:tab w:val="left" w:pos="709"/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</w:tc>
                    <w:tc>
                      <w:tcPr>
                        <w:tcW w:w="1545" w:type="dxa"/>
                        <w:shd w:val="clear" w:color="auto" w:fill="auto"/>
                      </w:tcPr>
                      <w:p>
                        <w:pPr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seniūnas (savivaldybės administracijos filialo vadovas)</w:t>
                        </w:r>
                      </w:p>
                    </w:tc>
                    <w:tc>
                      <w:tcPr>
                        <w:tcW w:w="1417" w:type="dxa"/>
                        <w:shd w:val="clear" w:color="auto" w:fill="auto"/>
                      </w:tcPr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</w:tc>
                    <w:tc>
                      <w:tcPr>
                        <w:tcW w:w="1416" w:type="dxa"/>
                        <w:shd w:val="clear" w:color="auto" w:fill="auto"/>
                      </w:tcPr>
                      <w:p>
                        <w:pPr>
                          <w:tabs>
                            <w:tab w:val="left" w:pos="709"/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</w:tc>
                    <w:tc>
                      <w:tcPr>
                        <w:tcW w:w="432" w:type="dxa"/>
                      </w:tcPr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</w:tc>
                    <w:tc>
                      <w:tcPr>
                        <w:tcW w:w="567" w:type="dxa"/>
                      </w:tcPr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</w:tc>
                    <w:tc>
                      <w:tcPr>
                        <w:tcW w:w="567" w:type="dxa"/>
                      </w:tcPr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B 11–13</w:t>
                        </w:r>
                      </w:p>
                    </w:tc>
                    <w:tc>
                      <w:tcPr>
                        <w:tcW w:w="567" w:type="dxa"/>
                      </w:tcPr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B 10–12“</w:t>
                        </w:r>
                      </w:p>
                    </w:tc>
                    <w:tc>
                      <w:tcPr>
                        <w:tcW w:w="567" w:type="dxa"/>
                      </w:tcPr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</w:tc>
                  </w:tr>
                </w:tbl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</w:p>
              </w:sdtContent>
            </w:sdt>
            <w:sdt>
              <w:sdtPr>
                <w:alias w:val="1 str. 4 d."/>
                <w:tag w:val="part_d2473a0e8099494d8cf09cdea47802c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d2473a0e8099494d8cf09cdea47802cb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Pakeisti 2 straipsnyje išdėstyto Lietuvos Respublikos valstybės tarnybos įstatymo 3 priedo 9 punktą ir jį išdėstyti taip:</w:t>
                  </w:r>
                </w:p>
                <w:tbl>
                  <w:tblPr>
                    <w:tblW w:w="9180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743"/>
                    <w:gridCol w:w="1322"/>
                    <w:gridCol w:w="1532"/>
                    <w:gridCol w:w="1413"/>
                    <w:gridCol w:w="1412"/>
                    <w:gridCol w:w="516"/>
                    <w:gridCol w:w="561"/>
                    <w:gridCol w:w="561"/>
                    <w:gridCol w:w="561"/>
                    <w:gridCol w:w="559"/>
                  </w:tblGrid>
                  <w:tr>
                    <w:trPr>
                      <w:trHeight w:val="8264"/>
                    </w:trPr>
                    <w:tc>
                      <w:tcPr>
                        <w:tcW w:w="779" w:type="dxa"/>
                        <w:tcBorders>
                          <w:lef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spacing w:line="360" w:lineRule="auto"/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„9.</w:t>
                        </w:r>
                      </w:p>
                    </w:tc>
                    <w:tc>
                      <w:tcPr>
                        <w:tcW w:w="1323" w:type="dxa"/>
                        <w:shd w:val="clear" w:color="auto" w:fill="auto"/>
                      </w:tcPr>
                      <w:p>
                        <w:pPr>
                          <w:tabs>
                            <w:tab w:val="left" w:pos="709"/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Respublikos Prezidento patarėjo pavaduotojas,</w:t>
                          <w:br/>
                          <w:t>Respublikos Prezidento konsultantas,</w:t>
                          <w:br/>
                          <w:t>Seimo Pirmininko padėjėjas,</w:t>
                          <w:br/>
                          <w:t>ministro atstovas spaudai</w:t>
                        </w:r>
                      </w:p>
                    </w:tc>
                    <w:tc>
                      <w:tcPr>
                        <w:tcW w:w="1545" w:type="dxa"/>
                        <w:shd w:val="clear" w:color="auto" w:fill="auto"/>
                      </w:tcPr>
                      <w:p>
                        <w:pPr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 xml:space="preserve">poskyrio vedėjas, </w:t>
                          <w:br/>
                          <w:t xml:space="preserve">skyriaus </w:t>
                        </w:r>
                        <w:r>
                          <w:rPr>
                            <w:rFonts w:ascii="TimesLT" w:hAnsi="TimesLT"/>
                            <w:spacing w:val="-4"/>
                            <w:sz w:val="20"/>
                            <w:szCs w:val="24"/>
                          </w:rPr>
                          <w:t>vedėjo</w:t>
                        </w: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 xml:space="preserve"> pavaduotojas (taikoma struktūriniam padaliniui, esančiam kitame struktūriniame padalinyje), </w:t>
                          <w:br/>
                          <w:t xml:space="preserve">specialusis atašė, </w:t>
                          <w:br/>
                          <w:t xml:space="preserve">seniūno pavaduotojas (savivaldybės administracijos filialo vadovo pavaduotojas), </w:t>
                        </w:r>
                        <w:r>
                          <w:rPr>
                            <w:rFonts w:ascii="TimesLT" w:hAnsi="TimesLT"/>
                            <w:strike/>
                            <w:sz w:val="20"/>
                            <w:szCs w:val="24"/>
                          </w:rPr>
                          <w:br/>
                        </w: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vyriausiasis valstybinis auditorius,</w:t>
                        </w:r>
                      </w:p>
                      <w:p>
                        <w:pPr>
                          <w:tabs>
                            <w:tab w:val="left" w:pos="709"/>
                            <w:tab w:val="left" w:pos="1134"/>
                          </w:tabs>
                          <w:rPr>
                            <w:b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  <w:lang w:eastAsia="lt-LT"/>
                          </w:rPr>
                          <w:t>teismo konsultantas</w:t>
                        </w:r>
                      </w:p>
                    </w:tc>
                    <w:tc>
                      <w:tcPr>
                        <w:tcW w:w="1417" w:type="dxa"/>
                        <w:shd w:val="clear" w:color="auto" w:fill="auto"/>
                      </w:tcPr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 xml:space="preserve">konsulas, </w:t>
                          <w:br/>
                          <w:t xml:space="preserve">pirmasis sekretorius, </w:t>
                          <w:br/>
                          <w:t>skyriaus patarėjas,</w:t>
                        </w: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skyriaus vedėjo pavaduotojas (taikoma struktūriniam padaliniui, esančiam kitame struktūriniame padalinyje)</w:t>
                        </w:r>
                      </w:p>
                    </w:tc>
                    <w:tc>
                      <w:tcPr>
                        <w:tcW w:w="1416" w:type="dxa"/>
                        <w:shd w:val="clear" w:color="auto" w:fill="auto"/>
                      </w:tcPr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poskyrio viršininkas,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posto pamainos viršininkas,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kuopos vadas,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skyriaus viršininko pavaduotojas (taikoma struktūriniam padaliniui, esančiam kitame struktūriniame padalinyje),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tarnybos viršininko pavaduotojas,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centro viršininko pavaduotojas,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specialios paskirties būrio vado pavaduotojas,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specialusis atašė, </w:t>
                        </w:r>
                      </w:p>
                      <w:p>
                        <w:pPr>
                          <w:tabs>
                            <w:tab w:val="left" w:pos="709"/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vyriausiasis tyrėjas</w:t>
                        </w:r>
                      </w:p>
                    </w:tc>
                    <w:tc>
                      <w:tcPr>
                        <w:tcW w:w="432" w:type="dxa"/>
                      </w:tcPr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A 13–15</w:t>
                        </w:r>
                      </w:p>
                    </w:tc>
                    <w:tc>
                      <w:tcPr>
                        <w:tcW w:w="567" w:type="dxa"/>
                      </w:tcPr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A 12–14</w:t>
                        </w:r>
                      </w:p>
                    </w:tc>
                    <w:tc>
                      <w:tcPr>
                        <w:tcW w:w="567" w:type="dxa"/>
                      </w:tcPr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A 11–13</w:t>
                        </w:r>
                      </w:p>
                    </w:tc>
                    <w:tc>
                      <w:tcPr>
                        <w:tcW w:w="567" w:type="dxa"/>
                      </w:tcPr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A 10–12</w:t>
                        </w:r>
                      </w:p>
                    </w:tc>
                    <w:tc>
                      <w:tcPr>
                        <w:tcW w:w="567" w:type="dxa"/>
                      </w:tcPr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A 9–11“</w:t>
                        </w:r>
                      </w:p>
                    </w:tc>
                  </w:tr>
                </w:tbl>
                <w:p>
                  <w:pPr>
                    <w:spacing w:line="360" w:lineRule="auto"/>
                    <w:jc w:val="both"/>
                    <w:rPr>
                      <w:bC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351415082f484b9e952a593b43773df3"/>
            <w:lock w:val="sdtLocked"/>
            <w:richText/>
          </w:sdtPr>
          <w:sdtContent>
            <w:p>
              <w:pPr>
                <w:spacing w:line="360" w:lineRule="auto"/>
                <w:ind w:left="1080" w:hanging="36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351415082f484b9e952a593b43773df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ab/>
                <w:t xml:space="preserve">straipsnis. </w:t>
              </w:r>
              <w:sdt>
                <w:sdtPr>
                  <w:alias w:val="Pavadinimas"/>
                  <w:tag w:val="title_351415082f484b9e952a593b43773df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 straipsnio pakeitimas</w:t>
                  </w:r>
                </w:sdtContent>
              </w:sdt>
            </w:p>
            <w:sdt>
              <w:sdtPr>
                <w:alias w:val="2 str. 1 d."/>
                <w:tag w:val="part_a30abe7b18484f1182ff9afb093951c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a30abe7b18484f1182ff9afb093951cb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Pakeisti 3 straipsnyje išdėstyto Lietuvos Respublikos valstybės tarnybos įstatymo 3 priedo 6 punktą ir jį išdėstyti taip: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283"/>
                    <w:gridCol w:w="511"/>
                    <w:gridCol w:w="1318"/>
                    <w:gridCol w:w="1422"/>
                    <w:gridCol w:w="1383"/>
                    <w:gridCol w:w="1383"/>
                    <w:gridCol w:w="539"/>
                    <w:gridCol w:w="539"/>
                    <w:gridCol w:w="539"/>
                    <w:gridCol w:w="539"/>
                    <w:gridCol w:w="539"/>
                    <w:gridCol w:w="293"/>
                  </w:tblGrid>
                  <w:tr>
                    <w:tc>
                      <w:tcPr>
                        <w:tcW w:w="438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spacing w:line="360" w:lineRule="auto"/>
                          <w:jc w:val="both"/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534" w:type="dxa"/>
                        <w:tcBorders>
                          <w:lef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spacing w:line="360" w:lineRule="auto"/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„6.</w:t>
                        </w:r>
                      </w:p>
                    </w:tc>
                    <w:tc>
                      <w:tcPr>
                        <w:tcW w:w="1433" w:type="dxa"/>
                        <w:shd w:val="clear" w:color="auto" w:fill="auto"/>
                      </w:tcPr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Seimo Pirmininko pavaduotojo patarėjas,</w:t>
                          <w:br/>
                          <w:t>opozicijos lyderio patarėjas,</w:t>
                          <w:br/>
                          <w:t>Vyriausybės įgaliotinio pavaduotojas</w:t>
                        </w:r>
                      </w:p>
                    </w:tc>
                    <w:tc>
                      <w:tcPr>
                        <w:tcW w:w="1155" w:type="dxa"/>
                        <w:shd w:val="clear" w:color="auto" w:fill="auto"/>
                      </w:tcPr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b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 xml:space="preserve">departamento direktoriaus pavaduotojas, valdybos direktoriaus pavaduotojas, </w:t>
                          <w:br/>
                          <w:t xml:space="preserve">komisijos ar tarybos sekretoriato </w:t>
                        </w:r>
                        <w:r>
                          <w:rPr>
                            <w:rFonts w:ascii="TimesLT" w:hAnsi="TimesLT"/>
                            <w:color w:val="000000"/>
                            <w:sz w:val="20"/>
                            <w:szCs w:val="24"/>
                          </w:rPr>
                          <w:t xml:space="preserve">vadovas, Seimo posėdžių sekretoriato vedėjas, </w:t>
                          <w:br/>
                        </w:r>
                        <w:r>
                          <w:rPr>
                            <w:rFonts w:ascii="TimesLT" w:hAnsi="TimesLT"/>
                            <w:color w:val="000000"/>
                            <w:spacing w:val="-4"/>
                            <w:sz w:val="20"/>
                            <w:szCs w:val="24"/>
                          </w:rPr>
                          <w:t xml:space="preserve">skyriaus </w:t>
                        </w:r>
                        <w:r>
                          <w:rPr>
                            <w:rFonts w:ascii="TimesLT" w:hAnsi="TimesLT"/>
                            <w:color w:val="000000"/>
                            <w:sz w:val="20"/>
                            <w:szCs w:val="24"/>
                          </w:rPr>
                          <w:t xml:space="preserve">vedėjas (taikoma struktūriniam padaliniui, nesančiam kitame struktūriniame padalinyje), biuro vedėjas (Seimo kanceliarijoje), </w:t>
                          <w:br/>
                          <w:t>vyresnysis patarėjas,</w:t>
                          <w:br/>
                          <w:t>Seimo nuolatinis atstovas Europos Sąjungoje, gynybos patarėjo</w:t>
                        </w: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 xml:space="preserve"> pavaduotojas,</w:t>
                          <w:br/>
                          <w:t>teismo skyriaus pirmininko patarėjas</w:t>
                        </w:r>
                        <w:r>
                          <w:rPr>
                            <w:b/>
                            <w:sz w:val="20"/>
                            <w:szCs w:val="24"/>
                          </w:rPr>
                          <w:t xml:space="preserve">, </w:t>
                        </w:r>
                        <w:r>
                          <w:rPr>
                            <w:sz w:val="20"/>
                            <w:szCs w:val="24"/>
                          </w:rPr>
                          <w:t>seniūnas (biudžetinės įstaigos vadovas)</w:t>
                        </w:r>
                      </w:p>
                    </w:tc>
                    <w:tc>
                      <w:tcPr>
                        <w:tcW w:w="1155" w:type="dxa"/>
                        <w:shd w:val="clear" w:color="auto" w:fill="auto"/>
                      </w:tcPr>
                      <w:p>
                        <w:pPr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ministras patarėjas,</w:t>
                        </w:r>
                      </w:p>
                      <w:p>
                        <w:pPr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 xml:space="preserve">departamento direktoriaus pavaduotojas, </w:t>
                        </w: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skyriaus vedėjas (taikoma struktūriniam padaliniui, nesančiam kitame struktūriniame padalinyje)</w:t>
                        </w:r>
                      </w:p>
                    </w:tc>
                    <w:tc>
                      <w:tcPr>
                        <w:tcW w:w="1136" w:type="dxa"/>
                        <w:shd w:val="clear" w:color="auto" w:fill="auto"/>
                      </w:tcPr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departamento viršininko pavaduotojas,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valdybos viršininko pavaduotojas,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skyriaus viršininkas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(taikoma struktūriniam padaliniui, nesančiam kitame struktūriniame padalinyje), 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biuro viršininkas (taikoma struktūriniam padaliniui, nesančiam kitame struktūriniame padalinyje),</w:t>
                        </w: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posto viršininkas</w:t>
                        </w:r>
                      </w:p>
                    </w:tc>
                    <w:tc>
                      <w:tcPr>
                        <w:tcW w:w="594" w:type="dxa"/>
                        <w:shd w:val="clear" w:color="auto" w:fill="auto"/>
                        <w:vAlign w:val="center"/>
                      </w:tcPr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szCs w:val="24"/>
                          </w:rPr>
                          <w:t>A 16–17</w:t>
                        </w:r>
                      </w:p>
                    </w:tc>
                    <w:tc>
                      <w:tcPr>
                        <w:tcW w:w="594" w:type="dxa"/>
                        <w:shd w:val="clear" w:color="auto" w:fill="auto"/>
                        <w:vAlign w:val="center"/>
                      </w:tcPr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szCs w:val="24"/>
                          </w:rPr>
                          <w:t>A 15–16</w:t>
                        </w:r>
                      </w:p>
                    </w:tc>
                    <w:tc>
                      <w:tcPr>
                        <w:tcW w:w="594" w:type="dxa"/>
                        <w:shd w:val="clear" w:color="auto" w:fill="auto"/>
                        <w:vAlign w:val="center"/>
                      </w:tcPr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szCs w:val="24"/>
                          </w:rPr>
                          <w:t>A 14–15</w:t>
                        </w:r>
                      </w:p>
                    </w:tc>
                    <w:tc>
                      <w:tcPr>
                        <w:tcW w:w="594" w:type="dxa"/>
                        <w:shd w:val="clear" w:color="auto" w:fill="auto"/>
                        <w:vAlign w:val="center"/>
                      </w:tcPr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b/>
                            <w:bCs/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szCs w:val="24"/>
                          </w:rPr>
                          <w:t>A 13–14</w:t>
                        </w:r>
                      </w:p>
                    </w:tc>
                    <w:tc>
                      <w:tcPr>
                        <w:tcW w:w="594" w:type="dxa"/>
                        <w:tcBorders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b/>
                            <w:bCs/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szCs w:val="24"/>
                          </w:rPr>
                          <w:t>A 12–13“</w:t>
                        </w:r>
                      </w:p>
                    </w:tc>
                    <w:tc>
                      <w:tcPr>
                        <w:tcW w:w="467" w:type="dxa"/>
                        <w:tcBorders>
                          <w:top w:val="nil"/>
                          <w:left w:val="single" w:sz="4" w:space="0" w:color="auto"/>
                          <w:bottom w:val="nil"/>
                          <w:right w:val="nil"/>
                        </w:tcBorders>
                        <w:shd w:val="clear" w:color="auto" w:fill="auto"/>
                      </w:tcPr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</w:tc>
                  </w:tr>
                </w:tbl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</w:p>
              </w:sdtContent>
            </w:sdt>
            <w:sdt>
              <w:sdtPr>
                <w:alias w:val="2 str. 2 d."/>
                <w:tag w:val="part_977726c9e81047c2bed8a5910131bf4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977726c9e81047c2bed8a5910131bf46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Pakeisti 3 straipsnyje išdėstyto Lietuvos Respublikos valstybės tarnybos įstatymo 3 priedo 7 punktą ir jį išdėstyti taip: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250"/>
                    <w:gridCol w:w="510"/>
                    <w:gridCol w:w="1408"/>
                    <w:gridCol w:w="1439"/>
                    <w:gridCol w:w="1383"/>
                    <w:gridCol w:w="1383"/>
                    <w:gridCol w:w="526"/>
                    <w:gridCol w:w="526"/>
                    <w:gridCol w:w="526"/>
                    <w:gridCol w:w="526"/>
                    <w:gridCol w:w="526"/>
                    <w:gridCol w:w="285"/>
                  </w:tblGrid>
                  <w:tr>
                    <w:tc>
                      <w:tcPr>
                        <w:tcW w:w="255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spacing w:line="360" w:lineRule="auto"/>
                          <w:jc w:val="both"/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512" w:type="dxa"/>
                        <w:tcBorders>
                          <w:lef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spacing w:line="360" w:lineRule="auto"/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„7.</w:t>
                        </w:r>
                      </w:p>
                    </w:tc>
                    <w:tc>
                      <w:tcPr>
                        <w:tcW w:w="1433" w:type="dxa"/>
                        <w:shd w:val="clear" w:color="auto" w:fill="auto"/>
                      </w:tcPr>
                      <w:p>
                        <w:pPr>
                          <w:tabs>
                            <w:tab w:val="left" w:pos="709"/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Respublikos Prezidento atstovas spaudai,</w:t>
                          <w:br/>
                          <w:t>Seimo Pirmininko atstovas spaudai,</w:t>
                          <w:br/>
                          <w:t>Ministro Pirmininko atstovas spaudai,</w:t>
                          <w:br/>
                          <w:t>savivaldybės tarybos sekretorius</w:t>
                        </w:r>
                      </w:p>
                    </w:tc>
                    <w:tc>
                      <w:tcPr>
                        <w:tcW w:w="1419" w:type="dxa"/>
                        <w:shd w:val="clear" w:color="auto" w:fill="auto"/>
                      </w:tcPr>
                      <w:p>
                        <w:pPr>
                          <w:tabs>
                            <w:tab w:val="left" w:pos="709"/>
                            <w:tab w:val="left" w:pos="1134"/>
                          </w:tabs>
                          <w:rPr>
                            <w:b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 xml:space="preserve">skyriaus vedėjas (taikoma struktūriniam padaliniui, esančiam kitame struktūriniame padalinyje), </w:t>
                          <w:br/>
                          <w:t>skyriaus vedėjo pavaduotojas (taikoma struktūriniam padaliniui, nesančiam kitame struktūriniame padalinyje), Seimo nuolatinio atstovo Europos Sąjungoje pavaduotojas,</w:t>
                          <w:br/>
                          <w:t>patarėjas,</w:t>
                          <w:br/>
                          <w:t xml:space="preserve">seniūnas (savivaldybės administracijos filialo vadovas), </w:t>
                        </w:r>
                        <w:r>
                          <w:rPr>
                            <w:sz w:val="20"/>
                            <w:szCs w:val="24"/>
                          </w:rPr>
                          <w:t>seniūno pavaduotojas (biudžetinės įstaigos vadovo pavaduotojas),</w:t>
                        </w: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 xml:space="preserve"> teismo pirmininko padėjėjas,</w:t>
                          <w:br/>
                          <w:t>teisėjo padėjėjas,</w:t>
                          <w:br/>
                          <w:t>vyriausiojo prokuroro padėjėjas</w:t>
                        </w:r>
                      </w:p>
                    </w:tc>
                    <w:tc>
                      <w:tcPr>
                        <w:tcW w:w="1361" w:type="dxa"/>
                        <w:shd w:val="clear" w:color="auto" w:fill="auto"/>
                      </w:tcPr>
                      <w:p>
                        <w:pPr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 xml:space="preserve">patarėjas, </w:t>
                          <w:br/>
                          <w:t>departamento patarėjas,</w:t>
                        </w:r>
                      </w:p>
                      <w:p>
                        <w:pPr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skyriaus vedėjas (taikoma struktūriniam padaliniui, esančiam kitame struktūriniame padalinyje),</w:t>
                        </w:r>
                      </w:p>
                      <w:p>
                        <w:pPr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skyriaus vedėjo pavaduotojas (taikoma struktūriniam padaliniui, nesančiam kitame struktūriniame padalinyje)</w:t>
                        </w: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</w:tc>
                    <w:tc>
                      <w:tcPr>
                        <w:tcW w:w="1378" w:type="dxa"/>
                        <w:shd w:val="clear" w:color="auto" w:fill="auto"/>
                      </w:tcPr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skyriaus viršininkas (taikoma struktūriniam padaliniui, esančiam kitame struktūriniame padalinyje),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tarnybos viršininkas,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centro viršininkas,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skyriaus viršininko pavaduotojas (taikoma struktūriniam padaliniui, nesančiam kitame struktūriniame padalinyje),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biuro viršininko pavaduotojas (taikoma struktūriniam padaliniui, nesančiam kitame struktūriniame padalinyje),</w:t>
                        </w:r>
                      </w:p>
                      <w:p>
                        <w:pPr>
                          <w:tabs>
                            <w:tab w:val="left" w:pos="709"/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posto viršininko pavaduotojas</w:t>
                        </w:r>
                      </w:p>
                    </w:tc>
                    <w:tc>
                      <w:tcPr>
                        <w:tcW w:w="527" w:type="dxa"/>
                        <w:shd w:val="clear" w:color="auto" w:fill="auto"/>
                        <w:vAlign w:val="center"/>
                      </w:tcPr>
                      <w:p>
                        <w:pPr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szCs w:val="24"/>
                          </w:rPr>
                          <w:t>A 15–16</w:t>
                        </w:r>
                      </w:p>
                    </w:tc>
                    <w:tc>
                      <w:tcPr>
                        <w:tcW w:w="527" w:type="dxa"/>
                        <w:shd w:val="clear" w:color="auto" w:fill="auto"/>
                        <w:vAlign w:val="center"/>
                      </w:tcPr>
                      <w:p>
                        <w:pPr>
                          <w:tabs>
                            <w:tab w:val="left" w:pos="709"/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szCs w:val="24"/>
                          </w:rPr>
                          <w:t>A 14–15</w:t>
                        </w:r>
                      </w:p>
                    </w:tc>
                    <w:tc>
                      <w:tcPr>
                        <w:tcW w:w="527" w:type="dxa"/>
                        <w:shd w:val="clear" w:color="auto" w:fill="auto"/>
                        <w:vAlign w:val="center"/>
                      </w:tcPr>
                      <w:p>
                        <w:pPr>
                          <w:jc w:val="both"/>
                          <w:rPr>
                            <w:b/>
                            <w:bCs/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szCs w:val="24"/>
                          </w:rPr>
                          <w:t>A 13–14</w:t>
                        </w:r>
                      </w:p>
                    </w:tc>
                    <w:tc>
                      <w:tcPr>
                        <w:tcW w:w="527" w:type="dxa"/>
                        <w:shd w:val="clear" w:color="auto" w:fill="auto"/>
                        <w:vAlign w:val="center"/>
                      </w:tcPr>
                      <w:p>
                        <w:pPr>
                          <w:tabs>
                            <w:tab w:val="left" w:pos="709"/>
                            <w:tab w:val="left" w:pos="1134"/>
                          </w:tabs>
                          <w:jc w:val="both"/>
                          <w:rPr>
                            <w:b/>
                            <w:bCs/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szCs w:val="24"/>
                          </w:rPr>
                          <w:t>A 12–13</w:t>
                        </w:r>
                      </w:p>
                    </w:tc>
                    <w:tc>
                      <w:tcPr>
                        <w:tcW w:w="527" w:type="dxa"/>
                        <w:tcBorders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szCs w:val="24"/>
                          </w:rPr>
                          <w:t>A 11–12“</w:t>
                        </w:r>
                      </w:p>
                    </w:tc>
                    <w:tc>
                      <w:tcPr>
                        <w:tcW w:w="295" w:type="dxa"/>
                        <w:tcBorders>
                          <w:top w:val="nil"/>
                          <w:left w:val="single" w:sz="4" w:space="0" w:color="auto"/>
                          <w:bottom w:val="nil"/>
                          <w:right w:val="nil"/>
                        </w:tcBorders>
                        <w:shd w:val="clear" w:color="auto" w:fill="auto"/>
                      </w:tcPr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</w:tc>
                  </w:tr>
                </w:tbl>
                <w:p>
                  <w:pPr>
                    <w:tabs>
                      <w:tab w:val="left" w:pos="993"/>
                    </w:tabs>
                    <w:spacing w:line="360" w:lineRule="auto"/>
                    <w:ind w:left="1080" w:hanging="360"/>
                    <w:jc w:val="both"/>
                    <w:rPr>
                      <w:b/>
                      <w:szCs w:val="24"/>
                    </w:rPr>
                  </w:pPr>
                </w:p>
              </w:sdtContent>
            </w:sdt>
            <w:sdt>
              <w:sdtPr>
                <w:alias w:val="2 str. 3 d."/>
                <w:tag w:val="part_79445cb1c1064a5999d4da008ea9765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79445cb1c1064a5999d4da008ea9765c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Pakeisti 3 straipsnyje išdėstyto Lietuvos Respublikos valstybės tarnybos įstatymo 3 priedo 8 punktą ir jį išdėstyti taip:</w:t>
                  </w:r>
                </w:p>
                <w:tbl>
                  <w:tblPr>
                    <w:tblW w:w="9180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779"/>
                    <w:gridCol w:w="1323"/>
                    <w:gridCol w:w="1545"/>
                    <w:gridCol w:w="1417"/>
                    <w:gridCol w:w="1416"/>
                    <w:gridCol w:w="432"/>
                    <w:gridCol w:w="567"/>
                    <w:gridCol w:w="567"/>
                    <w:gridCol w:w="567"/>
                    <w:gridCol w:w="567"/>
                  </w:tblGrid>
                  <w:tr>
                    <w:tc>
                      <w:tcPr>
                        <w:tcW w:w="779" w:type="dxa"/>
                        <w:tcBorders>
                          <w:lef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spacing w:line="360" w:lineRule="auto"/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„8.</w:t>
                        </w:r>
                      </w:p>
                    </w:tc>
                    <w:tc>
                      <w:tcPr>
                        <w:tcW w:w="1323" w:type="dxa"/>
                        <w:shd w:val="clear" w:color="auto" w:fill="auto"/>
                      </w:tcPr>
                      <w:p>
                        <w:pPr>
                          <w:tabs>
                            <w:tab w:val="left" w:pos="709"/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</w:tc>
                    <w:tc>
                      <w:tcPr>
                        <w:tcW w:w="1545" w:type="dxa"/>
                        <w:shd w:val="clear" w:color="auto" w:fill="auto"/>
                      </w:tcPr>
                      <w:p>
                        <w:pPr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seniūnas (savivaldybės administracijos filialo vadovas)</w:t>
                        </w:r>
                      </w:p>
                    </w:tc>
                    <w:tc>
                      <w:tcPr>
                        <w:tcW w:w="1417" w:type="dxa"/>
                        <w:shd w:val="clear" w:color="auto" w:fill="auto"/>
                      </w:tcPr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</w:tc>
                    <w:tc>
                      <w:tcPr>
                        <w:tcW w:w="1416" w:type="dxa"/>
                        <w:shd w:val="clear" w:color="auto" w:fill="auto"/>
                      </w:tcPr>
                      <w:p>
                        <w:pPr>
                          <w:tabs>
                            <w:tab w:val="left" w:pos="709"/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</w:p>
                    </w:tc>
                    <w:tc>
                      <w:tcPr>
                        <w:tcW w:w="432" w:type="dxa"/>
                      </w:tcPr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</w:tc>
                    <w:tc>
                      <w:tcPr>
                        <w:tcW w:w="567" w:type="dxa"/>
                      </w:tcPr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</w:tc>
                    <w:tc>
                      <w:tcPr>
                        <w:tcW w:w="567" w:type="dxa"/>
                      </w:tcPr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B 12–13</w:t>
                        </w:r>
                      </w:p>
                    </w:tc>
                    <w:tc>
                      <w:tcPr>
                        <w:tcW w:w="567" w:type="dxa"/>
                      </w:tcPr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B 11–12“</w:t>
                        </w:r>
                      </w:p>
                    </w:tc>
                    <w:tc>
                      <w:tcPr>
                        <w:tcW w:w="567" w:type="dxa"/>
                      </w:tcPr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</w:tc>
                  </w:tr>
                </w:tbl>
                <w:p>
                  <w:pPr>
                    <w:spacing w:line="240" w:lineRule="atLeast"/>
                    <w:ind w:firstLine="720"/>
                    <w:jc w:val="both"/>
                    <w:rPr>
                      <w:bCs/>
                      <w:szCs w:val="24"/>
                    </w:rPr>
                  </w:pPr>
                </w:p>
              </w:sdtContent>
            </w:sdt>
            <w:sdt>
              <w:sdtPr>
                <w:alias w:val="2 str. 4 d."/>
                <w:tag w:val="part_032af142a5194c41a30c5a3b62b867d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032af142a5194c41a30c5a3b62b867d0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Pakeisti 3 straipsnyje išdėstyto Lietuvos Respublikos valstybės tarnybos įstatymo 3 priedo 9 punktą ir jį išdėstyti taip:</w:t>
                  </w:r>
                </w:p>
                <w:tbl>
                  <w:tblPr>
                    <w:tblW w:w="9180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745"/>
                    <w:gridCol w:w="1323"/>
                    <w:gridCol w:w="1531"/>
                    <w:gridCol w:w="1413"/>
                    <w:gridCol w:w="1412"/>
                    <w:gridCol w:w="516"/>
                    <w:gridCol w:w="560"/>
                    <w:gridCol w:w="560"/>
                    <w:gridCol w:w="560"/>
                    <w:gridCol w:w="560"/>
                  </w:tblGrid>
                  <w:tr>
                    <w:tc>
                      <w:tcPr>
                        <w:tcW w:w="779" w:type="dxa"/>
                        <w:tcBorders>
                          <w:lef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spacing w:line="360" w:lineRule="auto"/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„9.</w:t>
                        </w:r>
                      </w:p>
                    </w:tc>
                    <w:tc>
                      <w:tcPr>
                        <w:tcW w:w="1323" w:type="dxa"/>
                        <w:shd w:val="clear" w:color="auto" w:fill="auto"/>
                      </w:tcPr>
                      <w:p>
                        <w:pPr>
                          <w:tabs>
                            <w:tab w:val="left" w:pos="709"/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Respublikos Prezidento patarėjo pavaduotojas,</w:t>
                          <w:br/>
                          <w:t>Respublikos Prezidento konsultantas,</w:t>
                          <w:br/>
                          <w:t>Seimo Pirmininko padėjėjas,</w:t>
                          <w:br/>
                          <w:t>ministro atstovas spaudai</w:t>
                        </w:r>
                      </w:p>
                    </w:tc>
                    <w:tc>
                      <w:tcPr>
                        <w:tcW w:w="1545" w:type="dxa"/>
                        <w:shd w:val="clear" w:color="auto" w:fill="auto"/>
                      </w:tcPr>
                      <w:p>
                        <w:pPr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 xml:space="preserve">poskyrio vedėjas, </w:t>
                          <w:br/>
                          <w:t xml:space="preserve">skyriaus </w:t>
                        </w:r>
                        <w:r>
                          <w:rPr>
                            <w:rFonts w:ascii="TimesLT" w:hAnsi="TimesLT"/>
                            <w:spacing w:val="-4"/>
                            <w:sz w:val="20"/>
                            <w:szCs w:val="24"/>
                          </w:rPr>
                          <w:t>vedėjo</w:t>
                        </w: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 xml:space="preserve"> pavaduotojas (taikoma struktūriniam padaliniui, esančiam kitame struktūriniame padalinyje), </w:t>
                          <w:br/>
                          <w:t xml:space="preserve">specialusis atašė, </w:t>
                          <w:br/>
                          <w:t xml:space="preserve">seniūno pavaduotojas (savivaldybės administracijos filialo vadovo pavaduotojas), </w:t>
                        </w:r>
                        <w:r>
                          <w:rPr>
                            <w:rFonts w:ascii="TimesLT" w:hAnsi="TimesLT"/>
                            <w:strike/>
                            <w:sz w:val="20"/>
                            <w:szCs w:val="24"/>
                          </w:rPr>
                          <w:br/>
                        </w: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vyriausiasis valstybinis auditorius,</w:t>
                        </w:r>
                      </w:p>
                      <w:p>
                        <w:pPr>
                          <w:tabs>
                            <w:tab w:val="left" w:pos="709"/>
                            <w:tab w:val="left" w:pos="1134"/>
                          </w:tabs>
                          <w:rPr>
                            <w:b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  <w:lang w:eastAsia="lt-LT"/>
                          </w:rPr>
                          <w:t>teismo konsultantas</w:t>
                        </w:r>
                      </w:p>
                    </w:tc>
                    <w:tc>
                      <w:tcPr>
                        <w:tcW w:w="1417" w:type="dxa"/>
                        <w:shd w:val="clear" w:color="auto" w:fill="auto"/>
                      </w:tcPr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 xml:space="preserve">konsulas, </w:t>
                          <w:br/>
                          <w:t xml:space="preserve">pirmasis sekretorius, </w:t>
                          <w:br/>
                          <w:t>skyriaus patarėjas,</w:t>
                        </w:r>
                      </w:p>
                      <w:p>
                        <w:pPr>
                          <w:tabs>
                            <w:tab w:val="left" w:pos="709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skyriaus vedėjo pavaduotojas (taikoma struktūriniam padaliniui, esančiam kitame struktūriniame padalinyje)</w:t>
                        </w:r>
                      </w:p>
                    </w:tc>
                    <w:tc>
                      <w:tcPr>
                        <w:tcW w:w="1416" w:type="dxa"/>
                        <w:shd w:val="clear" w:color="auto" w:fill="auto"/>
                      </w:tcPr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poskyrio viršininkas,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posto pamainos viršininkas,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kuopos vadas,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skyriaus viršininko pavaduotojas (taikoma struktūriniam padaliniui, esančiam kitame struktūriniame padalinyje),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tarnybos viršininko pavaduotojas,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centro viršininko pavaduotojas,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specialios paskirties būrio vado pavaduotojas,</w:t>
                        </w:r>
                      </w:p>
                      <w:p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specialusis atašė, </w:t>
                        </w:r>
                      </w:p>
                      <w:p>
                        <w:pPr>
                          <w:tabs>
                            <w:tab w:val="left" w:pos="709"/>
                            <w:tab w:val="left" w:pos="1134"/>
                          </w:tabs>
                          <w:jc w:val="both"/>
                          <w:rPr>
                            <w:sz w:val="20"/>
                            <w:szCs w:val="24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vyriausiasis tyrėjas</w:t>
                        </w:r>
                      </w:p>
                    </w:tc>
                    <w:tc>
                      <w:tcPr>
                        <w:tcW w:w="432" w:type="dxa"/>
                      </w:tcPr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A 14–15</w:t>
                        </w:r>
                      </w:p>
                    </w:tc>
                    <w:tc>
                      <w:tcPr>
                        <w:tcW w:w="567" w:type="dxa"/>
                      </w:tcPr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A 13–14</w:t>
                        </w:r>
                      </w:p>
                    </w:tc>
                    <w:tc>
                      <w:tcPr>
                        <w:tcW w:w="567" w:type="dxa"/>
                      </w:tcPr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A 12–13</w:t>
                        </w:r>
                      </w:p>
                    </w:tc>
                    <w:tc>
                      <w:tcPr>
                        <w:tcW w:w="567" w:type="dxa"/>
                      </w:tcPr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A 11–12</w:t>
                        </w:r>
                      </w:p>
                    </w:tc>
                    <w:tc>
                      <w:tcPr>
                        <w:tcW w:w="567" w:type="dxa"/>
                      </w:tcPr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rPr>
                            <w:rFonts w:ascii="TimesLT" w:hAnsi="TimesLT"/>
                            <w:sz w:val="2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szCs w:val="24"/>
                          </w:rPr>
                          <w:t>A 10–11“</w:t>
                        </w:r>
                      </w:p>
                    </w:tc>
                  </w:tr>
                </w:tbl>
                <w:p>
                  <w:pPr>
                    <w:spacing w:line="240" w:lineRule="atLeast"/>
                    <w:jc w:val="both"/>
                    <w:rPr>
                      <w:bC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1c268e20d3864f9ca72e7217148cd4c3"/>
            <w:lock w:val="sdtLocked"/>
            <w:richText/>
          </w:sdtPr>
          <w:sdtContent>
            <w:p>
              <w:pPr>
                <w:tabs>
                  <w:tab w:val="left" w:pos="993"/>
                </w:tabs>
                <w:spacing w:line="360" w:lineRule="auto"/>
                <w:ind w:left="1080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c268e20d3864f9ca72e7217148cd4c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1c268e20d3864f9ca72e7217148cd4c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03dfb44c440e4dcf86cefa789ce3caa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09"/>
                    <w:rPr>
                      <w:rFonts w:eastAsia="MS Mincho"/>
                      <w:b/>
                      <w:iCs/>
                      <w:szCs w:val="24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2016 m. liepos 1 d.</w:t>
                  </w:r>
                </w:p>
                <w:p>
                  <w:pPr>
                    <w:spacing w:line="360" w:lineRule="auto"/>
                    <w:rPr>
                      <w:rFonts w:eastAsia="MS Mincho"/>
                      <w:iCs/>
                      <w:szCs w:val="24"/>
                    </w:rPr>
                  </w:pPr>
                </w:p>
                <w:p>
                  <w:pPr>
                    <w:rPr>
                      <w:sz w:val="8"/>
                      <w:szCs w:val="8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639a68473544e6cacfb0eb86e150021"/>
            <w:lock w:val="sdtLocked"/>
            <w:richText/>
          </w:sdtPr>
          <w:sdtContent>
            <w:p>
              <w:pPr>
                <w:spacing w:line="360" w:lineRule="auto"/>
                <w:ind w:firstLine="709"/>
                <w:rPr>
                  <w:szCs w:val="24"/>
                  <w:lang w:eastAsia="lt-LT"/>
                </w:rPr>
              </w:pPr>
              <w:r>
                <w:rPr>
                  <w:i/>
                  <w:iCs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rPr>
                  <w:sz w:val="8"/>
                  <w:szCs w:val="8"/>
                </w:rPr>
              </w:pPr>
            </w:p>
            <w:p>
              <w:pPr>
                <w:spacing w:line="360" w:lineRule="auto"/>
                <w:ind w:firstLine="771"/>
                <w:rPr>
                  <w:bCs/>
                  <w:szCs w:val="24"/>
                </w:rPr>
              </w:pPr>
              <w:r>
                <w:rPr>
                  <w:szCs w:val="24"/>
                  <w:lang w:eastAsia="lt-LT"/>
                </w:rPr>
                <w:t>Respublikos Prezidentas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34" w:right="1134" w:bottom="1134" w:left="567" w:header="720" w:footer="720" w:gutter="1134"/>
      <w:cols w:space="720"/>
      <w:titlePg/>
      <w:docGrid w:linePitch="272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sz w:val="20"/>
        </w:rPr>
      </w:pPr>
      <w:r>
        <w:rPr>
          <w:rFonts w:ascii="TimesLT" w:hAnsi="TimesLT"/>
          <w:sz w:val="20"/>
        </w:rPr>
        <w:separator/>
      </w:r>
    </w:p>
  </w:endnote>
  <w:endnote w:type="continuationSeparator" w:id="0">
    <w:p>
      <w:pPr>
        <w:rPr>
          <w:rFonts w:ascii="TimesLT" w:hAnsi="TimesLT"/>
          <w:sz w:val="20"/>
        </w:rPr>
      </w:pPr>
      <w:r>
        <w:rPr>
          <w:rFonts w:ascii="TimesLT" w:hAnsi="TimesLT"/>
          <w:sz w:val="20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sz w:val="20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sz w:val="20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sz w:val="20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sz w:val="20"/>
        </w:rPr>
      </w:pPr>
      <w:r>
        <w:rPr>
          <w:rFonts w:ascii="TimesLT" w:hAnsi="TimesLT"/>
          <w:sz w:val="20"/>
        </w:rPr>
        <w:separator/>
      </w:r>
    </w:p>
  </w:footnote>
  <w:footnote w:type="continuationSeparator" w:id="0">
    <w:p>
      <w:pPr>
        <w:rPr>
          <w:rFonts w:ascii="TimesLT" w:hAnsi="TimesLT"/>
          <w:sz w:val="20"/>
        </w:rPr>
      </w:pPr>
      <w:r>
        <w:rPr>
          <w:rFonts w:ascii="TimesLT" w:hAnsi="TimesLT"/>
          <w:sz w:val="20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sz w:val="20"/>
        <w:lang w:val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jc w:val="center"/>
      <w:rPr>
        <w:rFonts w:ascii="TimesLT" w:hAnsi="TimesLT"/>
        <w:sz w:val="20"/>
        <w:lang w:val="x-none"/>
      </w:rPr>
    </w:pPr>
    <w:r>
      <w:rPr>
        <w:rFonts w:ascii="TimesLT" w:hAnsi="TimesLT"/>
        <w:sz w:val="20"/>
        <w:lang w:val="x-none"/>
      </w:rPr>
      <w:fldChar w:fldCharType="begin"/>
    </w:r>
    <w:r>
      <w:rPr>
        <w:rFonts w:ascii="TimesLT" w:hAnsi="TimesLT"/>
        <w:sz w:val="20"/>
        <w:lang w:val="x-none"/>
      </w:rPr>
      <w:instrText>PAGE   \* MERGEFORMAT</w:instrText>
    </w:r>
    <w:r>
      <w:rPr>
        <w:rFonts w:ascii="TimesLT" w:hAnsi="TimesLT"/>
        <w:sz w:val="20"/>
        <w:lang w:val="x-none"/>
      </w:rPr>
      <w:fldChar w:fldCharType="separate"/>
    </w:r>
    <w:r>
      <w:rPr>
        <w:rFonts w:ascii="TimesLT" w:hAnsi="TimesLT"/>
        <w:sz w:val="20"/>
      </w:rPr>
      <w:t>6</w:t>
    </w:r>
    <w:r>
      <w:rPr>
        <w:rFonts w:ascii="TimesLT" w:hAnsi="TimesLT"/>
        <w:sz w:val="20"/>
        <w:lang w:val="x-none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sz w:val="20"/>
        <w:lang w:val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sz w:val="20"/>
        <w:lang w:val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47024646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619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6420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042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455287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60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672951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874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857557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60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75753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278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641240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426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10aaca51a6f442d788427158f7f8edc5" PartId="e6eea49c520f44d787d4118a0425c647">
    <Part Type="straipsnis" Nr="1" Abbr="1 str." Title="2 straipsnio pakeitimas" DocPartId="a33eb5178fd645b597d6e8758e4807ee" PartId="e915561ce67d4c559465b1e92a191bf2">
      <Part Type="strDalis" Nr="1" Abbr="1 str. 1 d." DocPartId="43bcee2d9d264550b42df45df5cae7c6" PartId="2f8f3e3b8429458491884ed76ce6d240"/>
      <Part Type="strDalis" Nr="2" Abbr="1 str. 2 d." DocPartId="ed16f6b83a3d4f1e9aa8eefeb5a85673" PartId="4a27e8068d144c508a9d238d58988ae6"/>
      <Part Type="strDalis" Nr="3" Abbr="1 str. 3 d." DocPartId="c68e6a385cc948fab4fff4eeb6055a25" PartId="546e87610a7a42f8949a62c780379de0"/>
      <Part Type="strDalis" Nr="4" Abbr="1 str. 4 d." DocPartId="567557ceddae4aeaab8f1067d6bdd3e6" PartId="d2473a0e8099494d8cf09cdea47802cb"/>
    </Part>
    <Part Type="straipsnis" Nr="2" Abbr="2 str." Title="3 straipsnio pakeitimas" DocPartId="b9b1d6fbdd8d42eea87fd68e0865d270" PartId="351415082f484b9e952a593b43773df3">
      <Part Type="strDalis" Nr="1" Abbr="2 str. 1 d." DocPartId="4c06534d639a45fe90e0e4ab33a16984" PartId="a30abe7b18484f1182ff9afb093951cb"/>
      <Part Type="strDalis" Nr="2" Abbr="2 str. 2 d." DocPartId="7f3b4b08884445c1b92e6fb9d3dd2556" PartId="977726c9e81047c2bed8a5910131bf46"/>
      <Part Type="strDalis" Nr="3" Abbr="2 str. 3 d." DocPartId="4f4eda7b4eeb41908c36db15d60df35b" PartId="79445cb1c1064a5999d4da008ea9765c"/>
      <Part Type="strDalis" Nr="4" Abbr="2 str. 4 d." DocPartId="b5b02b89066a4b3983ad5204e609f6fa" PartId="032af142a5194c41a30c5a3b62b867d0"/>
    </Part>
    <Part Type="straipsnis" Nr="3" Abbr="3 str." Title="Įstatymo įsigaliojimas" DocPartId="ce1dbf833187436db78e9e7741eaf71a" PartId="1c268e20d3864f9ca72e7217148cd4c3">
      <Part Type="strDalis" Nr="1" Abbr="3 str. 1 d." DocPartId="eeed58bf3b5d44ac99e19b47f6dc1e38" PartId="03dfb44c440e4dcf86cefa789ce3caaa"/>
    </Part>
    <Part Type="signatura" DocPartId="309b24cc7d0f4dc59ddd435630e2f866" PartId="9639a68473544e6cacfb0eb86e150021"/>
  </Part>
</Parts>
</file>

<file path=customXml/itemProps1.xml><?xml version="1.0" encoding="utf-8"?>
<ds:datastoreItem xmlns:ds="http://schemas.openxmlformats.org/officeDocument/2006/customXml" ds:itemID="{9D1CE000-E838-413A-BECD-E9B37E7102C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3DF8C96-CA33-4A98-A02B-62F7423C914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976</Words>
  <Characters>7758</Characters>
  <Application>Microsoft Office Word</Application>
  <DocSecurity>4</DocSecurity>
  <Lines>1293</Lines>
  <Paragraphs>161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Redagavo: Ramunė Lūžaitė (1997</vt:lpstr>
      <vt:lpstr>Redagavo: Ramunė Lūžaitė (1997</vt:lpstr>
    </vt:vector>
  </TitlesOfParts>
  <Company>Seimas</Company>
  <LinksUpToDate>false</LinksUpToDate>
  <CharactersWithSpaces>8573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2015-12-21T07:58:00Z</dcterms:created>
  <dc:creator>Seimas</dc:creator>
  <lastModifiedBy>CLUSadmin</lastModifiedBy>
  <lastPrinted>2015-03-27T07:06:00Z</lastPrinted>
  <dcterms:modified xsi:type="dcterms:W3CDTF">2015-12-21T07:58:00Z</dcterms:modified>
  <revision>2</revision>
  <dc:title>Redagavo: Ramunė Lūžaitė (1997</dc:title>
</coreProperties>
</file>