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5034dc4c784db5ba816e39e4c60c03"/>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 xml:space="preserve">„RADVILIŠKIO VINCO KUDIRKOS PROGIMNAZIJOS PASTATO ATNAUJINIMAS“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ecaa232650914a1c95df0ecf24faac33"/>
            <w:lock w:val="sdtLocked"/>
            <w:richText/>
          </w:sdtPr>
          <w:sdtContent>
            <w:p>
              <w:pPr>
                <w:spacing w:line="276" w:lineRule="auto"/>
                <w:ind w:firstLine="851"/>
                <w:jc w:val="both"/>
                <w:rPr>
                  <w:spacing w:val="50"/>
                  <w:szCs w:val="24"/>
                </w:rPr>
              </w:pPr>
              <w:r>
                <w:rPr>
                  <w:szCs w:val="24"/>
                </w:rPr>
                <w:t xml:space="preserve">Vadovaudamasi Lietuvos Respublikos vietos savivaldos įstatymo 6 straipsnio 4 dalimi, 15 straipsnio 4 dalimi, Plėtros programos pažangos priemonės Nr. 02-001-06-04-01 „Skatinti pastatų renovaciją“ projektų finansavimo sąlygų aprašu, patvirtintu </w:t>
              </w:r>
              <w:r>
                <w:rPr>
                  <w:color w:val="000000"/>
                  <w:szCs w:val="24"/>
                </w:rPr>
                <w:t>Lietuvos Respublikos aplinkos ministro 2022 m. liepos 25 d. įsakymu Nr. D1-239 „Dėl 2022–2030 metų plėtros programos valdytojos Lietuvos Respublikos aplinkos ministerijos aplinkos apsaugos ir klimato kaitos valdymo plėtros programos pažangos priemonės Nr. 02</w:t>
                <w:noBreakHyphen/>
                <w:t>001</w:t>
                <w:noBreakHyphen/>
                <w:t>06</w:t>
                <w:noBreakHyphen/>
                <w:t>04-01 „Skatinti pastatų renovaciją“ įgyvendinimo“ ir</w:t>
              </w:r>
              <w:r>
                <w:rPr>
                  <w:szCs w:val="24"/>
                </w:rPr>
                <w:t xml:space="preserve"> Radviliškio rajono savivaldybės 2025–2027 metų strateginiu veiklos planu, patvirtintu Radviliškio rajono savivaldybės tarybos 2025 m. vasario 13 d. sprendimu Nr. T-556 „Dėl Radviliškio rajono savivaldybės 2025–2027 metų strateginio veiklos plano patvirtinimo“, Radviliškio rajono savivaldybės taryba </w:t>
              </w:r>
              <w:r>
                <w:rPr>
                  <w:spacing w:val="50"/>
                  <w:szCs w:val="24"/>
                </w:rPr>
                <w:t>nusprendži</w:t>
              </w:r>
              <w:r>
                <w:rPr>
                  <w:szCs w:val="24"/>
                </w:rPr>
                <w:t>a:</w:t>
              </w:r>
            </w:p>
          </w:sdtContent>
        </w:sdt>
        <w:sdt>
          <w:sdtPr>
            <w:alias w:val="1 p."/>
            <w:tag w:val="part_1a106ade33ff4ff2888d64486cb38779"/>
            <w:lock w:val="sdtLocked"/>
            <w:richText/>
          </w:sdtPr>
          <w:sdtContent>
            <w:p>
              <w:pPr>
                <w:spacing w:line="276" w:lineRule="auto"/>
                <w:ind w:firstLine="851"/>
                <w:jc w:val="both"/>
                <w:rPr>
                  <w:szCs w:val="24"/>
                </w:rPr>
              </w:pPr>
              <w:sdt>
                <w:sdtPr>
                  <w:alias w:val="Numeris"/>
                  <w:tag w:val="nr_1a106ade33ff4ff2888d64486cb38779"/>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„Radviliškio Vinco Kudirkos progimnazijos pastato atnaujinimas“ (toliau – Projektas).</w:t>
              </w:r>
            </w:p>
          </w:sdtContent>
        </w:sdt>
        <w:sdt>
          <w:sdtPr>
            <w:alias w:val="2 p."/>
            <w:tag w:val="part_c4f80091dad94d56a7d22866dd9f5242"/>
            <w:lock w:val="sdtLocked"/>
            <w:richText/>
          </w:sdtPr>
          <w:sdtContent>
            <w:p>
              <w:pPr>
                <w:spacing w:line="276" w:lineRule="auto"/>
                <w:ind w:firstLine="851"/>
                <w:jc w:val="both"/>
                <w:rPr>
                  <w:szCs w:val="24"/>
                </w:rPr>
              </w:pPr>
              <w:sdt>
                <w:sdtPr>
                  <w:alias w:val="Numeris"/>
                  <w:tag w:val="nr_c4f80091dad94d56a7d22866dd9f5242"/>
                  <w:lock w:val="sdtLocked"/>
                  <w:richText/>
                </w:sdtPr>
                <w:sdtContent>
                  <w:r>
                    <w:rPr>
                      <w:szCs w:val="24"/>
                    </w:rPr>
                    <w:t>2</w:t>
                  </w:r>
                </w:sdtContent>
              </w:sdt>
              <w:r>
                <w:rPr>
                  <w:szCs w:val="24"/>
                </w:rPr>
                <w:t>.</w:t>
                <w:tab/>
                <w:t xml:space="preserve">Įgalioti </w:t>
              </w:r>
              <w:r>
                <w:rPr>
                  <w:color w:val="000000"/>
                  <w:szCs w:val="24"/>
                  <w:lang w:eastAsia="lt-LT"/>
                </w:rPr>
                <w:t xml:space="preserve">Radviliškio rajono savivaldybės administracijos direktorių pasirašyti </w:t>
              </w:r>
              <w:r>
                <w:rPr>
                  <w:color w:val="000000"/>
                  <w:szCs w:val="24"/>
                </w:rPr>
                <w:t xml:space="preserve">dokumentus, reikalingus Projekto </w:t>
              </w:r>
              <w:r>
                <w:rPr>
                  <w:szCs w:val="24"/>
                </w:rPr>
                <w:t>įgyvendinimui</w:t>
              </w:r>
              <w:r>
                <w:rPr>
                  <w:color w:val="000000"/>
                  <w:szCs w:val="24"/>
                </w:rPr>
                <w:t>.</w:t>
              </w:r>
            </w:p>
          </w:sdtContent>
        </w:sdt>
        <w:sdt>
          <w:sdtPr>
            <w:alias w:val="3 p."/>
            <w:tag w:val="part_9fdf5ccf3f67483fa1f1bbfa8f3a1efa"/>
            <w:lock w:val="sdtLocked"/>
            <w:richText/>
          </w:sdtPr>
          <w:sdtContent>
            <w:p>
              <w:pPr>
                <w:tabs>
                  <w:tab w:val="left" w:pos="993"/>
                </w:tabs>
                <w:spacing w:line="276" w:lineRule="auto"/>
                <w:ind w:firstLine="851"/>
                <w:jc w:val="both"/>
                <w:rPr>
                  <w:szCs w:val="24"/>
                </w:rPr>
              </w:pPr>
              <w:sdt>
                <w:sdtPr>
                  <w:alias w:val="Numeris"/>
                  <w:tag w:val="nr_9fdf5ccf3f67483fa1f1bbfa8f3a1efa"/>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0b48ce03b6824029a3633cd547e7e0bf"/>
                <w:lock w:val="sdtLocked"/>
                <w:richText/>
              </w:sdtPr>
              <w:sdtContent>
                <w:p>
                  <w:pPr>
                    <w:tabs>
                      <w:tab w:val="left" w:pos="851"/>
                      <w:tab w:val="left" w:pos="993"/>
                    </w:tabs>
                    <w:spacing w:line="276" w:lineRule="auto"/>
                    <w:ind w:firstLine="851"/>
                    <w:jc w:val="both"/>
                    <w:rPr>
                      <w:szCs w:val="24"/>
                    </w:rPr>
                  </w:pPr>
                  <w:sdt>
                    <w:sdtPr>
                      <w:alias w:val="Numeris"/>
                      <w:tag w:val="nr_0b48ce03b6824029a3633cd547e7e0bf"/>
                      <w:lock w:val="sdtLocked"/>
                      <w:richText/>
                    </w:sdtPr>
                    <w:sdtContent>
                      <w:r>
                        <w:rPr>
                          <w:szCs w:val="24"/>
                        </w:rPr>
                        <w:t>3.1</w:t>
                      </w:r>
                    </w:sdtContent>
                  </w:sdt>
                  <w:r>
                    <w:rPr>
                      <w:szCs w:val="24"/>
                    </w:rPr>
                    <w:t xml:space="preserve">.  </w:t>
                  </w:r>
                  <w:r>
                    <w:rPr>
                      <w:color w:val="000000"/>
                      <w:szCs w:val="24"/>
                    </w:rPr>
                    <w:t xml:space="preserve">ne mažiau kaip 50 procentų tinkamų finansuoti išlaidų grąžinamosios subsidijos daliai padengti (lėšų grąžinimo terminas negali būti ilgesnis kaip 10 metų baigus įgyvendinti Projektą). </w:t>
                  </w:r>
                </w:p>
              </w:sdtContent>
            </w:sdt>
            <w:sdt>
              <w:sdtPr>
                <w:alias w:val="3.2 pp."/>
                <w:tag w:val="part_a6d444d99df34dbebd003c8260d7e362"/>
                <w:lock w:val="sdtLocked"/>
                <w:richText/>
              </w:sdtPr>
              <w:sdtContent>
                <w:p>
                  <w:pPr>
                    <w:tabs>
                      <w:tab w:val="left" w:pos="993"/>
                    </w:tabs>
                    <w:spacing w:line="276" w:lineRule="auto"/>
                    <w:ind w:left="851"/>
                    <w:jc w:val="both"/>
                    <w:rPr>
                      <w:szCs w:val="24"/>
                    </w:rPr>
                  </w:pPr>
                  <w:sdt>
                    <w:sdtPr>
                      <w:alias w:val="Numeris"/>
                      <w:tag w:val="nr_a6d444d99df34dbebd003c8260d7e362"/>
                      <w:lock w:val="sdtLocked"/>
                      <w:richText/>
                    </w:sdtPr>
                    <w:sdtContent>
                      <w:r>
                        <w:rPr>
                          <w:szCs w:val="24"/>
                        </w:rPr>
                        <w:t>3.2</w:t>
                      </w:r>
                    </w:sdtContent>
                  </w:sdt>
                  <w:r>
                    <w:rPr>
                      <w:szCs w:val="24"/>
                    </w:rPr>
                    <w:t xml:space="preserve">.  tinkamas finansuoti išlaidas, kurių nepadengia projektui skirtos finansavimo lėšos;</w:t>
                  </w:r>
                </w:p>
              </w:sdtContent>
            </w:sdt>
            <w:sdt>
              <w:sdtPr>
                <w:alias w:val="3.3 pp."/>
                <w:tag w:val="part_c1b10eda9b584df1b425e374f73fb344"/>
                <w:lock w:val="sdtLocked"/>
                <w:richText/>
              </w:sdtPr>
              <w:sdtContent>
                <w:p>
                  <w:pPr>
                    <w:tabs>
                      <w:tab w:val="left" w:pos="993"/>
                    </w:tabs>
                    <w:spacing w:line="276" w:lineRule="auto"/>
                    <w:ind w:left="851"/>
                    <w:jc w:val="both"/>
                    <w:rPr>
                      <w:szCs w:val="24"/>
                    </w:rPr>
                  </w:pPr>
                  <w:sdt>
                    <w:sdtPr>
                      <w:alias w:val="Numeris"/>
                      <w:tag w:val="nr_c1b10eda9b584df1b425e374f73fb344"/>
                      <w:lock w:val="sdtLocked"/>
                      <w:richText/>
                    </w:sdtPr>
                    <w:sdtContent>
                      <w:r>
                        <w:rPr>
                          <w:szCs w:val="24"/>
                        </w:rPr>
                        <w:t>3.3</w:t>
                      </w:r>
                    </w:sdtContent>
                  </w:sdt>
                  <w:r>
                    <w:rPr>
                      <w:szCs w:val="24"/>
                    </w:rPr>
                    <w:t xml:space="preserve">.  netinkamas finansuoti, tačiau šiam Projektui įgyvendinti būtinas išlaidas.</w:t>
                  </w:r>
                </w:p>
              </w:sdtContent>
            </w:sdt>
          </w:sdtContent>
        </w:sdt>
        <w:sdt>
          <w:sdtPr>
            <w:alias w:val="4 p."/>
            <w:tag w:val="part_3996967d38a348db90d737dc160d1093"/>
            <w:lock w:val="sdtLocked"/>
            <w:richText/>
          </w:sdtPr>
          <w:sdtContent>
            <w:p>
              <w:pPr>
                <w:tabs>
                  <w:tab w:val="left" w:pos="993"/>
                </w:tabs>
                <w:spacing w:line="276" w:lineRule="auto"/>
                <w:ind w:left="851"/>
                <w:jc w:val="both"/>
                <w:rPr>
                  <w:szCs w:val="24"/>
                </w:rPr>
              </w:pPr>
              <w:sdt>
                <w:sdtPr>
                  <w:alias w:val="Numeris"/>
                  <w:tag w:val="nr_3996967d38a348db90d737dc160d1093"/>
                  <w:lock w:val="sdtLocked"/>
                  <w:richText/>
                </w:sdtPr>
                <w:sdtContent>
                  <w:r>
                    <w:rPr>
                      <w:szCs w:val="24"/>
                    </w:rPr>
                    <w:t>4</w:t>
                  </w:r>
                </w:sdtContent>
              </w:sdt>
              <w:r>
                <w:rPr>
                  <w:szCs w:val="24"/>
                </w:rPr>
                <w:t xml:space="preserve">.     Užtikrinti Projekto tęstinumą 10 metų po Projekto įgyvendinimo pabaigos.</w:t>
              </w:r>
            </w:p>
          </w:sdtContent>
        </w:sdt>
        <w:sdt>
          <w:sdtPr>
            <w:alias w:val="5 p."/>
            <w:tag w:val="part_b6bfc80bd3924cfba09584d75496081f"/>
            <w:lock w:val="sdtLocked"/>
            <w:richText/>
          </w:sdtPr>
          <w:sdtContent>
            <w:p>
              <w:pPr>
                <w:spacing w:line="276" w:lineRule="auto"/>
                <w:ind w:firstLine="851"/>
                <w:jc w:val="both"/>
                <w:rPr>
                  <w:szCs w:val="24"/>
                </w:rPr>
              </w:pPr>
              <w:sdt>
                <w:sdtPr>
                  <w:alias w:val="Numeris"/>
                  <w:tag w:val="nr_b6bfc80bd3924cfba09584d75496081f"/>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spacing w:line="276" w:lineRule="auto"/>
                <w:ind w:firstLine="679"/>
                <w:jc w:val="both"/>
                <w:textAlignment w:val="baseline"/>
                <w:rPr>
                  <w:color w:val="000000"/>
                  <w:szCs w:val="24"/>
                </w:rPr>
              </w:pPr>
            </w:p>
            <w:p>
              <w:pPr>
                <w:rPr>
                  <w:szCs w:val="24"/>
                </w:rPr>
              </w:pPr>
              <w:r>
                <w:rPr>
                  <w:szCs w:val="24"/>
                </w:rPr>
                <w:br w:type="page"/>
              </w:r>
            </w:p>
          </w:sdtContent>
        </w:sdt>
        <w:sdt>
          <w:sdtPr>
            <w:alias w:val="skirsnis"/>
            <w:tag w:val="part_66b8452d2abb4665bec86a70c957790c"/>
            <w:lock w:val="sdtLocked"/>
            <w:richText/>
          </w:sdtPr>
          <w:sdtContent>
            <w:sdt>
              <w:sdtPr>
                <w:alias w:val="Pavadinimas"/>
                <w:tag w:val="title_66b8452d2abb4665bec86a70c957790c"/>
                <w:lock w:val="sdtLocked"/>
                <w:richText/>
              </w:sdtPr>
              <w:sdtContent>
                <w:p>
                  <w:pPr>
                    <w:jc w:val="center"/>
                    <w:rPr>
                      <w:b/>
                      <w:szCs w:val="24"/>
                    </w:rPr>
                  </w:pPr>
                  <w:r>
                    <w:rPr>
                      <w:b/>
                      <w:szCs w:val="24"/>
                    </w:rPr>
                    <w:t>RADVILIŠKIO RAJONO SAVIVALDYBĖS TARYBOS SPRENDIMO PROJEKTO</w:t>
                  </w:r>
                </w:p>
                <w:p>
                  <w:pPr>
                    <w:jc w:val="center"/>
                    <w:rPr>
                      <w:b/>
                      <w:bCs/>
                      <w:caps/>
                      <w:szCs w:val="24"/>
                    </w:rPr>
                  </w:pPr>
                  <w:r>
                    <w:rPr>
                      <w:b/>
                      <w:szCs w:val="24"/>
                    </w:rPr>
                    <w:t xml:space="preserve">„DĖL PRITARIMO PROJEKTO </w:t>
                  </w:r>
                  <w:r>
                    <w:rPr>
                      <w:b/>
                      <w:bCs/>
                      <w:szCs w:val="24"/>
                    </w:rPr>
                    <w:t>„</w:t>
                  </w:r>
                  <w:r>
                    <w:rPr>
                      <w:b/>
                      <w:bCs/>
                      <w:caps/>
                      <w:szCs w:val="24"/>
                    </w:rPr>
                    <w:t>RADVILIŠKIO VINCO KUDIRKOS PROGIMNAZIJOS PASTATO ATNAUJINIMAS“</w:t>
                  </w:r>
                  <w:r>
                    <w:rPr>
                      <w:b/>
                      <w:bCs/>
                      <w:szCs w:val="24"/>
                    </w:rPr>
                    <w:t xml:space="preserve"> 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2025-03-03</w:t>
              </w:r>
            </w:p>
            <w:p>
              <w:pPr>
                <w:jc w:val="center"/>
                <w:rPr>
                  <w:szCs w:val="24"/>
                </w:rPr>
              </w:pPr>
              <w:r>
                <w:rPr>
                  <w:szCs w:val="24"/>
                </w:rPr>
                <w:t>Radviliškis</w:t>
              </w:r>
            </w:p>
            <w:p>
              <w:pPr>
                <w:rPr>
                  <w:szCs w:val="24"/>
                </w:rPr>
              </w:pPr>
            </w:p>
            <w:sdt>
              <w:sdtPr>
                <w:alias w:val="1 p."/>
                <w:tag w:val="part_067311b590294c6d83a6ba8c0e39f684"/>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067311b590294c6d83a6ba8c0e39f684"/>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 xml:space="preserve">Paskelbtas kvietimas teikti paraiškas savivaldybių viešųjų pastatų atnaujinimui. Kvietimas parengtas, vadovaujantis Plėtros programos pažangos priemonės Nr. 02-001-06-04-01 „Skatinti pastatų renovaciją“ projektų finansavimo sąlygų aprašu Nr. 1 „Modernizavimo fondo kompensacinių išmokų mokėjimo savivaldybių viešiesiems pastatams atnaujinti tvarkos aprašas“ (toliau – Aprašas), patvirtintu </w:t>
                  </w:r>
                  <w:r>
                    <w:rPr>
                      <w:color w:val="000000"/>
                      <w:szCs w:val="24"/>
                    </w:rPr>
                    <w:t>Lietuvos Respublikos aplinkos ministro 2022 m. liepos 25 d. įsakymu Nr. D1-239 „Dėl 2022–2030 metų plėtros programos valdytojos Lietuvos Respublikos aplinkos ministerijos aplinkos apsaugos ir klimato kaitos valdymo plėtros programos pažangos priemonės Nr. 02</w:t>
                    <w:noBreakHyphen/>
                    <w:t>001</w:t>
                    <w:noBreakHyphen/>
                    <w:t>06</w:t>
                    <w:noBreakHyphen/>
                    <w:t>04-01 „Skatinti pastatų renovaciją“ įgyvendinimo“ su vėlesniais pakeitimais. P</w:t>
                  </w:r>
                  <w:r>
                    <w:rPr>
                      <w:color w:val="000000"/>
                      <w:szCs w:val="24"/>
                      <w:lang w:eastAsia="lt-LT"/>
                    </w:rPr>
                    <w:t xml:space="preserve">rojekto </w:t>
                  </w:r>
                  <w:r>
                    <w:rPr>
                      <w:color w:val="000000"/>
                      <w:szCs w:val="24"/>
                    </w:rPr>
                    <w:t xml:space="preserve">„Radviliškio Vinco Kudirkos progimnazijos pastato atnaujinimas“ (toliau – Projektas) </w:t>
                  </w:r>
                  <w:r>
                    <w:rPr>
                      <w:color w:val="000000"/>
                      <w:szCs w:val="24"/>
                      <w:lang w:eastAsia="lt-LT"/>
                    </w:rPr>
                    <w:t xml:space="preserve">įgyvendinimas yra įtrauktas į </w:t>
                  </w:r>
                  <w:r>
                    <w:rPr>
                      <w:szCs w:val="24"/>
                    </w:rPr>
                    <w:t>Radviliškio rajono savivaldybės 2025–2027 metų strateginį veiklos planą.</w:t>
                  </w:r>
                </w:p>
                <w:p>
                  <w:pPr>
                    <w:spacing w:line="276" w:lineRule="auto"/>
                    <w:ind w:firstLine="709"/>
                    <w:jc w:val="both"/>
                    <w:rPr>
                      <w:szCs w:val="24"/>
                    </w:rPr>
                  </w:pPr>
                  <w:r>
                    <w:rPr>
                      <w:szCs w:val="24"/>
                    </w:rPr>
                    <w:t xml:space="preserve">Projekto tikslas – </w:t>
                  </w:r>
                  <w:r>
                    <w:rPr>
                      <w:color w:val="000000"/>
                      <w:szCs w:val="24"/>
                    </w:rPr>
                    <w:t>energijos vartojimo efektyvumo didinimas ir šiltnamio efektą sukeliančių dujų kiekio sumažinimas.</w:t>
                  </w:r>
                </w:p>
                <w:p>
                  <w:pPr>
                    <w:tabs>
                      <w:tab w:val="left" w:pos="709"/>
                      <w:tab w:val="left" w:pos="851"/>
                      <w:tab w:val="left" w:pos="993"/>
                    </w:tabs>
                    <w:spacing w:line="276" w:lineRule="auto"/>
                    <w:ind w:firstLine="709"/>
                    <w:jc w:val="both"/>
                    <w:rPr>
                      <w:color w:val="000000"/>
                      <w:szCs w:val="24"/>
                    </w:rPr>
                  </w:pPr>
                  <w:r>
                    <w:rPr>
                      <w:color w:val="000000"/>
                      <w:szCs w:val="24"/>
                    </w:rPr>
                    <w:t>Įgyvendinant Projektą, bus privaloma:</w:t>
                  </w:r>
                </w:p>
              </w:sdtContent>
            </w:sdt>
            <w:sdt>
              <w:sdtPr>
                <w:alias w:val="1 p."/>
                <w:tag w:val="part_9fe7a08d75ac443abce38519096a1eb8"/>
                <w:lock w:val="sdtLocked"/>
                <w:richText/>
              </w:sdtPr>
              <w:sdtContent>
                <w:p>
                  <w:pPr>
                    <w:tabs>
                      <w:tab w:val="left" w:pos="709"/>
                      <w:tab w:val="left" w:pos="851"/>
                      <w:tab w:val="left" w:pos="993"/>
                    </w:tabs>
                    <w:spacing w:line="276" w:lineRule="auto"/>
                    <w:ind w:firstLine="709"/>
                    <w:jc w:val="both"/>
                    <w:rPr>
                      <w:color w:val="000000"/>
                      <w:szCs w:val="24"/>
                    </w:rPr>
                  </w:pPr>
                  <w:sdt>
                    <w:sdtPr>
                      <w:alias w:val="Numeris"/>
                      <w:tag w:val="nr_9fe7a08d75ac443abce38519096a1eb8"/>
                      <w:lock w:val="sdtLocked"/>
                      <w:richText/>
                    </w:sdtPr>
                    <w:sdtContent>
                      <w:r>
                        <w:rPr>
                          <w:color w:val="000000"/>
                          <w:szCs w:val="24"/>
                        </w:rPr>
                        <w:t>1</w:t>
                      </w:r>
                    </w:sdtContent>
                  </w:sdt>
                  <w:r>
                    <w:rPr>
                      <w:color w:val="000000"/>
                      <w:szCs w:val="24"/>
                    </w:rPr>
                    <w:t>. atnaujinti savivaldybės viešąjį pastatą iki ne žemesnės kaip B energinio naudingumo klasės;</w:t>
                  </w:r>
                </w:p>
              </w:sdtContent>
            </w:sdt>
            <w:sdt>
              <w:sdtPr>
                <w:alias w:val="2 p."/>
                <w:tag w:val="part_4ed2968fe89841d0851e5506ba714c1b"/>
                <w:lock w:val="sdtLocked"/>
                <w:richText/>
              </w:sdtPr>
              <w:sdtContent>
                <w:p>
                  <w:pPr>
                    <w:tabs>
                      <w:tab w:val="left" w:pos="709"/>
                      <w:tab w:val="left" w:pos="851"/>
                      <w:tab w:val="left" w:pos="993"/>
                    </w:tabs>
                    <w:spacing w:line="276" w:lineRule="auto"/>
                    <w:ind w:firstLine="709"/>
                    <w:jc w:val="both"/>
                    <w:rPr>
                      <w:color w:val="000000"/>
                      <w:szCs w:val="24"/>
                    </w:rPr>
                  </w:pPr>
                  <w:sdt>
                    <w:sdtPr>
                      <w:alias w:val="Numeris"/>
                      <w:tag w:val="nr_4ed2968fe89841d0851e5506ba714c1b"/>
                      <w:lock w:val="sdtLocked"/>
                      <w:richText/>
                    </w:sdtPr>
                    <w:sdtContent>
                      <w:r>
                        <w:rPr>
                          <w:color w:val="000000"/>
                          <w:szCs w:val="24"/>
                        </w:rPr>
                        <w:t>2</w:t>
                      </w:r>
                    </w:sdtContent>
                  </w:sdt>
                  <w:r>
                    <w:rPr>
                      <w:color w:val="000000"/>
                      <w:szCs w:val="24"/>
                    </w:rPr>
                    <w:t>. sumažinti atnaujintame pastate pirminės energijos suvartojimą ne mažiau kaip 30 procentų.</w:t>
                  </w:r>
                </w:p>
              </w:sdtContent>
            </w:sdt>
            <w:sdt>
              <w:sdtPr>
                <w:alias w:val="2 p."/>
                <w:tag w:val="part_7d427b1525d6452dbf5b805ce11abacd"/>
                <w:lock w:val="sdtLocked"/>
                <w:richText/>
              </w:sdtPr>
              <w:sdtContent>
                <w:p>
                  <w:pPr>
                    <w:suppressAutoHyphens/>
                    <w:spacing w:line="276" w:lineRule="auto"/>
                    <w:ind w:left="1040" w:hanging="360"/>
                    <w:jc w:val="both"/>
                    <w:rPr>
                      <w:szCs w:val="24"/>
                    </w:rPr>
                  </w:pPr>
                  <w:sdt>
                    <w:sdtPr>
                      <w:alias w:val="Numeris"/>
                      <w:tag w:val="nr_7d427b1525d6452dbf5b805ce11abacd"/>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73d75786b74f4c84902481eb5182af25"/>
                <w:lock w:val="sdtLocked"/>
                <w:richText/>
              </w:sdtPr>
              <w:sdtContent>
                <w:p>
                  <w:pPr>
                    <w:suppressAutoHyphens/>
                    <w:spacing w:line="276" w:lineRule="auto"/>
                    <w:ind w:left="1040" w:hanging="360"/>
                    <w:jc w:val="both"/>
                    <w:rPr>
                      <w:szCs w:val="24"/>
                    </w:rPr>
                  </w:pPr>
                  <w:sdt>
                    <w:sdtPr>
                      <w:alias w:val="Numeris"/>
                      <w:tag w:val="nr_73d75786b74f4c84902481eb5182af25"/>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 xml:space="preserve">Lietuvos Respublikos vietos savivaldos įstatymo 15 straipsnio 4 dalimi, </w:t>
                  </w:r>
                  <w:r>
                    <w:rPr>
                      <w:color w:val="000000"/>
                      <w:szCs w:val="24"/>
                    </w:rPr>
                    <w:t>Lietuvos Respublikos aplinkos ministro 2022 m. liepos 25 d. įsakymu Nr. D1-239 „Dėl 2022–2030 metų plėtros programos valdytojos Lietuvos Respublikos aplinkos ministerijos aplinkos apsaugos ir klimato kaitos valdymo plėtros programos pažangos priemonės Nr. 02</w:t>
                    <w:noBreakHyphen/>
                    <w:t>001</w:t>
                    <w:noBreakHyphen/>
                    <w:t>06</w:t>
                    <w:noBreakHyphen/>
                    <w:t>04-01 „Skatinti pastatų renovaciją“ įgyvendinimo“ ir</w:t>
                  </w:r>
                  <w:r>
                    <w:rPr>
                      <w:szCs w:val="24"/>
                    </w:rPr>
                    <w:t xml:space="preserve"> Radviliškio rajono savivaldybės 2025–2027 metų strateginiu veiklos planu, patvirtintu Radviliškio rajono savivaldybės tarybos 2025 m. vasario 13 d. sprendimu Nr. T-556 „Dėl Radviliškio rajono savivaldybės 2025–2027 metų strateginio veiklos plano patvirtinimo“.</w:t>
                  </w:r>
                </w:p>
              </w:sdtContent>
            </w:sdt>
            <w:sdt>
              <w:sdtPr>
                <w:alias w:val="4 p."/>
                <w:tag w:val="part_42ca3d086df8424880f4ec0f4295f98e"/>
                <w:lock w:val="sdtLocked"/>
                <w:richText/>
              </w:sdtPr>
              <w:sdtContent>
                <w:p>
                  <w:pPr>
                    <w:tabs>
                      <w:tab w:val="left" w:pos="855"/>
                    </w:tabs>
                    <w:spacing w:line="276" w:lineRule="auto"/>
                    <w:ind w:firstLine="680"/>
                    <w:jc w:val="both"/>
                    <w:rPr>
                      <w:color w:val="000000"/>
                      <w:szCs w:val="24"/>
                    </w:rPr>
                  </w:pPr>
                  <w:sdt>
                    <w:sdtPr>
                      <w:alias w:val="Numeris"/>
                      <w:tag w:val="nr_42ca3d086df8424880f4ec0f4295f98e"/>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pagerintas pastato energinis efektyvumas ir sumažintos šiluminės energijos (kuro) sąnaudas. </w:t>
                  </w:r>
                  <w:r>
                    <w:rPr>
                      <w:szCs w:val="24"/>
                      <w:shd w:val="clear" w:color="auto" w:fill="FFFFFF"/>
                    </w:rPr>
                    <w:t xml:space="preserve"> </w:t>
                  </w:r>
                </w:p>
              </w:sdtContent>
            </w:sdt>
            <w:sdt>
              <w:sdtPr>
                <w:alias w:val="5 p."/>
                <w:tag w:val="part_df4feafaca5c49108a7f83328340e313"/>
                <w:lock w:val="sdtLocked"/>
                <w:richText/>
              </w:sdtPr>
              <w:sdtContent>
                <w:p>
                  <w:pPr>
                    <w:spacing w:line="276" w:lineRule="auto"/>
                    <w:ind w:firstLine="680"/>
                    <w:jc w:val="both"/>
                    <w:rPr>
                      <w:b/>
                      <w:bCs/>
                      <w:szCs w:val="24"/>
                    </w:rPr>
                  </w:pPr>
                  <w:sdt>
                    <w:sdtPr>
                      <w:alias w:val="Numeris"/>
                      <w:tag w:val="nr_df4feafaca5c49108a7f83328340e313"/>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e76cf9682252484882b97962019caf16"/>
                <w:lock w:val="sdtLocked"/>
                <w:richText/>
              </w:sdtPr>
              <w:sdtContent>
                <w:p>
                  <w:pPr>
                    <w:spacing w:line="276" w:lineRule="auto"/>
                    <w:ind w:firstLine="680"/>
                    <w:jc w:val="both"/>
                    <w:rPr>
                      <w:szCs w:val="24"/>
                    </w:rPr>
                  </w:pPr>
                  <w:sdt>
                    <w:sdtPr>
                      <w:alias w:val="Numeris"/>
                      <w:tag w:val="nr_e76cf9682252484882b97962019caf16"/>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2417171b99c44c03a3584ba20b0c7b09"/>
                <w:lock w:val="sdtLocked"/>
                <w:richText/>
              </w:sdtPr>
              <w:sdtContent>
                <w:p>
                  <w:pPr>
                    <w:tabs>
                      <w:tab w:val="left" w:pos="855"/>
                    </w:tabs>
                    <w:spacing w:line="276" w:lineRule="auto"/>
                    <w:ind w:firstLine="680"/>
                    <w:jc w:val="both"/>
                    <w:rPr>
                      <w:szCs w:val="24"/>
                      <w:shd w:val="clear" w:color="auto" w:fill="FFFFFF"/>
                    </w:rPr>
                  </w:pPr>
                  <w:sdt>
                    <w:sdtPr>
                      <w:alias w:val="Numeris"/>
                      <w:tag w:val="nr_2417171b99c44c03a3584ba20b0c7b09"/>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Projekto vertė </w:t>
                  </w:r>
                  <w:r>
                    <w:rPr>
                      <w:szCs w:val="24"/>
                    </w:rPr>
                    <w:t>1 975 833</w:t>
                  </w:r>
                  <w:r>
                    <w:rPr>
                      <w:rFonts w:ascii="Arial" w:hAnsi="Arial" w:cs="Arial"/>
                      <w:sz w:val="20"/>
                    </w:rPr>
                    <w:t xml:space="preserve"> </w:t>
                  </w:r>
                  <w:r>
                    <w:rPr>
                      <w:szCs w:val="24"/>
                      <w:shd w:val="clear" w:color="auto" w:fill="FFFFFF"/>
                    </w:rPr>
                    <w:t xml:space="preserve">Eur. </w:t>
                  </w:r>
                  <w:r>
                    <w:rPr>
                      <w:color w:val="000000"/>
                      <w:szCs w:val="24"/>
                    </w:rPr>
                    <w:t>Projektui įgyvendinti bus skiriama 100 proc. pagal Aprašą tinkamų finansuoti išlaidų</w:t>
                  </w:r>
                  <w:r>
                    <w:rPr>
                      <w:szCs w:val="24"/>
                      <w:shd w:val="clear" w:color="auto" w:fill="FFFFFF"/>
                    </w:rPr>
                    <w:t xml:space="preserve"> </w:t>
                  </w:r>
                  <w:r>
                    <w:rPr>
                      <w:color w:val="000000"/>
                      <w:szCs w:val="24"/>
                    </w:rPr>
                    <w:t>finansavimo suma, kurią sudarys iki 50 proc. negrąžinamoji subsidija ir ne mažiau 50 proc. grąžinamoji subsidija. Grąžinamosios subsidijos grąžinimo tvarka bus nustatoma projekto sutartyje ir grąžinamosios subsidijos lėšų grąžinimo grafike. Lėšų grąžinimo terminas negalės būti ilgesnis kaip 10 metų po projekto įgyvendinimo. Grąžinamosios subsidijos grąžinimas bus atliekamas vieną kartą per metus – iki einamųjų metų birželio 30 d.</w:t>
                  </w:r>
                </w:p>
                <w:p>
                  <w:pPr>
                    <w:tabs>
                      <w:tab w:val="left" w:pos="1200"/>
                    </w:tabs>
                    <w:spacing w:line="276" w:lineRule="auto"/>
                    <w:ind w:firstLine="742"/>
                    <w:jc w:val="both"/>
                    <w:rPr>
                      <w:color w:val="000000"/>
                      <w:szCs w:val="24"/>
                    </w:rPr>
                  </w:pPr>
                  <w:r>
                    <w:rPr>
                      <w:szCs w:val="24"/>
                      <w:shd w:val="clear" w:color="auto" w:fill="FFFFFF"/>
                    </w:rPr>
                    <w:t xml:space="preserve">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413fccf6bd5347afbb03dc200b749416"/>
                <w:lock w:val="sdtLocked"/>
                <w:richText/>
              </w:sdtPr>
              <w:sdtContent>
                <w:p>
                  <w:pPr>
                    <w:tabs>
                      <w:tab w:val="left" w:pos="1200"/>
                    </w:tabs>
                    <w:spacing w:line="276" w:lineRule="auto"/>
                    <w:ind w:firstLine="680"/>
                    <w:jc w:val="both"/>
                    <w:rPr>
                      <w:b/>
                      <w:color w:val="000000"/>
                      <w:szCs w:val="24"/>
                    </w:rPr>
                  </w:pPr>
                  <w:sdt>
                    <w:sdtPr>
                      <w:alias w:val="Numeris"/>
                      <w:tag w:val="nr_413fccf6bd5347afbb03dc200b749416"/>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3ccc414b629c4fe6a1196088086abcf4"/>
                <w:lock w:val="sdtLocked"/>
                <w:richText/>
              </w:sdtPr>
              <w:sdtContent>
                <w:p>
                  <w:pPr>
                    <w:tabs>
                      <w:tab w:val="left" w:pos="1200"/>
                    </w:tabs>
                    <w:spacing w:line="276" w:lineRule="auto"/>
                    <w:ind w:firstLine="680"/>
                    <w:jc w:val="both"/>
                    <w:rPr>
                      <w:b/>
                      <w:szCs w:val="24"/>
                    </w:rPr>
                  </w:pPr>
                  <w:sdt>
                    <w:sdtPr>
                      <w:alias w:val="Numeris"/>
                      <w:tag w:val="nr_3ccc414b629c4fe6a1196088086abcf4"/>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e38709c45d3f4f2085156c9f6048f41d"/>
                <w:lock w:val="sdtLocked"/>
                <w:richText/>
              </w:sdtPr>
              <w:sdtContent>
                <w:p>
                  <w:pPr>
                    <w:spacing w:line="276" w:lineRule="auto"/>
                    <w:ind w:firstLine="680"/>
                    <w:jc w:val="both"/>
                    <w:rPr>
                      <w:szCs w:val="24"/>
                      <w:shd w:val="clear" w:color="auto" w:fill="FFFFFF"/>
                    </w:rPr>
                  </w:pPr>
                  <w:sdt>
                    <w:sdtPr>
                      <w:alias w:val="Numeris"/>
                      <w:tag w:val="nr_e38709c45d3f4f2085156c9f6048f41d"/>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edd4b5e285d740748f801e250e0d5591"/>
                <w:lock w:val="sdtLocked"/>
                <w:richText/>
              </w:sdtPr>
              <w:sdtContent>
                <w:p>
                  <w:pPr>
                    <w:tabs>
                      <w:tab w:val="left" w:pos="1134"/>
                    </w:tabs>
                    <w:spacing w:line="276" w:lineRule="auto"/>
                    <w:ind w:left="1069" w:hanging="360"/>
                    <w:rPr>
                      <w:rFonts w:eastAsia="Calibri"/>
                      <w:b/>
                      <w:bCs/>
                      <w:szCs w:val="24"/>
                    </w:rPr>
                  </w:pPr>
                  <w:sdt>
                    <w:sdtPr>
                      <w:alias w:val="Numeris"/>
                      <w:tag w:val="nr_edd4b5e285d740748f801e250e0d5591"/>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a7d3cbb193f94a939ce349c41e8cb480"/>
                <w:lock w:val="sdtLocked"/>
                <w:richText/>
              </w:sdtPr>
              <w:sdtContent>
                <w:p>
                  <w:pPr>
                    <w:spacing w:line="276" w:lineRule="auto"/>
                    <w:ind w:left="1069" w:hanging="360"/>
                    <w:jc w:val="both"/>
                    <w:rPr>
                      <w:rFonts w:eastAsia="Calibri"/>
                      <w:b/>
                      <w:bCs/>
                      <w:szCs w:val="24"/>
                    </w:rPr>
                  </w:pPr>
                  <w:sdt>
                    <w:sdtPr>
                      <w:alias w:val="Numeris"/>
                      <w:tag w:val="nr_a7d3cbb193f94a939ce349c41e8cb480"/>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8f3c0b070f354ff4895333b5dcd01f7b"/>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2109330">
      <w:bodyDiv w:val="1"/>
      <w:marLeft w:val="0"/>
      <w:marRight w:val="0"/>
      <w:marTop w:val="0"/>
      <w:marBottom w:val="0"/>
      <w:divBdr>
        <w:top w:val="none" w:sz="0" w:space="0" w:color="auto"/>
        <w:left w:val="none" w:sz="0" w:space="0" w:color="auto"/>
        <w:bottom w:val="none" w:sz="0" w:space="0" w:color="auto"/>
        <w:right w:val="none" w:sz="0" w:space="0" w:color="auto"/>
      </w:divBdr>
      <w:divsChild>
        <w:div w:id="1757094808">
          <w:marLeft w:val="0"/>
          <w:marRight w:val="0"/>
          <w:marTop w:val="0"/>
          <w:marBottom w:val="0"/>
          <w:divBdr>
            <w:top w:val="none" w:sz="0" w:space="0" w:color="auto"/>
            <w:left w:val="none" w:sz="0" w:space="0" w:color="auto"/>
            <w:bottom w:val="none" w:sz="0" w:space="0" w:color="auto"/>
            <w:right w:val="none" w:sz="0" w:space="0" w:color="auto"/>
          </w:divBdr>
        </w:div>
        <w:div w:id="191654883">
          <w:marLeft w:val="0"/>
          <w:marRight w:val="0"/>
          <w:marTop w:val="0"/>
          <w:marBottom w:val="0"/>
          <w:divBdr>
            <w:top w:val="none" w:sz="0" w:space="0" w:color="auto"/>
            <w:left w:val="none" w:sz="0" w:space="0" w:color="auto"/>
            <w:bottom w:val="none" w:sz="0" w:space="0" w:color="auto"/>
            <w:right w:val="none" w:sz="0" w:space="0" w:color="auto"/>
          </w:divBdr>
        </w:div>
      </w:divsChild>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7335476">
      <w:bodyDiv w:val="1"/>
      <w:marLeft w:val="0"/>
      <w:marRight w:val="0"/>
      <w:marTop w:val="0"/>
      <w:marBottom w:val="0"/>
      <w:divBdr>
        <w:top w:val="none" w:sz="0" w:space="0" w:color="auto"/>
        <w:left w:val="none" w:sz="0" w:space="0" w:color="auto"/>
        <w:bottom w:val="none" w:sz="0" w:space="0" w:color="auto"/>
        <w:right w:val="none" w:sz="0" w:space="0" w:color="auto"/>
      </w:divBdr>
    </w:div>
    <w:div w:id="899949209">
      <w:bodyDiv w:val="1"/>
      <w:marLeft w:val="0"/>
      <w:marRight w:val="0"/>
      <w:marTop w:val="0"/>
      <w:marBottom w:val="0"/>
      <w:divBdr>
        <w:top w:val="none" w:sz="0" w:space="0" w:color="auto"/>
        <w:left w:val="none" w:sz="0" w:space="0" w:color="auto"/>
        <w:bottom w:val="none" w:sz="0" w:space="0" w:color="auto"/>
        <w:right w:val="none" w:sz="0" w:space="0" w:color="auto"/>
      </w:divBdr>
    </w:div>
    <w:div w:id="1089539668">
      <w:bodyDiv w:val="1"/>
      <w:marLeft w:val="0"/>
      <w:marRight w:val="0"/>
      <w:marTop w:val="0"/>
      <w:marBottom w:val="0"/>
      <w:divBdr>
        <w:top w:val="none" w:sz="0" w:space="0" w:color="auto"/>
        <w:left w:val="none" w:sz="0" w:space="0" w:color="auto"/>
        <w:bottom w:val="none" w:sz="0" w:space="0" w:color="auto"/>
        <w:right w:val="none" w:sz="0" w:space="0" w:color="auto"/>
      </w:divBdr>
      <w:divsChild>
        <w:div w:id="182280955">
          <w:marLeft w:val="0"/>
          <w:marRight w:val="0"/>
          <w:marTop w:val="0"/>
          <w:marBottom w:val="0"/>
          <w:divBdr>
            <w:top w:val="none" w:sz="0" w:space="0" w:color="auto"/>
            <w:left w:val="none" w:sz="0" w:space="0" w:color="auto"/>
            <w:bottom w:val="none" w:sz="0" w:space="0" w:color="auto"/>
            <w:right w:val="none" w:sz="0" w:space="0" w:color="auto"/>
          </w:divBdr>
        </w:div>
        <w:div w:id="1344673959">
          <w:marLeft w:val="0"/>
          <w:marRight w:val="0"/>
          <w:marTop w:val="0"/>
          <w:marBottom w:val="0"/>
          <w:divBdr>
            <w:top w:val="none" w:sz="0" w:space="0" w:color="auto"/>
            <w:left w:val="none" w:sz="0" w:space="0" w:color="auto"/>
            <w:bottom w:val="none" w:sz="0" w:space="0" w:color="auto"/>
            <w:right w:val="none" w:sz="0" w:space="0" w:color="auto"/>
          </w:divBdr>
        </w:div>
      </w:divsChild>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82fb29796d1429d99bc2dda8a935c30" PartId="cd5034dc4c784db5ba816e39e4c60c03">
    <Part Type="preambule" DocPartId="716627dac485484783e32ca5ca8eaae7" PartId="ecaa232650914a1c95df0ecf24faac33"/>
    <Part Type="punktas" Nr="1" Abbr="1 p." DocPartId="0ff6da13db644a41b989187b8ee9fa86" PartId="1a106ade33ff4ff2888d64486cb38779"/>
    <Part Type="punktas" Nr="2" Abbr="2 p." DocPartId="fa8f7e9548414b09bdf2fa3157daf59d" PartId="c4f80091dad94d56a7d22866dd9f5242"/>
    <Part Type="punktas" Nr="3" Abbr="3 p." DocPartId="84417956576f4d95a6472ded773e08e7" PartId="9fdf5ccf3f67483fa1f1bbfa8f3a1efa">
      <Part Type="papunktis" Nr="3.1" Abbr="3.1 pp." DocPartId="6091e2fbf7c44c0e86ca3f98c1dfaa0f" PartId="0b48ce03b6824029a3633cd547e7e0bf"/>
      <Part Type="papunktis" Nr="3.2" Abbr="3.2 pp." DocPartId="5a9c3db9cbcd463f9ee488cb320d6636" PartId="a6d444d99df34dbebd003c8260d7e362"/>
      <Part Type="papunktis" Nr="3.3" Abbr="3.3 pp." DocPartId="b88bd8d7ce894716baef7d48fddcfb0a" PartId="c1b10eda9b584df1b425e374f73fb344"/>
    </Part>
    <Part Type="punktas" Nr="4" Abbr="4 p." DocPartId="6489387f5b91402c95c8432628368e30" PartId="3996967d38a348db90d737dc160d1093"/>
    <Part Type="punktas" Nr="5" Abbr="5 p." DocPartId="84049757956942478048730315e5233c" PartId="b6bfc80bd3924cfba09584d75496081f"/>
    <Part Type="skirsnis" Title="RADVILIŠKIO RAJONO SAVIVALDYBĖS TARYBOS SPRENDIMO PROJEKTO „DĖL PRITARIMO PROJEKTO „RADVILIŠKIO VINCO KUDIRKOS PROGIMNAZIJOS PASTATO ATNAUJINIMAS“ ĮGYVENDINIMUI IR LĖŠŲ SKYRIMO“ AIŠKINAMASIS RAŠTAS" DocPartId="d8dcf23e983a4e64b21ab5f6e575deea" PartId="66b8452d2abb4665bec86a70c957790c">
      <Part Type="punktas" Nr="1" Abbr="1 p." DocPartId="f70b25b5a64d45e588bc866438b31f1d" PartId="067311b590294c6d83a6ba8c0e39f684"/>
      <Part Type="punktas" Nr="1" Abbr="1 p." Notes="Numeris ne iš eilės. Trūksta dalių? [DocDalys]" DocPartId="0b16314e303b4518beeb91b314224aea" PartId="9fe7a08d75ac443abce38519096a1eb8"/>
      <Part Type="punktas" Nr="2" Abbr="2 p." DocPartId="ab52cc7f854c433daa5723b737c1691f" PartId="4ed2968fe89841d0851e5506ba714c1b"/>
      <Part Type="punktas" Nr="2" Abbr="2 p." Notes="Numeris ne iš eilės. Trūksta dalių? [DocDalys]" DocPartId="5e40eb8a358f432da35583d0dba203fe" PartId="7d427b1525d6452dbf5b805ce11abacd"/>
      <Part Type="punktas" Nr="3" Abbr="3 p." DocPartId="4641e1b491e0461bab7e2d9efbf63af2" PartId="73d75786b74f4c84902481eb5182af25"/>
      <Part Type="punktas" Nr="4" Abbr="4 p." DocPartId="cdcef83c270e4239a07ddcc210e7374c" PartId="42ca3d086df8424880f4ec0f4295f98e"/>
      <Part Type="punktas" Nr="5" Abbr="5 p." DocPartId="3b3fc548a6674521997ccf07665a80aa" PartId="df4feafaca5c49108a7f83328340e313"/>
      <Part Type="punktas" Nr="6" Abbr="6 p." DocPartId="e1aa20d758e8460fb382e79611c083b9" PartId="e76cf9682252484882b97962019caf16"/>
      <Part Type="punktas" Nr="7" Abbr="7 p." DocPartId="adafd0ff06ca482eb525cb78eacd78b2" PartId="2417171b99c44c03a3584ba20b0c7b09"/>
      <Part Type="punktas" Nr="8" Abbr="8 p." DocPartId="3e774563ad334ff3a8336e1f16486095" PartId="413fccf6bd5347afbb03dc200b749416"/>
      <Part Type="punktas" Nr="9" Abbr="9 p." DocPartId="e86217a107a54307af7dcc29f61303d5" PartId="3ccc414b629c4fe6a1196088086abcf4"/>
      <Part Type="punktas" Nr="10" Abbr="10 p." DocPartId="76c6f7e45be9461a9d34a0cdeb333db2" PartId="e38709c45d3f4f2085156c9f6048f41d"/>
      <Part Type="punktas" Nr="11" Abbr="11 p." DocPartId="bba9d2351b5a46b0b3d22c009f47d5f8" PartId="edd4b5e285d740748f801e250e0d5591"/>
      <Part Type="punktas" Nr="12" Abbr="12 p." DocPartId="4e88a81ee9174875835eeeea0a19bcc8" PartId="a7d3cbb193f94a939ce349c41e8cb480"/>
    </Part>
    <Part Type="signatura" DocPartId="f09a35da29a84471a44addee64bc2511" PartId="8f3c0b070f354ff4895333b5dcd01f7b"/>
  </Part>
</Parts>
</file>

<file path=customXml/itemProps1.xml><?xml version="1.0" encoding="utf-8"?>
<ds:datastoreItem xmlns:ds="http://schemas.openxmlformats.org/officeDocument/2006/customXml" ds:itemID="{E537F6AB-269F-4AB1-B443-0E98D5559743}">
  <ds:schemaRefs>
    <ds:schemaRef ds:uri="http://schemas.openxmlformats.org/officeDocument/2006/bibliography"/>
  </ds:schemaRefs>
</ds:datastoreItem>
</file>

<file path=customXml/itemProps2.xml><?xml version="1.0" encoding="utf-8"?>
<ds:datastoreItem xmlns:ds="http://schemas.openxmlformats.org/officeDocument/2006/customXml" ds:itemID="{A0201616-87EC-4C0E-B607-633345814C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849</Words>
  <Characters>6293</Characters>
  <Application>Microsoft Office Word</Application>
  <DocSecurity>4</DocSecurity>
  <Lines>121</Lines>
  <Paragraphs>62</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7080</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2025-03-13T12:27:00Z</dcterms:created>
  <dc:creator>Gintaras</dc:creator>
  <lastModifiedBy>adlibuser</lastModifiedBy>
  <lastPrinted>2024-04-30T06:27:00Z</lastPrinted>
  <dcterms:modified xsi:type="dcterms:W3CDTF">2025-03-13T12:27:00Z</dcterms:modified>
  <revision>2</revision>
  <dc:title/>
</coreProperties>
</file>