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Dėl įsipareigojimo suteikti gyvenamąją  patalpą  </w:t>
      </w:r>
    </w:p>
    <w:p>
      <w:pPr>
        <w:jc w:val="center"/>
        <w:rPr>
          <w:b/>
          <w:caps/>
        </w:rPr>
      </w:pPr>
    </w:p>
    <w:p>
      <w:pPr>
        <w:jc w:val="center"/>
      </w:pPr>
      <w:r>
        <w:t xml:space="preserve">2015 m. lapkričio 18 d. Nr. (1.3)-T1-236  </w:t>
      </w:r>
    </w:p>
    <w:p>
      <w:pPr>
        <w:keepNext/>
        <w:jc w:val="center"/>
        <w:outlineLvl w:val="5"/>
      </w:pPr>
      <w:r>
        <w:t>Prienai</w:t>
      </w:r>
    </w:p>
    <w:p>
      <w:pPr>
        <w:jc w:val="center"/>
        <w:rPr>
          <w:caps/>
        </w:rPr>
      </w:pPr>
    </w:p>
    <w:p>
      <w:pPr>
        <w:rPr>
          <w:sz w:val="20"/>
        </w:rPr>
      </w:pPr>
    </w:p>
    <w:p>
      <w:pPr>
        <w:spacing w:line="360" w:lineRule="auto"/>
        <w:ind w:firstLine="913"/>
        <w:jc w:val="both"/>
        <w:rPr>
          <w:spacing w:val="120"/>
        </w:rPr>
      </w:pPr>
      <w:r>
        <w:t>Vadovaudamasi Lietuvos Respublikos valstybės ir savivaldybių turto valdymo, naudojimo ir disponavimo juo įstatymo 12 straipsnio 1 dalimi, Lietuvos Respublikos įstatymo „Dėl užsieniečių teisinės padėties“ 26 straipsnio 1 dalies 4 punktu, Lietuvos Respublikos civilinio kodekso 6.590 straipsnio 2 dalimi ir atsižvelgdama į Onos Vansevič 2015-10-29 prašymą, Prienų rajono savivaldybės taryba n u s p r e n d ž i a</w:t>
      </w:r>
      <w:r>
        <w:rPr>
          <w:spacing w:val="120"/>
        </w:rPr>
        <w:t>:</w:t>
      </w:r>
    </w:p>
    <w:p>
      <w:pPr>
        <w:spacing w:line="360" w:lineRule="auto"/>
        <w:ind w:firstLine="851"/>
        <w:jc w:val="both"/>
      </w:pPr>
      <w:r>
        <w:t xml:space="preserve">Įsipareigoti suteikti gyvenamąją patalpą Rusijos piliečiui Antonui Vansevičiui (Anton Vansevich), gimusiam 1959 m. rugpjūčio 8 d., žmonos Onos Vansevič nuomojamame bute Birštono g. 28-6, Prienų mieste (unikalus Nr. </w:t>
      </w:r>
      <w:r>
        <w:rPr>
          <w:szCs w:val="24"/>
        </w:rPr>
        <w:t>6995-8000-3017:0006),</w:t>
      </w:r>
      <w:r>
        <w:t xml:space="preserve"> kuris nuosavybės teise priklauso Prienų rajono savivaldybei, leidimo laikinai gyventi Lietuvos Respublikos teritorijoje galiojimo laikotarpiu.</w:t>
      </w:r>
    </w:p>
    <w:p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Šis sprendimas gali būti skundžiamas Lietuvos Respublikos administracinių bylų teisenos įstatymo  nustatyta tvarka.</w:t>
      </w: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962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ab/>
        <w:tab/>
        <w:tab/>
        <w:tab/>
      </w:r>
    </w:p>
    <w:p>
      <w:pPr>
        <w:spacing w:line="360" w:lineRule="auto"/>
        <w:ind w:firstLine="851"/>
        <w:jc w:val="both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418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961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1090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2015-11-19T14:06:00Z</dcterms:created>
  <dc:creator>Birutė</dc:creator>
  <lastModifiedBy>CLUSadmin</lastModifiedBy>
  <lastPrinted>2015-11-10T09:29:00Z</lastPrinted>
  <dcterms:modified xsi:type="dcterms:W3CDTF">2015-11-19T14:06:00Z</dcterms:modified>
  <revision>2</revision>
  <dc:title>DĖL TRUMPALAIKĖS VAIKO GLOBOS IR PRIEŽIŪROS VŠĮ PRIENŲ LIGONINĖJE PROJEKTO PATVIRTINIMO</dc:title>
</coreProperties>
</file>