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720452002134bd29d1c27940bc83a5c"/>
        <w:lock w:val="sdtLocked"/>
        <w:richText/>
      </w:sdtPr>
      <w:sdtContent>
        <w:p>
          <w:pPr>
            <w:ind w:firstLine="5387"/>
            <w:jc w:val="both"/>
            <w:rPr>
              <w:b/>
              <w:bCs/>
              <w:szCs w:val="24"/>
            </w:rPr>
          </w:pPr>
          <w:r>
            <w:rPr>
              <w:b/>
              <w:bCs/>
              <w:szCs w:val="24"/>
            </w:rPr>
            <w:t xml:space="preserve">Projektas, </w:t>
          </w:r>
        </w:p>
        <w:p>
          <w:pPr>
            <w:ind w:firstLine="5387"/>
            <w:jc w:val="both"/>
            <w:rPr>
              <w:b/>
              <w:bCs/>
              <w:szCs w:val="24"/>
            </w:rPr>
          </w:pPr>
          <w:r>
            <w:rPr>
              <w:b/>
              <w:bCs/>
              <w:szCs w:val="24"/>
            </w:rPr>
            <w:t>alternatyvus projektui Nr. XIIP-1986(5)</w:t>
          </w:r>
        </w:p>
        <w:p>
          <w:pPr>
            <w:jc w:val="right"/>
            <w:rPr>
              <w:rFonts w:eastAsia="Cambria"/>
              <w:bCs/>
              <w:i/>
              <w:szCs w:val="24"/>
              <w:lang w:val="en-GB"/>
            </w:rPr>
          </w:pPr>
        </w:p>
        <w:p>
          <w:pPr>
            <w:jc w:val="center"/>
            <w:rPr>
              <w:bCs/>
              <w:i/>
              <w:szCs w:val="24"/>
              <w:lang w:val="en-GB"/>
            </w:rPr>
          </w:pPr>
        </w:p>
        <w:p>
          <w:pPr>
            <w:shd w:val="clear" w:color="auto" w:fill="FFFFFF"/>
            <w:spacing w:line="253" w:lineRule="atLeast"/>
            <w:jc w:val="center"/>
            <w:rPr>
              <w:rFonts w:ascii="TimesLT" w:hAnsi="TimesLT"/>
              <w:color w:val="000000"/>
              <w:szCs w:val="24"/>
              <w:lang w:val="en-GB"/>
            </w:rPr>
          </w:pPr>
          <w:r>
            <w:rPr>
              <w:b/>
              <w:color w:val="000000"/>
              <w:szCs w:val="24"/>
              <w:lang w:val="en-GB"/>
            </w:rPr>
            <w:t>LIETUVOS RESPUBLIKOS</w:t>
          </w:r>
        </w:p>
        <w:p>
          <w:pPr>
            <w:ind w:firstLine="720"/>
            <w:jc w:val="center"/>
            <w:rPr>
              <w:b/>
              <w:color w:val="000000"/>
              <w:szCs w:val="24"/>
              <w:lang w:val="en-GB"/>
            </w:rPr>
          </w:pPr>
          <w:r>
            <w:rPr>
              <w:b/>
              <w:color w:val="000000"/>
              <w:szCs w:val="24"/>
              <w:lang w:val="en-GB"/>
            </w:rPr>
            <w:t>VALSTYBINIŲ SOCIALINIO DRAUDIMO SENATVĖS IR NETEKTO DARBINGUMO (INVALIDUMO) PENSIJŲ KOMPENSAVIMO ĮSTATYMO NR. XII-886 1 STRAIPSNIO PAKEITIMO</w:t>
          </w:r>
        </w:p>
        <w:p>
          <w:pPr>
            <w:ind w:firstLine="720"/>
            <w:jc w:val="center"/>
            <w:rPr>
              <w:b/>
              <w:bCs/>
              <w:szCs w:val="24"/>
              <w:lang w:val="en-GB"/>
            </w:rPr>
          </w:pPr>
          <w:r>
            <w:rPr>
              <w:b/>
              <w:color w:val="000000"/>
              <w:szCs w:val="24"/>
              <w:lang w:val="en-GB"/>
            </w:rPr>
            <w:t>ĮSTATYMAS</w:t>
          </w:r>
        </w:p>
        <w:p>
          <w:pPr>
            <w:ind w:right="96"/>
            <w:jc w:val="center"/>
            <w:rPr>
              <w:bCs/>
              <w:szCs w:val="24"/>
              <w:lang w:val="en-GB"/>
            </w:rPr>
          </w:pPr>
        </w:p>
        <w:p>
          <w:pPr>
            <w:jc w:val="center"/>
            <w:rPr>
              <w:szCs w:val="24"/>
              <w:lang w:val="en-GB"/>
            </w:rPr>
          </w:pPr>
          <w:r>
            <w:rPr>
              <w:szCs w:val="24"/>
              <w:lang w:val="en-GB"/>
            </w:rPr>
            <w:t xml:space="preserve">2016 m.           d. Nr.</w:t>
          </w:r>
        </w:p>
        <w:p>
          <w:pPr>
            <w:jc w:val="center"/>
            <w:rPr>
              <w:szCs w:val="24"/>
              <w:lang w:val="en-GB"/>
            </w:rPr>
          </w:pPr>
          <w:r>
            <w:rPr>
              <w:szCs w:val="24"/>
              <w:lang w:val="en-GB"/>
            </w:rPr>
            <w:t>Vilnius</w:t>
          </w:r>
        </w:p>
        <w:p>
          <w:pPr>
            <w:jc w:val="center"/>
            <w:rPr>
              <w:szCs w:val="24"/>
              <w:lang w:val="en-GB"/>
            </w:rPr>
          </w:pPr>
        </w:p>
        <w:p>
          <w:pPr>
            <w:jc w:val="center"/>
            <w:rPr>
              <w:szCs w:val="24"/>
              <w:lang w:val="en-GB"/>
            </w:rPr>
          </w:pPr>
        </w:p>
        <w:sdt>
          <w:sdtPr>
            <w:alias w:val="1 str."/>
            <w:tag w:val="part_6e7beef14c6d406aa46a775310d7f6d7"/>
            <w:lock w:val="sdtLocked"/>
            <w:richText/>
          </w:sdtPr>
          <w:sdtContent>
            <w:p>
              <w:pPr>
                <w:spacing w:line="276" w:lineRule="auto"/>
                <w:ind w:firstLine="567"/>
                <w:rPr>
                  <w:b/>
                  <w:szCs w:val="24"/>
                </w:rPr>
              </w:pPr>
              <w:sdt>
                <w:sdtPr>
                  <w:alias w:val="Numeris"/>
                  <w:tag w:val="nr_6e7beef14c6d406aa46a775310d7f6d7"/>
                  <w:lock w:val="sdtLocked"/>
                  <w:richText/>
                </w:sdtPr>
                <w:sdtContent>
                  <w:r>
                    <w:rPr>
                      <w:b/>
                      <w:szCs w:val="24"/>
                    </w:rPr>
                    <w:t>1</w:t>
                  </w:r>
                </w:sdtContent>
              </w:sdt>
              <w:r>
                <w:rPr>
                  <w:b/>
                  <w:szCs w:val="24"/>
                </w:rPr>
                <w:t xml:space="preserve"> straipsnis. </w:t>
              </w:r>
              <w:sdt>
                <w:sdtPr>
                  <w:alias w:val="Pavadinimas"/>
                  <w:tag w:val="title_6e7beef14c6d406aa46a775310d7f6d7"/>
                  <w:lock w:val="sdtLocked"/>
                  <w:richText/>
                </w:sdtPr>
                <w:sdtContent>
                  <w:r>
                    <w:rPr>
                      <w:b/>
                      <w:szCs w:val="24"/>
                    </w:rPr>
                    <w:t>1 straipsnio pakeitimas</w:t>
                  </w:r>
                </w:sdtContent>
              </w:sdt>
            </w:p>
            <w:sdt>
              <w:sdtPr>
                <w:alias w:val="1 str. 1 d."/>
                <w:tag w:val="part_9d505822b05347f485c0c855bf8fc73b"/>
                <w:lock w:val="sdtLocked"/>
                <w:richText/>
              </w:sdtPr>
              <w:sdtContent>
                <w:p>
                  <w:pPr>
                    <w:spacing w:line="276" w:lineRule="auto"/>
                    <w:ind w:firstLine="567"/>
                    <w:rPr>
                      <w:b/>
                      <w:szCs w:val="24"/>
                    </w:rPr>
                  </w:pPr>
                  <w:r>
                    <w:rPr>
                      <w:szCs w:val="24"/>
                    </w:rPr>
                    <w:t>Papildyti 1 straipsnį 3 dalimi:</w:t>
                  </w:r>
                </w:p>
                <w:sdt>
                  <w:sdtPr>
                    <w:alias w:val="citata"/>
                    <w:tag w:val="part_989342fd77ab4f93a3aaec3aceb74814"/>
                    <w:lock w:val="sdtLocked"/>
                    <w:richText/>
                  </w:sdtPr>
                  <w:sdtContent>
                    <w:sdt>
                      <w:sdtPr>
                        <w:alias w:val="3 d."/>
                        <w:tag w:val="part_f7bcf57facd744a393584342092877cf"/>
                        <w:lock w:val="sdtLocked"/>
                        <w:richText/>
                      </w:sdtPr>
                      <w:sdtContent>
                        <w:p>
                          <w:pPr>
                            <w:spacing w:line="276" w:lineRule="auto"/>
                            <w:ind w:firstLine="567"/>
                            <w:jc w:val="both"/>
                          </w:pPr>
                          <w:r>
                            <w:rPr>
                              <w:szCs w:val="24"/>
                            </w:rPr>
                            <w:t>„</w:t>
                          </w:r>
                          <w:sdt>
                            <w:sdtPr>
                              <w:alias w:val="Numeris"/>
                              <w:tag w:val="nr_f7bcf57facd744a393584342092877cf"/>
                              <w:lock w:val="sdtLocked"/>
                              <w:richText/>
                            </w:sdtPr>
                            <w:sdtContent>
                              <w:r>
                                <w:rPr>
                                  <w:szCs w:val="24"/>
                                </w:rPr>
                                <w:t>3</w:t>
                              </w:r>
                            </w:sdtContent>
                          </w:sdt>
                          <w:r>
                            <w:rPr>
                              <w:szCs w:val="24"/>
                            </w:rPr>
                            <w:t>. As</w:t>
                          </w:r>
                          <w:r>
                            <w:t>menys, kuriems paveldėjimo tvarka pereina (perėjo) mirusio asmens turtas, turi teisę gauti šio įstatymo 2 straipsnio 1 dalyje nurodytą kompensuojamąją sumą už mirusį asmenį, kuriam buvo taikomos Laikinojo įstatymo 6 straipsnio 1-4, 6 ir 7 dalių ir 7 straipsnio 1, 2, 4, 5 ir 6 dalių nuostatos.“</w:t>
                          </w:r>
                        </w:p>
                        <w:p>
                          <w:pPr>
                            <w:spacing w:line="276" w:lineRule="auto"/>
                            <w:jc w:val="both"/>
                            <w:rPr>
                              <w:b/>
                            </w:rPr>
                          </w:pPr>
                        </w:p>
                      </w:sdtContent>
                    </w:sdt>
                  </w:sdtContent>
                </w:sdt>
              </w:sdtContent>
            </w:sdt>
          </w:sdtContent>
        </w:sdt>
        <w:sdt>
          <w:sdtPr>
            <w:alias w:val="2 str."/>
            <w:tag w:val="part_9f710acee7a7425fbc0595b14635d4f7"/>
            <w:lock w:val="sdtLocked"/>
            <w:richText/>
          </w:sdtPr>
          <w:sdtContent>
            <w:p>
              <w:pPr>
                <w:spacing w:line="276" w:lineRule="auto"/>
                <w:ind w:firstLine="567"/>
                <w:jc w:val="both"/>
                <w:rPr>
                  <w:b/>
                </w:rPr>
              </w:pPr>
              <w:sdt>
                <w:sdtPr>
                  <w:alias w:val="Numeris"/>
                  <w:tag w:val="nr_9f710acee7a7425fbc0595b14635d4f7"/>
                  <w:lock w:val="sdtLocked"/>
                  <w:richText/>
                </w:sdtPr>
                <w:sdtContent>
                  <w:r>
                    <w:rPr>
                      <w:b/>
                    </w:rPr>
                    <w:t>2</w:t>
                  </w:r>
                </w:sdtContent>
              </w:sdt>
              <w:r>
                <w:rPr>
                  <w:b/>
                </w:rPr>
                <w:t xml:space="preserve"> straipsnis. </w:t>
              </w:r>
              <w:sdt>
                <w:sdtPr>
                  <w:alias w:val="Pavadinimas"/>
                  <w:tag w:val="title_9f710acee7a7425fbc0595b14635d4f7"/>
                  <w:lock w:val="sdtLocked"/>
                  <w:richText/>
                </w:sdtPr>
                <w:sdtContent>
                  <w:r>
                    <w:rPr>
                      <w:b/>
                    </w:rPr>
                    <w:t>2 straipsnio pakeitimas</w:t>
                  </w:r>
                </w:sdtContent>
              </w:sdt>
            </w:p>
            <w:sdt>
              <w:sdtPr>
                <w:alias w:val="2 str. 1 d."/>
                <w:tag w:val="part_e951964a86db4f49b058d719ba5d9d93"/>
                <w:lock w:val="sdtLocked"/>
                <w:richText/>
              </w:sdtPr>
              <w:sdtContent>
                <w:p>
                  <w:pPr>
                    <w:spacing w:line="276" w:lineRule="auto"/>
                    <w:ind w:firstLine="567"/>
                    <w:jc w:val="both"/>
                  </w:pPr>
                  <w:r>
                    <w:t>Papildyti 2 straipsnį 6 dalimi:</w:t>
                  </w:r>
                </w:p>
                <w:sdt>
                  <w:sdtPr>
                    <w:alias w:val="citata"/>
                    <w:tag w:val="part_bf81736f96cd4ad480db68452321f886"/>
                    <w:lock w:val="sdtLocked"/>
                    <w:richText/>
                  </w:sdtPr>
                  <w:sdtContent>
                    <w:sdt>
                      <w:sdtPr>
                        <w:alias w:val="6 d."/>
                        <w:tag w:val="part_c5ef08b544ad4204b51153408a595341"/>
                        <w:lock w:val="sdtLocked"/>
                        <w:richText/>
                      </w:sdtPr>
                      <w:sdtContent>
                        <w:p>
                          <w:pPr>
                            <w:tabs>
                              <w:tab w:val="left" w:pos="851"/>
                            </w:tabs>
                            <w:spacing w:line="276" w:lineRule="auto"/>
                            <w:ind w:firstLine="567"/>
                            <w:jc w:val="both"/>
                            <w:rPr>
                              <w:szCs w:val="24"/>
                            </w:rPr>
                          </w:pPr>
                          <w:r>
                            <w:rPr>
                              <w:szCs w:val="24"/>
                              <w:lang w:eastAsia="lt-LT"/>
                            </w:rPr>
                            <w:t>„</w:t>
                          </w:r>
                          <w:sdt>
                            <w:sdtPr>
                              <w:alias w:val="Numeris"/>
                              <w:tag w:val="nr_c5ef08b544ad4204b51153408a595341"/>
                              <w:lock w:val="sdtLocked"/>
                              <w:richText/>
                            </w:sdtPr>
                            <w:sdtContent>
                              <w:r>
                                <w:rPr>
                                  <w:szCs w:val="24"/>
                                  <w:lang w:eastAsia="lt-LT"/>
                                </w:rPr>
                                <w:t>6</w:t>
                              </w:r>
                            </w:sdtContent>
                          </w:sdt>
                          <w:r>
                            <w:rPr>
                              <w:szCs w:val="24"/>
                              <w:lang w:eastAsia="lt-LT"/>
                            </w:rPr>
                            <w:t xml:space="preserve">. </w:t>
                          </w:r>
                          <w:r>
                            <w:rPr>
                              <w:szCs w:val="24"/>
                            </w:rPr>
                            <w:t>Asmenims, kuriems paveldėjimo tvarka pereina (perėjo) mirusio asmens turtas, kompensuojamosios sumos išmokamos 2017 metų ketvirtojo ketvirčio paskutinį mėnesį, jeigu jie dėl mirusiajam priklausiusios kompensuojamosios sumos išmokėjimo kreipiasi iki 2017 m. spalio 31 d. Jeigu dėl kompensuojamosios sumos išmokėjimo kreipiamasi po 2017 m. spalio 31 d., bet ne vėliau kaip iki 2017 m. gruodžio 31 d., kompensuojamoji suma išmokama ne vėliau kaip per 3 mėnesius nuo kreipimosi dienos.“</w:t>
                          </w:r>
                        </w:p>
                        <w:p>
                          <w:pPr>
                            <w:spacing w:line="276" w:lineRule="auto"/>
                            <w:jc w:val="both"/>
                            <w:rPr>
                              <w:szCs w:val="24"/>
                            </w:rPr>
                          </w:pPr>
                        </w:p>
                      </w:sdtContent>
                    </w:sdt>
                  </w:sdtContent>
                </w:sdt>
              </w:sdtContent>
            </w:sdt>
          </w:sdtContent>
        </w:sdt>
        <w:sdt>
          <w:sdtPr>
            <w:alias w:val="3 str."/>
            <w:tag w:val="part_4e40d3beba4a480fb23bc5d59f410438"/>
            <w:lock w:val="sdtLocked"/>
            <w:richText/>
          </w:sdtPr>
          <w:sdtContent>
            <w:p>
              <w:pPr>
                <w:spacing w:line="276" w:lineRule="auto"/>
                <w:ind w:firstLine="567"/>
                <w:jc w:val="both"/>
                <w:rPr>
                  <w:b/>
                  <w:szCs w:val="24"/>
                </w:rPr>
              </w:pPr>
              <w:sdt>
                <w:sdtPr>
                  <w:alias w:val="Numeris"/>
                  <w:tag w:val="nr_4e40d3beba4a480fb23bc5d59f410438"/>
                  <w:lock w:val="sdtLocked"/>
                  <w:richText/>
                </w:sdtPr>
                <w:sdtContent>
                  <w:r>
                    <w:rPr>
                      <w:b/>
                      <w:szCs w:val="24"/>
                    </w:rPr>
                    <w:t>3</w:t>
                  </w:r>
                </w:sdtContent>
              </w:sdt>
              <w:r>
                <w:rPr>
                  <w:b/>
                  <w:szCs w:val="24"/>
                </w:rPr>
                <w:t xml:space="preserve"> straipsnis. </w:t>
              </w:r>
              <w:sdt>
                <w:sdtPr>
                  <w:alias w:val="Pavadinimas"/>
                  <w:tag w:val="title_4e40d3beba4a480fb23bc5d59f410438"/>
                  <w:lock w:val="sdtLocked"/>
                  <w:richText/>
                </w:sdtPr>
                <w:sdtContent>
                  <w:r>
                    <w:rPr>
                      <w:b/>
                      <w:szCs w:val="24"/>
                    </w:rPr>
                    <w:t>3 straipsnio pakeitimas</w:t>
                  </w:r>
                </w:sdtContent>
              </w:sdt>
            </w:p>
            <w:sdt>
              <w:sdtPr>
                <w:alias w:val="3 str. 1 d."/>
                <w:tag w:val="part_94dd37299f4a42e7827fd2d8c13f61c6"/>
                <w:lock w:val="sdtLocked"/>
                <w:richText/>
              </w:sdtPr>
              <w:sdtContent>
                <w:p>
                  <w:pPr>
                    <w:spacing w:line="276" w:lineRule="auto"/>
                    <w:ind w:left="927" w:hanging="360"/>
                    <w:jc w:val="both"/>
                    <w:rPr>
                      <w:szCs w:val="24"/>
                    </w:rPr>
                  </w:pPr>
                  <w:sdt>
                    <w:sdtPr>
                      <w:alias w:val="Numeris"/>
                      <w:tag w:val="nr_94dd37299f4a42e7827fd2d8c13f61c6"/>
                      <w:lock w:val="sdtLocked"/>
                      <w:richText/>
                    </w:sdtPr>
                    <w:sdtContent>
                      <w:r>
                        <w:rPr>
                          <w:szCs w:val="24"/>
                        </w:rPr>
                        <w:t>1</w:t>
                      </w:r>
                    </w:sdtContent>
                  </w:sdt>
                  <w:r>
                    <w:rPr>
                      <w:szCs w:val="24"/>
                    </w:rPr>
                    <w:t>.</w:t>
                    <w:tab/>
                    <w:t>Papildyti 3 straipsnį nauja 4 dalimi:</w:t>
                  </w:r>
                </w:p>
                <w:sdt>
                  <w:sdtPr>
                    <w:alias w:val="citata"/>
                    <w:tag w:val="part_bc4ae8b99e744dd99e4535636ef4ae63"/>
                    <w:lock w:val="sdtLocked"/>
                    <w:richText/>
                  </w:sdtPr>
                  <w:sdtContent>
                    <w:sdt>
                      <w:sdtPr>
                        <w:alias w:val="4 d."/>
                        <w:tag w:val="part_3245adfcc9334713942c6bdd678369e6"/>
                        <w:lock w:val="sdtLocked"/>
                        <w:richText/>
                      </w:sdtPr>
                      <w:sdtContent>
                        <w:p>
                          <w:pPr>
                            <w:spacing w:line="276" w:lineRule="auto"/>
                            <w:ind w:firstLine="567"/>
                            <w:jc w:val="both"/>
                            <w:rPr>
                              <w:szCs w:val="24"/>
                            </w:rPr>
                          </w:pPr>
                          <w:r>
                            <w:rPr>
                              <w:szCs w:val="24"/>
                            </w:rPr>
                            <w:t>„</w:t>
                          </w:r>
                          <w:sdt>
                            <w:sdtPr>
                              <w:alias w:val="Numeris"/>
                              <w:tag w:val="nr_3245adfcc9334713942c6bdd678369e6"/>
                              <w:lock w:val="sdtLocked"/>
                              <w:richText/>
                            </w:sdtPr>
                            <w:sdtContent>
                              <w:r>
                                <w:rPr>
                                  <w:szCs w:val="24"/>
                                </w:rPr>
                                <w:t>4</w:t>
                              </w:r>
                            </w:sdtContent>
                          </w:sdt>
                          <w:r>
                            <w:rPr>
                              <w:szCs w:val="24"/>
                            </w:rPr>
                            <w:t>. Kompensuojamosios sumos išmokamos asmenims, kuriems paveldėjimo tvarka pereina (perėjo) mirusio asmens turtas, kai jie Valstybinio socialinio draudimo fondo administravimo įstaigai, mokėjusiai senatvės ar netekto darbingumo (invalidumo) pensiją mirusiajam, pateikia Valstybinio socialinio draudimo fondo valdybos prie Socialinės apsaugos ir darbo ministerijos nustatytos formos prašymą dėl kompensuojamosios sumos, priklausiusios mirusiajam, išmokėjimo, asmens tapatybę patvirtinantį dokumentą ar teisės aktų nustatyta tvarka patvirtintą asmens tapatybės dokumento kopiją ir paveldėjimo teisės liudijimą.“</w:t>
                          </w:r>
                        </w:p>
                      </w:sdtContent>
                    </w:sdt>
                  </w:sdtContent>
                </w:sdt>
              </w:sdtContent>
            </w:sdt>
            <w:sdt>
              <w:sdtPr>
                <w:alias w:val="3 str. 2 d."/>
                <w:tag w:val="part_3ce40851d1bf4a408a63c920e6aa9ca5"/>
                <w:lock w:val="sdtLocked"/>
                <w:richText/>
              </w:sdtPr>
              <w:sdtContent>
                <w:p>
                  <w:pPr>
                    <w:spacing w:line="276" w:lineRule="auto"/>
                    <w:ind w:left="927" w:hanging="360"/>
                    <w:jc w:val="both"/>
                    <w:rPr>
                      <w:szCs w:val="24"/>
                    </w:rPr>
                  </w:pPr>
                  <w:sdt>
                    <w:sdtPr>
                      <w:alias w:val="Numeris"/>
                      <w:tag w:val="nr_3ce40851d1bf4a408a63c920e6aa9ca5"/>
                      <w:lock w:val="sdtLocked"/>
                      <w:richText/>
                    </w:sdtPr>
                    <w:sdtContent>
                      <w:r>
                        <w:rPr>
                          <w:szCs w:val="24"/>
                        </w:rPr>
                        <w:t>2</w:t>
                      </w:r>
                    </w:sdtContent>
                  </w:sdt>
                  <w:r>
                    <w:rPr>
                      <w:szCs w:val="24"/>
                    </w:rPr>
                    <w:t>.</w:t>
                    <w:tab/>
                    <w:t>Buvusią 4 dalį laikyti 5 dalimi.</w:t>
                  </w:r>
                </w:p>
                <w:p>
                  <w:pPr>
                    <w:spacing w:line="276" w:lineRule="auto"/>
                    <w:jc w:val="both"/>
                    <w:rPr>
                      <w:b/>
                      <w:szCs w:val="24"/>
                      <w:lang w:eastAsia="lt-LT"/>
                    </w:rPr>
                  </w:pPr>
                </w:p>
              </w:sdtContent>
            </w:sdt>
          </w:sdtContent>
        </w:sdt>
        <w:sdt>
          <w:sdtPr>
            <w:alias w:val="4 str."/>
            <w:tag w:val="part_da9274546f8c46f8943bc30cebe1c616"/>
            <w:lock w:val="sdtLocked"/>
            <w:richText/>
          </w:sdtPr>
          <w:sdtContent>
            <w:p>
              <w:pPr>
                <w:spacing w:line="276" w:lineRule="auto"/>
                <w:ind w:left="720" w:hanging="153"/>
                <w:jc w:val="both"/>
              </w:pPr>
              <w:sdt>
                <w:sdtPr>
                  <w:alias w:val="Numeris"/>
                  <w:tag w:val="nr_da9274546f8c46f8943bc30cebe1c616"/>
                  <w:lock w:val="sdtLocked"/>
                  <w:richText/>
                </w:sdtPr>
                <w:sdtContent>
                  <w:r>
                    <w:rPr>
                      <w:b/>
                    </w:rPr>
                    <w:t>4</w:t>
                  </w:r>
                </w:sdtContent>
              </w:sdt>
              <w:r>
                <w:rPr>
                  <w:b/>
                </w:rPr>
                <w:tab/>
              </w:r>
              <w:r>
                <w:rPr>
                  <w:b/>
                  <w:szCs w:val="24"/>
                  <w:lang w:eastAsia="lt-LT"/>
                </w:rPr>
                <w:t xml:space="preserve"> straipsnis. </w:t>
              </w:r>
              <w:sdt>
                <w:sdtPr>
                  <w:alias w:val="Pavadinimas"/>
                  <w:tag w:val="title_da9274546f8c46f8943bc30cebe1c616"/>
                  <w:lock w:val="sdtLocked"/>
                  <w:richText/>
                </w:sdtPr>
                <w:sdtContent>
                  <w:r>
                    <w:rPr>
                      <w:b/>
                      <w:szCs w:val="24"/>
                      <w:lang w:eastAsia="lt-LT"/>
                    </w:rPr>
                    <w:t xml:space="preserve">Įstatymo įsigaliojimas ir įgyvendinimas </w:t>
                  </w:r>
                </w:sdtContent>
              </w:sdt>
            </w:p>
            <w:sdt>
              <w:sdtPr>
                <w:alias w:val="4 str. 1 d."/>
                <w:tag w:val="part_612669c9b95445afa4e07390d14778c6"/>
                <w:lock w:val="sdtLocked"/>
                <w:richText/>
              </w:sdtPr>
              <w:sdtContent>
                <w:p>
                  <w:pPr>
                    <w:spacing w:line="276" w:lineRule="auto"/>
                    <w:ind w:left="927" w:hanging="360"/>
                    <w:jc w:val="both"/>
                  </w:pPr>
                  <w:sdt>
                    <w:sdtPr>
                      <w:alias w:val="Numeris"/>
                      <w:tag w:val="nr_612669c9b95445afa4e07390d14778c6"/>
                      <w:lock w:val="sdtLocked"/>
                      <w:richText/>
                    </w:sdtPr>
                    <w:sdtContent>
                      <w:r>
                        <w:t>1</w:t>
                      </w:r>
                    </w:sdtContent>
                  </w:sdt>
                  <w:r>
                    <w:t>.</w:t>
                    <w:tab/>
                  </w:r>
                  <w:r>
                    <w:rPr>
                      <w:szCs w:val="24"/>
                      <w:lang w:eastAsia="lt-LT"/>
                    </w:rPr>
                    <w:t xml:space="preserve">Šis įstatymas, išskyrus šio straipsnio 2 dalį, įsigalioja 2017 m. sausio 1 d. </w:t>
                  </w:r>
                </w:p>
              </w:sdtContent>
            </w:sdt>
            <w:sdt>
              <w:sdtPr>
                <w:alias w:val="4 str. 2 d."/>
                <w:tag w:val="part_4bc142f11f1d4eeba201553e0a88548d"/>
                <w:lock w:val="sdtLocked"/>
                <w:richText/>
              </w:sdtPr>
              <w:sdtContent>
                <w:p>
                  <w:pPr>
                    <w:tabs>
                      <w:tab w:val="left" w:pos="851"/>
                    </w:tabs>
                    <w:spacing w:line="276" w:lineRule="auto"/>
                    <w:ind w:firstLine="567"/>
                    <w:jc w:val="both"/>
                  </w:pPr>
                  <w:sdt>
                    <w:sdtPr>
                      <w:alias w:val="Numeris"/>
                      <w:tag w:val="nr_4bc142f11f1d4eeba201553e0a88548d"/>
                      <w:lock w:val="sdtLocked"/>
                      <w:richText/>
                    </w:sdtPr>
                    <w:sdtContent>
                      <w:r>
                        <w:t>2</w:t>
                      </w:r>
                    </w:sdtContent>
                  </w:sdt>
                  <w:r>
                    <w:t>.</w:t>
                    <w:tab/>
                  </w:r>
                  <w:r>
                    <w:rPr>
                      <w:szCs w:val="24"/>
                      <w:lang w:eastAsia="lt-LT"/>
                    </w:rPr>
                    <w:t xml:space="preserve">Valstybinio socialinio draudimo fondo valdyba prie Socialinės apsaugos ir darbo ministerijos iki 2016 m. gruodžio 30 d. priima šio įstatymo įgyvendinamuosius teisės aktus. </w:t>
                  </w:r>
                </w:p>
                <w:p>
                  <w:pPr>
                    <w:ind w:firstLine="868"/>
                    <w:jc w:val="both"/>
                    <w:rPr>
                      <w:i/>
                      <w:color w:val="000000"/>
                      <w:szCs w:val="24"/>
                      <w:lang w:val="en-GB"/>
                    </w:rPr>
                  </w:pPr>
                </w:p>
                <w:p>
                  <w:pPr>
                    <w:ind w:firstLine="868"/>
                    <w:jc w:val="both"/>
                    <w:rPr>
                      <w:i/>
                      <w:color w:val="000000"/>
                      <w:szCs w:val="24"/>
                      <w:lang w:val="en-GB"/>
                    </w:rPr>
                  </w:pPr>
                </w:p>
              </w:sdtContent>
            </w:sdt>
          </w:sdtContent>
        </w:sdt>
        <w:sdt>
          <w:sdtPr>
            <w:alias w:val="signatura"/>
            <w:tag w:val="part_1f74a655d2e8455d9de2fadb8e7f2336"/>
            <w:lock w:val="sdtLocked"/>
            <w:richText/>
          </w:sdtPr>
          <w:sdtContent>
            <w:p>
              <w:pPr>
                <w:ind w:firstLine="567"/>
                <w:jc w:val="both"/>
                <w:rPr>
                  <w:rFonts w:ascii="Cambria" w:hAnsi="Cambria"/>
                  <w:i/>
                  <w:color w:val="000000"/>
                  <w:szCs w:val="24"/>
                  <w:lang w:val="en-GB"/>
                </w:rPr>
              </w:pPr>
              <w:r>
                <w:rPr>
                  <w:i/>
                  <w:color w:val="000000"/>
                  <w:szCs w:val="24"/>
                  <w:lang w:val="en-GB"/>
                </w:rPr>
                <w:t xml:space="preserve">Skelbiu šį  Lietuvos Respublikos Seimo priimtą įstatymą.</w:t>
              </w:r>
            </w:p>
            <w:p>
              <w:pPr>
                <w:shd w:val="clear" w:color="auto" w:fill="FFFFFF"/>
                <w:jc w:val="both"/>
                <w:rPr>
                  <w:i/>
                  <w:color w:val="000000"/>
                  <w:szCs w:val="24"/>
                  <w:lang w:val="en-GB"/>
                </w:rPr>
              </w:pPr>
            </w:p>
            <w:p>
              <w:pPr>
                <w:shd w:val="clear" w:color="auto" w:fill="FFFFFF"/>
                <w:jc w:val="both"/>
                <w:rPr>
                  <w:i/>
                  <w:color w:val="000000"/>
                  <w:szCs w:val="24"/>
                  <w:lang w:val="en-GB"/>
                </w:rPr>
              </w:pPr>
            </w:p>
            <w:p>
              <w:pPr>
                <w:shd w:val="clear" w:color="auto" w:fill="FFFFFF"/>
                <w:jc w:val="both"/>
                <w:rPr>
                  <w:rFonts w:ascii="TimesLT" w:hAnsi="TimesLT"/>
                  <w:color w:val="000000"/>
                  <w:szCs w:val="24"/>
                  <w:lang w:val="en-GB"/>
                </w:rPr>
              </w:pPr>
              <w:r>
                <w:rPr>
                  <w:color w:val="000000"/>
                  <w:szCs w:val="24"/>
                  <w:lang w:val="en-GB"/>
                </w:rPr>
                <w:t>Respublikos Prezidentas</w:t>
              </w:r>
            </w:p>
            <w:p>
              <w:pPr>
                <w:spacing w:line="360" w:lineRule="auto"/>
                <w:ind w:firstLine="720"/>
                <w:jc w:val="both"/>
                <w:rPr>
                  <w:szCs w:val="24"/>
                  <w:lang w:eastAsia="lt-LT"/>
                </w:rPr>
              </w:pPr>
            </w:p>
            <w:p>
              <w:pPr>
                <w:spacing w:line="360" w:lineRule="auto"/>
                <w:ind w:firstLine="567"/>
                <w:jc w:val="both"/>
                <w:rPr>
                  <w:szCs w:val="24"/>
                  <w:lang w:eastAsia="lt-LT"/>
                </w:rPr>
              </w:pPr>
              <w:r>
                <w:rPr>
                  <w:szCs w:val="24"/>
                  <w:lang w:eastAsia="lt-LT"/>
                </w:rPr>
                <w:t>Teikia</w:t>
              </w:r>
            </w:p>
            <w:p>
              <w:pPr>
                <w:spacing w:line="360" w:lineRule="auto"/>
                <w:ind w:firstLine="567"/>
                <w:jc w:val="both"/>
                <w:rPr>
                  <w:szCs w:val="24"/>
                  <w:lang w:eastAsia="lt-LT"/>
                </w:rPr>
              </w:pPr>
              <w:r>
                <w:rPr>
                  <w:szCs w:val="24"/>
                  <w:lang w:eastAsia="lt-LT"/>
                </w:rPr>
                <w:t>Seimo nariai: Juozas Bernatonis</w:t>
              </w:r>
            </w:p>
            <w:p>
              <w:pPr>
                <w:spacing w:line="360" w:lineRule="auto"/>
                <w:ind w:firstLine="1993"/>
                <w:jc w:val="both"/>
              </w:pPr>
              <w:r>
                <w:rPr>
                  <w:szCs w:val="24"/>
                  <w:lang w:eastAsia="lt-LT"/>
                </w:rPr>
                <w:t>Kristina Miškinienė</w:t>
              </w:r>
            </w:p>
            <w:p>
              <w:pPr>
                <w:spacing w:line="360" w:lineRule="auto"/>
                <w:ind w:firstLine="720"/>
                <w:jc w:val="both"/>
              </w:pPr>
            </w:p>
            <w:p>
              <w:pPr>
                <w:spacing w:line="360" w:lineRule="auto"/>
                <w:jc w:val="both"/>
                <w:rPr>
                  <w:b/>
                </w:rPr>
              </w:pPr>
            </w:p>
            <w:p>
              <w:pPr>
                <w:spacing w:line="360" w:lineRule="auto"/>
                <w:jc w:val="both"/>
              </w:pPr>
            </w:p>
            <w:p>
              <w:pPr>
                <w:rPr>
                  <w:szCs w:val="24"/>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18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e2c8a1fbdbe4f73964ab5086a683e6d" PartId="8720452002134bd29d1c27940bc83a5c">
    <Part Type="straipsnis" Nr="1" Abbr="1 str." Title="1 straipsnio pakeitimas" DocPartId="87169ac884174039a8b091d9fa89e713" PartId="6e7beef14c6d406aa46a775310d7f6d7">
      <Part Type="strDalis" Nr="1" Abbr="1 str. 1 d." DocPartId="08922d1e0f4740278518e1737c1b8e25" PartId="9d505822b05347f485c0c855bf8fc73b">
        <Part Type="citata" DocPartId="ddf53f123b9f480c97afadc8092ac66a" PartId="989342fd77ab4f93a3aaec3aceb74814">
          <Part Type="strDalis" Nr="3" Abbr="3 d." DocPartId="9fc42095123546e49f0e252a2d844b42" PartId="f7bcf57facd744a393584342092877cf"/>
        </Part>
      </Part>
    </Part>
    <Part Type="straipsnis" Nr="2" Abbr="2 str." Title="2 straipsnio pakeitimas" DocPartId="87a428e96f32426f88166a4eddb5155d" PartId="9f710acee7a7425fbc0595b14635d4f7">
      <Part Type="strDalis" Nr="1" Abbr="2 str. 1 d." DocPartId="304352ecae674e7a83eaad5170c9c29f" PartId="e951964a86db4f49b058d719ba5d9d93">
        <Part Type="citata" DocPartId="3f8b4682199f42578d686ff0293c8c49" PartId="bf81736f96cd4ad480db68452321f886">
          <Part Type="strDalis" Nr="6" Abbr="6 d." DocPartId="2f71debbf4144b078dd54e747c841536" PartId="c5ef08b544ad4204b51153408a595341"/>
        </Part>
      </Part>
    </Part>
    <Part Type="straipsnis" Nr="3" Abbr="3 str." Title="3 straipsnio pakeitimas" DocPartId="8e447e21ee83463b825fa301cd313e7c" PartId="4e40d3beba4a480fb23bc5d59f410438">
      <Part Type="strDalis" Nr="1" Abbr="3 str. 1 d." DocPartId="022d68d690124fe1aa581f91c4fb2771" PartId="94dd37299f4a42e7827fd2d8c13f61c6">
        <Part Type="citata" DocPartId="f3e66814eeb246c8b2a9cf42097e7ed8" PartId="bc4ae8b99e744dd99e4535636ef4ae63">
          <Part Type="strDalis" Nr="4" Abbr="4 d." DocPartId="41f114be3ac943dc97fd88c53448074b" PartId="3245adfcc9334713942c6bdd678369e6"/>
        </Part>
      </Part>
      <Part Type="strDalis" Nr="2" Abbr="3 str. 2 d." DocPartId="cdc849d671ff459fa821179e11f27b63" PartId="3ce40851d1bf4a408a63c920e6aa9ca5"/>
    </Part>
    <Part Type="straipsnis" Nr="4" Abbr="4 str." Title="Įstatymo įsigaliojimas ir įgyvendinimas" DocPartId="e1a24279b3ca47409b104a1b4ef54083" PartId="da9274546f8c46f8943bc30cebe1c616">
      <Part Type="strDalis" Nr="1" Abbr="4 str. 1 d." DocPartId="82e73109248f458c884d7a955bca7e5a" PartId="612669c9b95445afa4e07390d14778c6"/>
      <Part Type="strDalis" Nr="2" Abbr="4 str. 2 d." DocPartId="475b0f83984145d19c2dcba541e3ddb5" PartId="4bc142f11f1d4eeba201553e0a88548d"/>
    </Part>
    <Part Type="signatura" DocPartId="489d1ed3a08b43128b74cb54e23e473a" PartId="1f74a655d2e8455d9de2fadb8e7f2336"/>
  </Part>
</Parts>
</file>

<file path=customXml/itemProps1.xml><?xml version="1.0" encoding="utf-8"?>
<ds:datastoreItem xmlns:ds="http://schemas.openxmlformats.org/officeDocument/2006/customXml" ds:itemID="{DDDDE156-CB05-45EA-B8F0-813C61C706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316</Words>
  <Characters>2065</Characters>
  <Application>Microsoft Office Word</Application>
  <DocSecurity>4</DocSecurity>
  <Lines>59</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2016-09-13T08:32:00Z</dcterms:created>
  <dc:creator>Petras Papovas</dc:creator>
  <lastModifiedBy>CLUSadmin</lastModifiedBy>
  <dcterms:modified xsi:type="dcterms:W3CDTF">2016-09-13T08:32:00Z</dcterms:modified>
  <revision>2</revision>
</coreProperties>
</file>