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8f95e0f114704cb2887724e5ba7b0361"/>
        <w:lock w:val="sdtLocked"/>
        <w:richText/>
      </w:sdtPr>
      <w:sdtContent>
        <w:p>
          <w:pPr>
            <w:tabs>
              <w:tab w:val="center" w:pos="4153"/>
              <w:tab w:val="right" w:pos="9100"/>
            </w:tabs>
            <w:suppressAutoHyphens/>
            <w:rPr>
              <w:rFonts w:ascii="Tahoma" w:hAnsi="Tahoma"/>
              <w:spacing w:val="10"/>
              <w:sz w:val="20"/>
              <w:lang w:eastAsia="lt-LT"/>
            </w:rPr>
          </w:pPr>
        </w:p>
        <w:p>
          <w:pPr>
            <w:tabs>
              <w:tab w:val="center" w:pos="4153"/>
              <w:tab w:val="right" w:pos="9100"/>
            </w:tabs>
            <w:suppressAutoHyphens/>
            <w:ind w:firstLine="6804"/>
            <w:jc w:val="right"/>
            <w:rPr>
              <w:b/>
              <w:spacing w:val="10"/>
              <w:szCs w:val="24"/>
              <w:lang w:eastAsia="lt-LT"/>
            </w:rPr>
          </w:pPr>
          <w:r>
            <w:rPr>
              <w:b/>
              <w:spacing w:val="10"/>
              <w:szCs w:val="24"/>
              <w:lang w:eastAsia="lt-LT"/>
            </w:rPr>
            <w:t xml:space="preserve">Projektas </w:t>
          </w:r>
        </w:p>
        <w:p>
          <w:pPr>
            <w:tabs>
              <w:tab w:val="center" w:pos="4153"/>
              <w:tab w:val="right" w:pos="9100"/>
            </w:tabs>
            <w:suppressAutoHyphens/>
            <w:ind w:firstLine="6804"/>
            <w:rPr>
              <w:b/>
              <w:spacing w:val="10"/>
              <w:szCs w:val="24"/>
              <w:lang w:eastAsia="lt-LT"/>
            </w:rPr>
          </w:pPr>
        </w:p>
        <w:p>
          <w:pPr>
            <w:rPr>
              <w:sz w:val="10"/>
              <w:szCs w:val="10"/>
            </w:rPr>
          </w:pPr>
        </w:p>
        <w:p>
          <w:pPr>
            <w:suppressAutoHyphens/>
            <w:jc w:val="center"/>
            <w:rPr>
              <w:b/>
              <w:bCs/>
              <w:lang w:eastAsia="lt-LT"/>
            </w:rPr>
          </w:pPr>
          <w:r>
            <w:rPr>
              <w:b/>
              <w:bCs/>
              <w:lang w:eastAsia="lt-LT"/>
            </w:rPr>
            <w:t>LIETUVOS RESPUBLIKOS APLINKOS MINISTRAS</w:t>
          </w:r>
        </w:p>
        <w:p>
          <w:pPr>
            <w:suppressAutoHyphens/>
            <w:jc w:val="center"/>
            <w:rPr>
              <w:b/>
              <w:bCs/>
              <w:lang w:eastAsia="lt-LT"/>
            </w:rPr>
          </w:pPr>
        </w:p>
        <w:p>
          <w:pPr>
            <w:rPr>
              <w:sz w:val="6"/>
              <w:szCs w:val="6"/>
            </w:rPr>
          </w:pPr>
        </w:p>
        <w:p>
          <w:pPr>
            <w:suppressAutoHyphens/>
            <w:jc w:val="center"/>
            <w:rPr>
              <w:b/>
              <w:lang w:eastAsia="lt-LT"/>
            </w:rPr>
          </w:pPr>
          <w:r>
            <w:rPr>
              <w:b/>
              <w:lang w:eastAsia="lt-LT"/>
            </w:rPr>
            <w:t>ĮSAKYMAS</w:t>
          </w:r>
        </w:p>
        <w:p>
          <w:pPr>
            <w:suppressAutoHyphens/>
            <w:jc w:val="center"/>
            <w:rPr>
              <w:b/>
              <w:bCs/>
              <w:lang w:eastAsia="lt-LT"/>
            </w:rPr>
          </w:pPr>
          <w:r>
            <w:rPr>
              <w:b/>
              <w:bCs/>
              <w:lang w:eastAsia="lt-LT"/>
            </w:rPr>
            <w:t>DĖL LIETUVOS RESPUBLIKOS APLINKOS MINISTRO 2016 M. LAPKRIČIO 25 D. ĮSAKYMO NR. D1-805 „DĖL ATLIEKŲ DEGINIMO ĮRENGINIUOSE IR BENDRO ATLIEKŲ DEGINIMO ĮRENGINIUOSE SUSIDARIUSIŲ PELENŲ IR ŠLAKO TVARKYMO REIKALAVIMŲ PATVIRTINIMO“</w:t>
          </w:r>
        </w:p>
        <w:p>
          <w:pPr>
            <w:suppressAutoHyphens/>
            <w:jc w:val="center"/>
            <w:rPr>
              <w:b/>
              <w:bCs/>
              <w:lang w:eastAsia="lt-LT"/>
            </w:rPr>
          </w:pPr>
          <w:r>
            <w:rPr>
              <w:b/>
              <w:bCs/>
              <w:lang w:eastAsia="lt-LT"/>
            </w:rPr>
            <w:t>PAKEITIMO</w:t>
          </w:r>
        </w:p>
        <w:p>
          <w:pPr>
            <w:suppressAutoHyphens/>
            <w:jc w:val="center"/>
            <w:rPr>
              <w:b/>
              <w:lang w:eastAsia="lt-LT"/>
            </w:rPr>
          </w:pPr>
        </w:p>
        <w:p>
          <w:pPr>
            <w:suppressAutoHyphens/>
            <w:jc w:val="center"/>
            <w:rPr>
              <w:lang w:eastAsia="lt-LT"/>
            </w:rPr>
          </w:pPr>
          <w:r>
            <w:rPr>
              <w:lang w:eastAsia="lt-LT"/>
            </w:rPr>
            <w:t xml:space="preserve">2021 m.                 d. Nr.      </w:t>
          </w:r>
        </w:p>
        <w:p>
          <w:pPr>
            <w:suppressAutoHyphens/>
            <w:jc w:val="center"/>
            <w:rPr>
              <w:rFonts w:ascii="Tahoma" w:hAnsi="Tahoma"/>
              <w:spacing w:val="10"/>
              <w:sz w:val="20"/>
              <w:lang w:eastAsia="lt-LT"/>
            </w:rPr>
          </w:pPr>
          <w:r>
            <w:rPr>
              <w:lang w:eastAsia="lt-LT"/>
            </w:rPr>
            <w:t>Vilnius</w:t>
            <w:br/>
          </w:r>
        </w:p>
        <w:p>
          <w:pPr>
            <w:suppressAutoHyphens/>
            <w:jc w:val="center"/>
            <w:rPr>
              <w:rFonts w:ascii="Tahoma" w:hAnsi="Tahoma"/>
              <w:spacing w:val="10"/>
              <w:sz w:val="20"/>
              <w:lang w:eastAsia="lt-LT"/>
            </w:rPr>
          </w:pPr>
        </w:p>
        <w:sdt>
          <w:sdtPr>
            <w:alias w:val="preambule"/>
            <w:tag w:val="part_48140f562f33445cbafd7616857d11fc"/>
            <w:lock w:val="sdtLocked"/>
            <w:richText/>
          </w:sdtPr>
          <w:sdtContent>
            <w:p>
              <w:pPr>
                <w:ind w:firstLine="709"/>
                <w:jc w:val="both"/>
                <w:rPr>
                  <w:szCs w:val="24"/>
                </w:rPr>
              </w:pPr>
              <w:r>
                <w:rPr>
                  <w:szCs w:val="24"/>
                </w:rPr>
                <w:t xml:space="preserve">P a k e i č i u Lietuvos Respublikos aplinkos ministro 2016 m. lapkričio 25 d. įsakymą            Nr. D1-805 „Dėl Atliekų deginimo </w:t>
              </w:r>
              <w:r>
                <w:rPr>
                  <w:bCs/>
                  <w:szCs w:val="24"/>
                </w:rPr>
                <w:t>įrenginiuose ir bendro atliekų deginimo įrenginiuose susidariusių pelenų ir šlako tvarkymo reikalavimų patvirtinimo</w:t>
              </w:r>
              <w:r>
                <w:rPr>
                  <w:szCs w:val="24"/>
                </w:rPr>
                <w:t>“:</w:t>
              </w:r>
            </w:p>
          </w:sdtContent>
        </w:sdt>
        <w:sdt>
          <w:sdtPr>
            <w:alias w:val="1 p."/>
            <w:tag w:val="part_2cde16159d834c43ac12477698495ee7"/>
            <w:lock w:val="sdtLocked"/>
            <w:richText/>
          </w:sdtPr>
          <w:sdtContent>
            <w:p>
              <w:pPr>
                <w:ind w:left="1069" w:hanging="360"/>
                <w:jc w:val="both"/>
                <w:rPr>
                  <w:szCs w:val="24"/>
                </w:rPr>
              </w:pPr>
              <w:sdt>
                <w:sdtPr>
                  <w:alias w:val="Numeris"/>
                  <w:tag w:val="nr_2cde16159d834c43ac12477698495ee7"/>
                  <w:lock w:val="sdtLocked"/>
                  <w:richText/>
                </w:sdtPr>
                <w:sdtContent>
                  <w:r>
                    <w:rPr>
                      <w:szCs w:val="24"/>
                    </w:rPr>
                    <w:t>1</w:t>
                  </w:r>
                </w:sdtContent>
              </w:sdt>
              <w:r>
                <w:rPr>
                  <w:szCs w:val="24"/>
                </w:rPr>
                <w:t>.</w:t>
                <w:tab/>
                <w:t>Pakeičiu preambulę ir ją išdėstau taip:</w:t>
              </w:r>
            </w:p>
            <w:sdt>
              <w:sdtPr>
                <w:alias w:val="citata"/>
                <w:tag w:val="part_3a266f7db44642fcabd790575b00fd38"/>
                <w:lock w:val="sdtLocked"/>
                <w:richText/>
              </w:sdtPr>
              <w:sdtContent>
                <w:sdt>
                  <w:sdtPr>
                    <w:alias w:val="pastraipa"/>
                    <w:tag w:val="part_2711e279613f45ad89dc35858e902038"/>
                    <w:lock w:val="sdtLocked"/>
                    <w:richText/>
                  </w:sdtPr>
                  <w:sdtContent>
                    <w:p>
                      <w:pPr>
                        <w:ind w:firstLine="567"/>
                        <w:jc w:val="both"/>
                        <w:rPr>
                          <w:szCs w:val="24"/>
                          <w:lang w:eastAsia="lt-LT"/>
                        </w:rPr>
                      </w:pPr>
                      <w:r>
                        <w:rPr>
                          <w:szCs w:val="24"/>
                          <w:lang w:eastAsia="lt-LT"/>
                        </w:rPr>
                        <w:t xml:space="preserve">„Vadovaudamasis Lietuvos Respublikos aplinkos apsaugos įstatymo 6 straipsnio 5 dalies        9 punktu, Lietuvos Respublikos atliekų tvarkymo įstatymo </w:t>
                      </w:r>
                      <w:r>
                        <w:rPr>
                          <w:bCs/>
                          <w:szCs w:val="24"/>
                          <w:lang w:eastAsia="lt-LT"/>
                        </w:rPr>
                        <w:t>3</w:t>
                      </w:r>
                      <w:r>
                        <w:rPr>
                          <w:bCs/>
                          <w:szCs w:val="24"/>
                          <w:vertAlign w:val="superscript"/>
                          <w:lang w:eastAsia="lt-LT"/>
                        </w:rPr>
                        <w:t>2</w:t>
                      </w:r>
                      <w:r>
                        <w:rPr>
                          <w:bCs/>
                          <w:szCs w:val="24"/>
                          <w:lang w:eastAsia="lt-LT"/>
                        </w:rPr>
                        <w:t xml:space="preserve"> straipsniu ir </w:t>
                      </w:r>
                      <w:r>
                        <w:rPr>
                          <w:szCs w:val="24"/>
                          <w:lang w:eastAsia="lt-LT"/>
                        </w:rPr>
                        <w:t>20 straipsnio 1 dalimi ir</w:t>
                      </w:r>
                      <w:r>
                        <w:t xml:space="preserve"> </w:t>
                      </w:r>
                      <w:r>
                        <w:rPr>
                          <w:szCs w:val="24"/>
                          <w:lang w:eastAsia="lt-LT"/>
                        </w:rPr>
                        <w:t>Atliekų deginimo aplinkosauginiais reikalavimais, patvirtintais Lietuvos Respublikos aplinkos ministro 2002 m. gruodžio 31 d. įsakymu Nr. 699 „Dėl Atliekų deginimo aplinkosauginių reikalavimų patvirtinimo“:“.</w:t>
                      </w:r>
                    </w:p>
                  </w:sdtContent>
                </w:sdt>
              </w:sdtContent>
            </w:sdt>
          </w:sdtContent>
        </w:sdt>
        <w:sdt>
          <w:sdtPr>
            <w:alias w:val="2 p."/>
            <w:tag w:val="part_fbfb194b2e9e487ba01d5af8803b3d8c"/>
            <w:lock w:val="sdtLocked"/>
            <w:richText/>
          </w:sdtPr>
          <w:sdtContent>
            <w:p>
              <w:pPr>
                <w:ind w:firstLine="709"/>
                <w:jc w:val="both"/>
                <w:rPr>
                  <w:szCs w:val="24"/>
                </w:rPr>
              </w:pPr>
              <w:sdt>
                <w:sdtPr>
                  <w:alias w:val="Numeris"/>
                  <w:tag w:val="nr_fbfb194b2e9e487ba01d5af8803b3d8c"/>
                  <w:lock w:val="sdtLocked"/>
                  <w:richText/>
                </w:sdtPr>
                <w:sdtContent>
                  <w:r>
                    <w:rPr>
                      <w:szCs w:val="24"/>
                    </w:rPr>
                    <w:t>2</w:t>
                  </w:r>
                </w:sdtContent>
              </w:sdt>
              <w:r>
                <w:rPr>
                  <w:szCs w:val="24"/>
                </w:rPr>
                <w:t xml:space="preserve">. Pakeičiu nurodytu </w:t>
              </w:r>
              <w:r>
                <w:rPr>
                  <w:rFonts w:hint="cs"/>
                  <w:szCs w:val="24"/>
                </w:rPr>
                <w:t>į</w:t>
              </w:r>
              <w:r>
                <w:rPr>
                  <w:szCs w:val="24"/>
                </w:rPr>
                <w:t xml:space="preserve">sakymu patvirtintus Atliekų deginimo </w:t>
              </w:r>
              <w:r>
                <w:rPr>
                  <w:bCs/>
                  <w:szCs w:val="24"/>
                </w:rPr>
                <w:t xml:space="preserve">įrenginiuose ir bendro atliekų deginimo įrenginiuose susidariusių pelenų ir šlako tvarkymo </w:t>
              </w:r>
              <w:r>
                <w:rPr>
                  <w:szCs w:val="24"/>
                </w:rPr>
                <w:t>reikalavimus ir išdėstau juos nauja redakcija (pridedama).</w:t>
              </w:r>
            </w:p>
          </w:sdtContent>
        </w:sdt>
        <w:sdt>
          <w:sdtPr>
            <w:alias w:val="3 p."/>
            <w:tag w:val="part_70725673b5c04c239a46c2c9e6d80700"/>
            <w:lock w:val="sdtLocked"/>
            <w:richText/>
          </w:sdtPr>
          <w:sdtContent>
            <w:p>
              <w:pPr>
                <w:ind w:firstLine="709"/>
                <w:jc w:val="both"/>
                <w:rPr>
                  <w:szCs w:val="24"/>
                </w:rPr>
              </w:pPr>
              <w:sdt>
                <w:sdtPr>
                  <w:alias w:val="Numeris"/>
                  <w:tag w:val="nr_70725673b5c04c239a46c2c9e6d80700"/>
                  <w:lock w:val="sdtLocked"/>
                  <w:richText/>
                </w:sdtPr>
                <w:sdtContent>
                  <w:r>
                    <w:rPr>
                      <w:szCs w:val="24"/>
                    </w:rPr>
                    <w:t>3</w:t>
                  </w:r>
                </w:sdtContent>
              </w:sdt>
              <w:r>
                <w:rPr>
                  <w:szCs w:val="24"/>
                </w:rPr>
                <w:t>. N u s t a t a u, kad šis įsakymas įsigalioja 2021 m. lapkričio 1 d.</w:t>
              </w:r>
            </w:p>
            <w:p>
              <w:pPr>
                <w:ind w:firstLine="709"/>
                <w:jc w:val="both"/>
                <w:rPr>
                  <w:szCs w:val="24"/>
                </w:rPr>
              </w:pPr>
            </w:p>
            <w:p>
              <w:pPr>
                <w:ind w:firstLine="709"/>
                <w:jc w:val="both"/>
                <w:rPr>
                  <w:szCs w:val="24"/>
                </w:rPr>
              </w:pPr>
            </w:p>
          </w:sdtContent>
        </w:sdt>
        <w:sdt>
          <w:sdtPr>
            <w:alias w:val="signatura"/>
            <w:tag w:val="part_371c45d084e047afbae16c4a2e3d2c2f"/>
            <w:lock w:val="sdtLocked"/>
            <w:richText/>
          </w:sdtPr>
          <w:sdtContent>
            <w:p>
              <w:pPr>
                <w:jc w:val="both"/>
                <w:rPr>
                  <w:szCs w:val="24"/>
                </w:rPr>
              </w:pPr>
              <w:r>
                <w:rPr>
                  <w:szCs w:val="24"/>
                </w:rPr>
                <w:t xml:space="preserve">Aplinkos ministras </w:t>
              </w:r>
            </w:p>
            <w:p>
              <w:pPr>
                <w:ind w:firstLine="771"/>
                <w:jc w:val="both"/>
                <w:rPr>
                  <w:color w:val="000000"/>
                  <w:szCs w:val="24"/>
                </w:rPr>
              </w:pPr>
            </w:p>
            <w:p>
              <w:pPr>
                <w:ind w:left="1069"/>
                <w:jc w:val="both"/>
                <w:rPr>
                  <w:szCs w:val="24"/>
                </w:rPr>
              </w:pPr>
            </w:p>
            <w:p>
              <w:pPr>
                <w:tabs>
                  <w:tab w:val="left" w:pos="426"/>
                  <w:tab w:val="left" w:pos="1832"/>
                  <w:tab w:val="left" w:pos="2748"/>
                  <w:tab w:val="left" w:pos="3664"/>
                  <w:tab w:val="left" w:pos="4580"/>
                  <w:tab w:val="left" w:pos="5245"/>
                  <w:tab w:val="left" w:pos="6412"/>
                  <w:tab w:val="left" w:pos="7328"/>
                  <w:tab w:val="left" w:pos="8244"/>
                  <w:tab w:val="left" w:pos="9160"/>
                  <w:tab w:val="left" w:pos="10076"/>
                  <w:tab w:val="left" w:pos="10992"/>
                  <w:tab w:val="left" w:pos="11908"/>
                  <w:tab w:val="left" w:pos="12824"/>
                  <w:tab w:val="left" w:pos="13740"/>
                  <w:tab w:val="left" w:pos="14656"/>
                </w:tabs>
                <w:ind w:left="5529"/>
                <w:rPr>
                  <w:szCs w:val="24"/>
                  <w:lang w:eastAsia="lt-LT"/>
                </w:rPr>
              </w:pPr>
            </w:p>
            <w:p>
              <w:pPr>
                <w:tabs>
                  <w:tab w:val="left" w:pos="426"/>
                  <w:tab w:val="left" w:pos="1832"/>
                  <w:tab w:val="left" w:pos="2748"/>
                  <w:tab w:val="left" w:pos="3664"/>
                  <w:tab w:val="left" w:pos="4580"/>
                  <w:tab w:val="left" w:pos="5245"/>
                  <w:tab w:val="left" w:pos="6412"/>
                  <w:tab w:val="left" w:pos="7328"/>
                  <w:tab w:val="left" w:pos="8244"/>
                  <w:tab w:val="left" w:pos="9160"/>
                  <w:tab w:val="left" w:pos="10076"/>
                  <w:tab w:val="left" w:pos="10992"/>
                  <w:tab w:val="left" w:pos="11908"/>
                  <w:tab w:val="left" w:pos="12824"/>
                  <w:tab w:val="left" w:pos="13740"/>
                  <w:tab w:val="left" w:pos="14656"/>
                </w:tabs>
                <w:ind w:left="5529"/>
                <w:rPr>
                  <w:szCs w:val="24"/>
                  <w:lang w:eastAsia="lt-LT"/>
                </w:rPr>
              </w:pPr>
            </w:p>
            <w:p>
              <w:pPr>
                <w:tabs>
                  <w:tab w:val="left" w:pos="426"/>
                  <w:tab w:val="left" w:pos="1832"/>
                  <w:tab w:val="left" w:pos="2748"/>
                  <w:tab w:val="left" w:pos="3664"/>
                  <w:tab w:val="left" w:pos="4580"/>
                  <w:tab w:val="left" w:pos="5245"/>
                  <w:tab w:val="left" w:pos="6412"/>
                  <w:tab w:val="left" w:pos="7328"/>
                  <w:tab w:val="left" w:pos="8244"/>
                  <w:tab w:val="left" w:pos="9160"/>
                  <w:tab w:val="left" w:pos="10076"/>
                  <w:tab w:val="left" w:pos="10992"/>
                  <w:tab w:val="left" w:pos="11908"/>
                  <w:tab w:val="left" w:pos="12824"/>
                  <w:tab w:val="left" w:pos="13740"/>
                  <w:tab w:val="left" w:pos="14656"/>
                </w:tabs>
                <w:ind w:left="5529"/>
                <w:rPr>
                  <w:szCs w:val="24"/>
                  <w:lang w:eastAsia="lt-LT"/>
                </w:rPr>
              </w:pPr>
            </w:p>
            <w:p>
              <w:pPr>
                <w:tabs>
                  <w:tab w:val="left" w:pos="426"/>
                  <w:tab w:val="left" w:pos="1832"/>
                  <w:tab w:val="left" w:pos="2748"/>
                  <w:tab w:val="left" w:pos="3664"/>
                  <w:tab w:val="left" w:pos="4580"/>
                  <w:tab w:val="left" w:pos="5245"/>
                  <w:tab w:val="left" w:pos="6412"/>
                  <w:tab w:val="left" w:pos="7328"/>
                  <w:tab w:val="left" w:pos="8244"/>
                  <w:tab w:val="left" w:pos="9160"/>
                  <w:tab w:val="left" w:pos="10076"/>
                  <w:tab w:val="left" w:pos="10992"/>
                  <w:tab w:val="left" w:pos="11908"/>
                  <w:tab w:val="left" w:pos="12824"/>
                  <w:tab w:val="left" w:pos="13740"/>
                  <w:tab w:val="left" w:pos="14656"/>
                </w:tabs>
                <w:ind w:left="5529"/>
                <w:rPr>
                  <w:szCs w:val="24"/>
                  <w:lang w:eastAsia="lt-LT"/>
                </w:rPr>
              </w:pPr>
            </w:p>
            <w:p>
              <w:pPr>
                <w:tabs>
                  <w:tab w:val="left" w:pos="426"/>
                  <w:tab w:val="left" w:pos="1832"/>
                  <w:tab w:val="left" w:pos="2748"/>
                  <w:tab w:val="left" w:pos="3664"/>
                  <w:tab w:val="left" w:pos="4580"/>
                  <w:tab w:val="left" w:pos="5245"/>
                  <w:tab w:val="left" w:pos="6412"/>
                  <w:tab w:val="left" w:pos="7328"/>
                  <w:tab w:val="left" w:pos="8244"/>
                  <w:tab w:val="left" w:pos="9160"/>
                  <w:tab w:val="left" w:pos="10076"/>
                  <w:tab w:val="left" w:pos="10992"/>
                  <w:tab w:val="left" w:pos="11908"/>
                  <w:tab w:val="left" w:pos="12824"/>
                  <w:tab w:val="left" w:pos="13740"/>
                  <w:tab w:val="left" w:pos="14656"/>
                </w:tabs>
                <w:ind w:left="5529"/>
                <w:rPr>
                  <w:szCs w:val="24"/>
                  <w:lang w:eastAsia="lt-LT"/>
                </w:rPr>
              </w:pPr>
            </w:p>
            <w:p>
              <w:pPr>
                <w:tabs>
                  <w:tab w:val="left" w:pos="426"/>
                  <w:tab w:val="left" w:pos="1832"/>
                  <w:tab w:val="left" w:pos="2748"/>
                  <w:tab w:val="left" w:pos="3664"/>
                  <w:tab w:val="left" w:pos="4580"/>
                  <w:tab w:val="left" w:pos="5245"/>
                  <w:tab w:val="left" w:pos="6412"/>
                  <w:tab w:val="left" w:pos="7328"/>
                  <w:tab w:val="left" w:pos="8244"/>
                  <w:tab w:val="left" w:pos="9160"/>
                  <w:tab w:val="left" w:pos="10076"/>
                  <w:tab w:val="left" w:pos="10992"/>
                  <w:tab w:val="left" w:pos="11908"/>
                  <w:tab w:val="left" w:pos="12824"/>
                  <w:tab w:val="left" w:pos="13740"/>
                  <w:tab w:val="left" w:pos="14656"/>
                </w:tabs>
                <w:ind w:left="5529"/>
                <w:rPr>
                  <w:szCs w:val="24"/>
                  <w:lang w:eastAsia="lt-LT"/>
                </w:rPr>
              </w:pPr>
            </w:p>
            <w:p>
              <w:pPr>
                <w:tabs>
                  <w:tab w:val="left" w:pos="426"/>
                  <w:tab w:val="left" w:pos="1832"/>
                  <w:tab w:val="left" w:pos="2748"/>
                  <w:tab w:val="left" w:pos="3664"/>
                  <w:tab w:val="left" w:pos="4580"/>
                  <w:tab w:val="left" w:pos="5245"/>
                  <w:tab w:val="left" w:pos="6412"/>
                  <w:tab w:val="left" w:pos="7328"/>
                  <w:tab w:val="left" w:pos="8244"/>
                  <w:tab w:val="left" w:pos="9160"/>
                  <w:tab w:val="left" w:pos="10076"/>
                  <w:tab w:val="left" w:pos="10992"/>
                  <w:tab w:val="left" w:pos="11908"/>
                  <w:tab w:val="left" w:pos="12824"/>
                  <w:tab w:val="left" w:pos="13740"/>
                  <w:tab w:val="left" w:pos="14656"/>
                </w:tabs>
                <w:ind w:left="5529"/>
                <w:rPr>
                  <w:szCs w:val="24"/>
                  <w:lang w:eastAsia="lt-LT"/>
                </w:rPr>
              </w:pPr>
            </w:p>
            <w:p>
              <w:pPr>
                <w:tabs>
                  <w:tab w:val="left" w:pos="426"/>
                  <w:tab w:val="left" w:pos="1832"/>
                  <w:tab w:val="left" w:pos="2748"/>
                  <w:tab w:val="left" w:pos="3664"/>
                  <w:tab w:val="left" w:pos="4580"/>
                  <w:tab w:val="left" w:pos="5245"/>
                  <w:tab w:val="left" w:pos="6412"/>
                  <w:tab w:val="left" w:pos="7328"/>
                  <w:tab w:val="left" w:pos="8244"/>
                  <w:tab w:val="left" w:pos="9160"/>
                  <w:tab w:val="left" w:pos="10076"/>
                  <w:tab w:val="left" w:pos="10992"/>
                  <w:tab w:val="left" w:pos="11908"/>
                  <w:tab w:val="left" w:pos="12824"/>
                  <w:tab w:val="left" w:pos="13740"/>
                  <w:tab w:val="left" w:pos="14656"/>
                </w:tabs>
                <w:ind w:left="5529"/>
                <w:rPr>
                  <w:szCs w:val="24"/>
                  <w:lang w:eastAsia="lt-LT"/>
                </w:rPr>
              </w:pPr>
            </w:p>
            <w:p>
              <w:pPr>
                <w:tabs>
                  <w:tab w:val="left" w:pos="426"/>
                  <w:tab w:val="left" w:pos="1832"/>
                  <w:tab w:val="left" w:pos="2748"/>
                  <w:tab w:val="left" w:pos="3664"/>
                  <w:tab w:val="left" w:pos="4580"/>
                  <w:tab w:val="left" w:pos="5245"/>
                  <w:tab w:val="left" w:pos="6412"/>
                  <w:tab w:val="left" w:pos="7328"/>
                  <w:tab w:val="left" w:pos="8244"/>
                  <w:tab w:val="left" w:pos="9160"/>
                  <w:tab w:val="left" w:pos="10076"/>
                  <w:tab w:val="left" w:pos="10992"/>
                  <w:tab w:val="left" w:pos="11908"/>
                  <w:tab w:val="left" w:pos="12824"/>
                  <w:tab w:val="left" w:pos="13740"/>
                  <w:tab w:val="left" w:pos="14656"/>
                </w:tabs>
                <w:ind w:left="5529"/>
                <w:rPr>
                  <w:szCs w:val="24"/>
                  <w:lang w:eastAsia="lt-LT"/>
                </w:rPr>
              </w:pPr>
            </w:p>
            <w:p>
              <w:pPr>
                <w:tabs>
                  <w:tab w:val="left" w:pos="426"/>
                  <w:tab w:val="left" w:pos="1832"/>
                  <w:tab w:val="left" w:pos="2748"/>
                  <w:tab w:val="left" w:pos="3664"/>
                  <w:tab w:val="left" w:pos="4580"/>
                  <w:tab w:val="left" w:pos="5245"/>
                  <w:tab w:val="left" w:pos="6412"/>
                  <w:tab w:val="left" w:pos="7328"/>
                  <w:tab w:val="left" w:pos="8244"/>
                  <w:tab w:val="left" w:pos="9160"/>
                  <w:tab w:val="left" w:pos="10076"/>
                  <w:tab w:val="left" w:pos="10992"/>
                  <w:tab w:val="left" w:pos="11908"/>
                  <w:tab w:val="left" w:pos="12824"/>
                  <w:tab w:val="left" w:pos="13740"/>
                  <w:tab w:val="left" w:pos="14656"/>
                </w:tabs>
                <w:ind w:left="5529"/>
                <w:rPr>
                  <w:szCs w:val="24"/>
                  <w:lang w:eastAsia="lt-LT"/>
                </w:rPr>
                <w:sectPr>
                  <w:headerReference w:type="even" r:id="rId11"/>
                  <w:headerReference w:type="default" r:id="rId12"/>
                  <w:footerReference w:type="even" r:id="rId13"/>
                  <w:footerReference w:type="default" r:id="rId14"/>
                  <w:headerReference w:type="first" r:id="rId15"/>
                  <w:footerReference w:type="first" r:id="rId16"/>
                  <w:footnotePr>
                    <w:pos w:val="beneathText"/>
                  </w:footnotePr>
                  <w:type w:val="continuous"/>
                  <w:pgSz w:w="11905" w:h="16837" w:code="9"/>
                  <w:pgMar w:top="1134" w:right="567" w:bottom="1134" w:left="1701" w:header="794" w:footer="919" w:gutter="0"/>
                  <w:cols w:space="1296"/>
                  <w:formProt w:val="0"/>
                  <w:titlePg/>
                  <w:docGrid w:linePitch="360"/>
                </w:sectPr>
              </w:pPr>
            </w:p>
            <w:p>
              <w:pPr>
                <w:tabs>
                  <w:tab w:val="center" w:pos="4986"/>
                  <w:tab w:val="right" w:pos="9972"/>
                </w:tabs>
              </w:pPr>
            </w:p>
          </w:sdtContent>
        </w:sdt>
      </w:sdtContent>
    </w:sdt>
    <w:sdt>
      <w:sdtPr>
        <w:alias w:val="patvirtinta"/>
        <w:tag w:val="part_03b65a8265f941819017d62da2cf709b"/>
        <w:lock w:val="sdtLocked"/>
        <w:richText/>
      </w:sdtPr>
      <w:sdtContent>
        <w:p>
          <w:pPr>
            <w:tabs>
              <w:tab w:val="left" w:pos="426"/>
              <w:tab w:val="left" w:pos="1832"/>
              <w:tab w:val="left" w:pos="2748"/>
              <w:tab w:val="left" w:pos="3664"/>
              <w:tab w:val="left" w:pos="4580"/>
              <w:tab w:val="left" w:pos="5245"/>
              <w:tab w:val="left" w:pos="6412"/>
              <w:tab w:val="left" w:pos="7328"/>
              <w:tab w:val="left" w:pos="8244"/>
              <w:tab w:val="left" w:pos="9160"/>
              <w:tab w:val="left" w:pos="10076"/>
              <w:tab w:val="left" w:pos="10992"/>
              <w:tab w:val="left" w:pos="11908"/>
              <w:tab w:val="left" w:pos="12824"/>
              <w:tab w:val="left" w:pos="13740"/>
              <w:tab w:val="left" w:pos="14656"/>
            </w:tabs>
            <w:ind w:left="5529"/>
            <w:rPr>
              <w:szCs w:val="24"/>
              <w:lang w:eastAsia="lt-LT"/>
            </w:rPr>
          </w:pPr>
          <w:r>
            <w:rPr>
              <w:szCs w:val="24"/>
              <w:lang w:eastAsia="lt-LT"/>
            </w:rPr>
            <w:t>PATVIRTINTA</w:t>
          </w:r>
        </w:p>
        <w:p>
          <w:pPr>
            <w:tabs>
              <w:tab w:val="left" w:pos="426"/>
              <w:tab w:val="left" w:pos="1832"/>
              <w:tab w:val="left" w:pos="2748"/>
              <w:tab w:val="left" w:pos="3664"/>
              <w:tab w:val="left" w:pos="4580"/>
              <w:tab w:val="left" w:pos="5245"/>
              <w:tab w:val="left" w:pos="6412"/>
              <w:tab w:val="left" w:pos="7328"/>
              <w:tab w:val="left" w:pos="8244"/>
              <w:tab w:val="left" w:pos="9160"/>
              <w:tab w:val="left" w:pos="10076"/>
              <w:tab w:val="left" w:pos="10992"/>
              <w:tab w:val="left" w:pos="11908"/>
              <w:tab w:val="left" w:pos="12824"/>
              <w:tab w:val="left" w:pos="13740"/>
              <w:tab w:val="left" w:pos="14656"/>
            </w:tabs>
            <w:ind w:left="5529"/>
            <w:rPr>
              <w:szCs w:val="24"/>
              <w:lang w:eastAsia="lt-LT"/>
            </w:rPr>
          </w:pPr>
          <w:r>
            <w:rPr>
              <w:szCs w:val="24"/>
              <w:lang w:eastAsia="lt-LT"/>
            </w:rPr>
            <w:t xml:space="preserve">Lietuvos Respublikos aplinkos ministro 2016 m. lapkričio 25 d. įsakymu </w:t>
          </w:r>
        </w:p>
        <w:p>
          <w:pPr>
            <w:tabs>
              <w:tab w:val="left" w:pos="426"/>
              <w:tab w:val="left" w:pos="1832"/>
              <w:tab w:val="left" w:pos="2748"/>
              <w:tab w:val="left" w:pos="3664"/>
              <w:tab w:val="left" w:pos="4580"/>
              <w:tab w:val="left" w:pos="5245"/>
              <w:tab w:val="left" w:pos="6412"/>
              <w:tab w:val="left" w:pos="7328"/>
              <w:tab w:val="left" w:pos="8244"/>
              <w:tab w:val="left" w:pos="9160"/>
              <w:tab w:val="left" w:pos="10076"/>
              <w:tab w:val="left" w:pos="10992"/>
              <w:tab w:val="left" w:pos="11908"/>
              <w:tab w:val="left" w:pos="12824"/>
              <w:tab w:val="left" w:pos="13740"/>
              <w:tab w:val="left" w:pos="14656"/>
            </w:tabs>
            <w:ind w:left="5529"/>
            <w:rPr>
              <w:szCs w:val="24"/>
              <w:lang w:eastAsia="lt-LT"/>
            </w:rPr>
          </w:pPr>
          <w:r>
            <w:rPr>
              <w:szCs w:val="24"/>
              <w:lang w:eastAsia="lt-LT"/>
            </w:rPr>
            <w:t>Nr. D1-805</w:t>
          </w:r>
        </w:p>
        <w:p>
          <w:pPr>
            <w:tabs>
              <w:tab w:val="left" w:pos="426"/>
              <w:tab w:val="left" w:pos="1832"/>
              <w:tab w:val="left" w:pos="2748"/>
              <w:tab w:val="left" w:pos="3664"/>
              <w:tab w:val="left" w:pos="4580"/>
              <w:tab w:val="left" w:pos="5245"/>
              <w:tab w:val="left" w:pos="6412"/>
              <w:tab w:val="left" w:pos="7328"/>
              <w:tab w:val="left" w:pos="8244"/>
              <w:tab w:val="left" w:pos="9160"/>
              <w:tab w:val="left" w:pos="10076"/>
              <w:tab w:val="left" w:pos="10992"/>
              <w:tab w:val="left" w:pos="11908"/>
              <w:tab w:val="left" w:pos="12824"/>
              <w:tab w:val="left" w:pos="13740"/>
              <w:tab w:val="left" w:pos="14656"/>
            </w:tabs>
            <w:ind w:left="5529" w:firstLine="62"/>
            <w:rPr>
              <w:bCs/>
              <w:szCs w:val="24"/>
              <w:lang w:eastAsia="lt-LT"/>
            </w:rPr>
          </w:pPr>
          <w:r>
            <w:rPr>
              <w:bCs/>
              <w:szCs w:val="24"/>
              <w:lang w:eastAsia="lt-LT"/>
            </w:rPr>
            <w:t>(Lietuvos Respublikos aplinkos ministro</w:t>
          </w:r>
        </w:p>
        <w:p>
          <w:pPr>
            <w:tabs>
              <w:tab w:val="left" w:pos="426"/>
              <w:tab w:val="left" w:pos="1832"/>
              <w:tab w:val="left" w:pos="2748"/>
              <w:tab w:val="left" w:pos="3664"/>
              <w:tab w:val="left" w:pos="4580"/>
              <w:tab w:val="left" w:pos="5245"/>
              <w:tab w:val="left" w:pos="6412"/>
              <w:tab w:val="left" w:pos="7328"/>
              <w:tab w:val="left" w:pos="8244"/>
              <w:tab w:val="left" w:pos="9160"/>
              <w:tab w:val="left" w:pos="10076"/>
              <w:tab w:val="left" w:pos="10992"/>
              <w:tab w:val="left" w:pos="11908"/>
              <w:tab w:val="left" w:pos="12824"/>
              <w:tab w:val="left" w:pos="13740"/>
              <w:tab w:val="left" w:pos="14656"/>
            </w:tabs>
            <w:ind w:left="5529"/>
            <w:rPr>
              <w:szCs w:val="24"/>
              <w:lang w:eastAsia="lt-LT"/>
            </w:rPr>
          </w:pPr>
          <w:r>
            <w:rPr>
              <w:szCs w:val="24"/>
              <w:lang w:eastAsia="lt-LT"/>
            </w:rPr>
            <w:t xml:space="preserve">2021              d. </w:t>
          </w:r>
          <w:r>
            <w:rPr>
              <w:bCs/>
              <w:szCs w:val="24"/>
              <w:lang w:eastAsia="lt-LT"/>
            </w:rPr>
            <w:t xml:space="preserve">įsakymo </w:t>
          </w:r>
          <w:r>
            <w:rPr>
              <w:szCs w:val="24"/>
              <w:lang w:eastAsia="lt-LT"/>
            </w:rPr>
            <w:t>Nr. D1-</w:t>
          </w:r>
          <w:r>
            <w:rPr>
              <w:bCs/>
              <w:szCs w:val="24"/>
              <w:lang w:eastAsia="lt-LT"/>
            </w:rPr>
            <w:t>redakcija).</w:t>
          </w:r>
        </w:p>
        <w:p>
          <w:pPr>
            <w:jc w:val="center"/>
            <w:rPr>
              <w:b/>
              <w:szCs w:val="24"/>
              <w:lang w:eastAsia="lt-LT"/>
            </w:rPr>
          </w:pPr>
        </w:p>
        <w:p>
          <w:pPr>
            <w:jc w:val="center"/>
            <w:rPr>
              <w:b/>
              <w:szCs w:val="24"/>
              <w:lang w:eastAsia="lt-LT"/>
            </w:rPr>
          </w:pPr>
        </w:p>
        <w:p>
          <w:pPr>
            <w:jc w:val="center"/>
            <w:rPr>
              <w:b/>
              <w:szCs w:val="24"/>
              <w:lang w:eastAsia="lt-LT"/>
            </w:rPr>
          </w:pPr>
          <w:sdt>
            <w:sdtPr>
              <w:alias w:val="Pavadinimas"/>
              <w:tag w:val="title_03b65a8265f941819017d62da2cf709b"/>
              <w:lock w:val="sdtLocked"/>
              <w:richText/>
            </w:sdtPr>
            <w:sdtContent>
              <w:r>
                <w:rPr>
                  <w:b/>
                  <w:szCs w:val="24"/>
                  <w:lang w:eastAsia="lt-LT"/>
                </w:rPr>
                <w:t>ATLIEKŲ DEGINIMO ĮRENGINIUOSE IR BENDRO ATLIEKŲ DEGINIMO ĮRENGINIUOSE SUSIDARIUSIŲ PELENŲ IR ŠLAKO TVARKYMO REIKALAVIMAI</w:t>
              </w:r>
            </w:sdtContent>
          </w:sdt>
        </w:p>
        <w:p>
          <w:pPr>
            <w:jc w:val="center"/>
            <w:rPr>
              <w:b/>
              <w:bCs/>
              <w:color w:val="000000"/>
              <w:szCs w:val="24"/>
            </w:rPr>
          </w:pPr>
        </w:p>
        <w:sdt>
          <w:sdtPr>
            <w:alias w:val="skyrius"/>
            <w:tag w:val="part_a19c1ff290d947da9f78834f1381eddc"/>
            <w:lock w:val="sdtLocked"/>
            <w:richText/>
          </w:sdtPr>
          <w:sdtContent>
            <w:p>
              <w:pPr>
                <w:jc w:val="center"/>
                <w:rPr>
                  <w:b/>
                  <w:bCs/>
                  <w:color w:val="000000"/>
                  <w:szCs w:val="24"/>
                </w:rPr>
              </w:pPr>
              <w:sdt>
                <w:sdtPr>
                  <w:alias w:val="Numeris"/>
                  <w:tag w:val="nr_a19c1ff290d947da9f78834f1381eddc"/>
                  <w:lock w:val="sdtLocked"/>
                  <w:richText/>
                </w:sdtPr>
                <w:sdtContent>
                  <w:r>
                    <w:rPr>
                      <w:b/>
                      <w:bCs/>
                      <w:color w:val="000000"/>
                      <w:szCs w:val="24"/>
                    </w:rPr>
                    <w:t>I</w:t>
                  </w:r>
                </w:sdtContent>
              </w:sdt>
              <w:r>
                <w:rPr>
                  <w:b/>
                  <w:bCs/>
                  <w:color w:val="000000"/>
                  <w:szCs w:val="24"/>
                </w:rPr>
                <w:t xml:space="preserve"> SKYRIUS </w:t>
              </w:r>
            </w:p>
            <w:p>
              <w:pPr>
                <w:jc w:val="center"/>
                <w:rPr>
                  <w:b/>
                  <w:bCs/>
                  <w:color w:val="000000"/>
                  <w:szCs w:val="24"/>
                </w:rPr>
              </w:pPr>
              <w:sdt>
                <w:sdtPr>
                  <w:alias w:val="Pavadinimas"/>
                  <w:tag w:val="title_a19c1ff290d947da9f78834f1381eddc"/>
                  <w:lock w:val="sdtLocked"/>
                  <w:richText/>
                </w:sdtPr>
                <w:sdtContent>
                  <w:r>
                    <w:rPr>
                      <w:b/>
                      <w:bCs/>
                      <w:color w:val="000000"/>
                      <w:szCs w:val="24"/>
                    </w:rPr>
                    <w:t>BENDROSIOS NUOSTATOS</w:t>
                  </w:r>
                </w:sdtContent>
              </w:sdt>
            </w:p>
            <w:p>
              <w:pPr>
                <w:ind w:firstLine="567"/>
                <w:rPr>
                  <w:b/>
                  <w:bCs/>
                  <w:color w:val="000000"/>
                  <w:szCs w:val="24"/>
                </w:rPr>
              </w:pPr>
            </w:p>
            <w:sdt>
              <w:sdtPr>
                <w:alias w:val="1 p."/>
                <w:tag w:val="part_ac54089a70774369b1cdc9c0074e17d5"/>
                <w:lock w:val="sdtLocked"/>
                <w:richText/>
              </w:sdtPr>
              <w:sdtContent>
                <w:p>
                  <w:pPr>
                    <w:widowControl w:val="0"/>
                    <w:ind w:firstLine="567"/>
                    <w:jc w:val="both"/>
                    <w:rPr>
                      <w:color w:val="000000"/>
                      <w:szCs w:val="24"/>
                    </w:rPr>
                  </w:pPr>
                  <w:sdt>
                    <w:sdtPr>
                      <w:alias w:val="Numeris"/>
                      <w:tag w:val="nr_ac54089a70774369b1cdc9c0074e17d5"/>
                      <w:lock w:val="sdtLocked"/>
                      <w:richText/>
                    </w:sdtPr>
                    <w:sdtContent>
                      <w:r>
                        <w:rPr>
                          <w:color w:val="000000"/>
                          <w:szCs w:val="24"/>
                        </w:rPr>
                        <w:t>1</w:t>
                      </w:r>
                    </w:sdtContent>
                  </w:sdt>
                  <w:r>
                    <w:rPr>
                      <w:color w:val="000000"/>
                      <w:szCs w:val="24"/>
                    </w:rPr>
                    <w:t xml:space="preserve">. Atliekų deginimo įrenginiuose ir bendro atliekų deginimo įrenginiuose susidariusių pelenų ir šlako tvarkymo reikalavimai (toliau – Reikalavimai) nustato atliekų deginimo ir bendro atliekų deginimo įrenginiuose susidariusių pelenų ir šlako tvarkymo aplinkos apsaugos reikalavimus,  atliekų deginimo ir bendro atliekų deginimo įrenginiuose susidariusių pelenų ir šlako nelaikymo atliekomis kriterijus ir sąlygas.</w:t>
                  </w:r>
                </w:p>
              </w:sdtContent>
            </w:sdt>
            <w:sdt>
              <w:sdtPr>
                <w:alias w:val="2 p."/>
                <w:tag w:val="part_e3cd66be35384a3b9d898aec1ac0fba0"/>
                <w:lock w:val="sdtLocked"/>
                <w:richText/>
              </w:sdtPr>
              <w:sdtContent>
                <w:p>
                  <w:pPr>
                    <w:widowControl w:val="0"/>
                    <w:ind w:firstLine="567"/>
                    <w:jc w:val="both"/>
                    <w:rPr>
                      <w:color w:val="000000"/>
                      <w:szCs w:val="24"/>
                    </w:rPr>
                  </w:pPr>
                  <w:sdt>
                    <w:sdtPr>
                      <w:alias w:val="Numeris"/>
                      <w:tag w:val="nr_e3cd66be35384a3b9d898aec1ac0fba0"/>
                      <w:lock w:val="sdtLocked"/>
                      <w:richText/>
                    </w:sdtPr>
                    <w:sdtContent>
                      <w:r>
                        <w:rPr>
                          <w:color w:val="000000"/>
                          <w:szCs w:val="24"/>
                        </w:rPr>
                        <w:t>2</w:t>
                      </w:r>
                    </w:sdtContent>
                  </w:sdt>
                  <w:r>
                    <w:rPr>
                      <w:color w:val="000000"/>
                      <w:szCs w:val="24"/>
                    </w:rPr>
                    <w:t>.</w:t>
                  </w:r>
                  <w:r>
                    <w:rPr>
                      <w:szCs w:val="24"/>
                      <w:lang w:eastAsia="lt-LT"/>
                    </w:rPr>
                    <w:t xml:space="preserve"> </w:t>
                  </w:r>
                  <w:r>
                    <w:rPr>
                      <w:color w:val="000000"/>
                      <w:szCs w:val="24"/>
                    </w:rPr>
                    <w:t>Šie Reikalavimai privalomi asmenims, kurių veikla susijusi su pelenų ir šlako susidarymu, tvarkymu ir panaudojimu.</w:t>
                  </w:r>
                </w:p>
              </w:sdtContent>
            </w:sdt>
            <w:sdt>
              <w:sdtPr>
                <w:alias w:val="3 p."/>
                <w:tag w:val="part_c713561b2aee4a21a2dd9f927e165a13"/>
                <w:lock w:val="sdtLocked"/>
                <w:richText/>
              </w:sdtPr>
              <w:sdtContent>
                <w:p>
                  <w:pPr>
                    <w:widowControl w:val="0"/>
                    <w:ind w:firstLine="567"/>
                    <w:jc w:val="both"/>
                    <w:rPr>
                      <w:color w:val="000000"/>
                      <w:szCs w:val="24"/>
                    </w:rPr>
                  </w:pPr>
                  <w:sdt>
                    <w:sdtPr>
                      <w:alias w:val="Numeris"/>
                      <w:tag w:val="nr_c713561b2aee4a21a2dd9f927e165a13"/>
                      <w:lock w:val="sdtLocked"/>
                      <w:richText/>
                    </w:sdtPr>
                    <w:sdtContent>
                      <w:r>
                        <w:rPr>
                          <w:color w:val="000000"/>
                          <w:szCs w:val="24"/>
                        </w:rPr>
                        <w:t>3</w:t>
                      </w:r>
                    </w:sdtContent>
                  </w:sdt>
                  <w:r>
                    <w:rPr>
                      <w:color w:val="000000"/>
                      <w:szCs w:val="24"/>
                    </w:rPr>
                    <w:t>. Atliekų deginimo įrenginiuose ir bendro atliekų deginimo įrenginiuose susidariusiems pelenams ir šlakui taikomi Atliekų tvarkymo taisyklių, patvirtintų Lietuvos Respublikos aplinkos apsaugos ministro 1999 m. liepos 14 d. įsakymu Nr. 217 „Dėl Atliekų tvarkymo taisyklių patvirtinimo“, 1 priede įtvirtinti atliekų sąrašo kodai 19 01 12 ir 19 01 16.</w:t>
                  </w:r>
                </w:p>
              </w:sdtContent>
            </w:sdt>
            <w:sdt>
              <w:sdtPr>
                <w:alias w:val="4 p."/>
                <w:tag w:val="part_4ade9ea0a8d44d6897bde63eb800751d"/>
                <w:lock w:val="sdtLocked"/>
                <w:richText/>
              </w:sdtPr>
              <w:sdtContent>
                <w:p>
                  <w:pPr>
                    <w:widowControl w:val="0"/>
                    <w:ind w:firstLine="567"/>
                    <w:jc w:val="both"/>
                    <w:rPr>
                      <w:color w:val="000000"/>
                      <w:szCs w:val="24"/>
                    </w:rPr>
                  </w:pPr>
                  <w:sdt>
                    <w:sdtPr>
                      <w:alias w:val="Numeris"/>
                      <w:tag w:val="nr_4ade9ea0a8d44d6897bde63eb800751d"/>
                      <w:lock w:val="sdtLocked"/>
                      <w:richText/>
                    </w:sdtPr>
                    <w:sdtContent>
                      <w:r>
                        <w:rPr>
                          <w:color w:val="000000"/>
                          <w:szCs w:val="24"/>
                        </w:rPr>
                        <w:t>4</w:t>
                      </w:r>
                    </w:sdtContent>
                  </w:sdt>
                  <w:r>
                    <w:rPr>
                      <w:color w:val="000000"/>
                      <w:szCs w:val="24"/>
                    </w:rPr>
                    <w:t>. 4. Reikalavimuose vartojamos sąvokos:</w:t>
                  </w:r>
                </w:p>
                <w:sdt>
                  <w:sdtPr>
                    <w:alias w:val="4.1 pp."/>
                    <w:tag w:val="part_d7568320f63349469e6b12b5f77a66c9"/>
                    <w:lock w:val="sdtLocked"/>
                    <w:richText/>
                  </w:sdtPr>
                  <w:sdtContent>
                    <w:p>
                      <w:pPr>
                        <w:widowControl w:val="0"/>
                        <w:ind w:firstLine="567"/>
                        <w:jc w:val="both"/>
                        <w:rPr>
                          <w:color w:val="000000"/>
                          <w:szCs w:val="24"/>
                        </w:rPr>
                      </w:pPr>
                      <w:sdt>
                        <w:sdtPr>
                          <w:alias w:val="Numeris"/>
                          <w:tag w:val="nr_d7568320f63349469e6b12b5f77a66c9"/>
                          <w:lock w:val="sdtLocked"/>
                          <w:richText/>
                        </w:sdtPr>
                        <w:sdtContent>
                          <w:r>
                            <w:rPr>
                              <w:color w:val="000000"/>
                              <w:szCs w:val="24"/>
                            </w:rPr>
                            <w:t>4.1</w:t>
                          </w:r>
                        </w:sdtContent>
                      </w:sdt>
                      <w:r>
                        <w:rPr>
                          <w:color w:val="000000"/>
                          <w:szCs w:val="24"/>
                        </w:rPr>
                        <w:t xml:space="preserve">. </w:t>
                      </w:r>
                      <w:r>
                        <w:rPr>
                          <w:b/>
                          <w:color w:val="000000"/>
                          <w:szCs w:val="24"/>
                        </w:rPr>
                        <w:t>atliekų deginimo įrenginiuose ir bendro atliekų deginimo įrenginiuose susidarę pelenai (toliau – pelenai</w:t>
                      </w:r>
                      <w:r>
                        <w:rPr>
                          <w:color w:val="000000"/>
                          <w:szCs w:val="24"/>
                        </w:rPr>
                        <w:t xml:space="preserve">) –  atliekų deginimo įrenginiuose ir bendro atliekų deginimo įrenginiuose susidarę dugno pelenai – degimo kameroje degimo proceso pabaigoje iškrentančios deginimo proceso nepavojingosios atliekos ir garo katilų dulkės – deginimo proceso nepavojingosios atliekos, iškrentančios iš katilo šilumokaičių sistemos;</w:t>
                      </w:r>
                    </w:p>
                  </w:sdtContent>
                </w:sdt>
                <w:sdt>
                  <w:sdtPr>
                    <w:alias w:val="4.2 pp."/>
                    <w:tag w:val="part_344974f8d69d442daf989355dbb24306"/>
                    <w:lock w:val="sdtLocked"/>
                    <w:richText/>
                  </w:sdtPr>
                  <w:sdtContent>
                    <w:p>
                      <w:pPr>
                        <w:widowControl w:val="0"/>
                        <w:ind w:firstLine="567"/>
                        <w:jc w:val="both"/>
                        <w:rPr>
                          <w:color w:val="000000"/>
                          <w:szCs w:val="24"/>
                        </w:rPr>
                      </w:pPr>
                      <w:sdt>
                        <w:sdtPr>
                          <w:alias w:val="Numeris"/>
                          <w:tag w:val="nr_344974f8d69d442daf989355dbb24306"/>
                          <w:lock w:val="sdtLocked"/>
                          <w:richText/>
                        </w:sdtPr>
                        <w:sdtContent>
                          <w:r>
                            <w:rPr>
                              <w:color w:val="000000"/>
                              <w:szCs w:val="24"/>
                            </w:rPr>
                            <w:t>4.2</w:t>
                          </w:r>
                        </w:sdtContent>
                      </w:sdt>
                      <w:r>
                        <w:rPr>
                          <w:color w:val="000000"/>
                          <w:szCs w:val="24"/>
                        </w:rPr>
                        <w:t xml:space="preserve">. </w:t>
                      </w:r>
                      <w:r>
                        <w:rPr>
                          <w:b/>
                          <w:color w:val="000000"/>
                          <w:szCs w:val="24"/>
                        </w:rPr>
                        <w:t>atliekų deginimo įrenginiuose ir bendro atliekų deginimo įrenginiuose susidaręs šlakas</w:t>
                      </w:r>
                      <w:r>
                        <w:rPr>
                          <w:color w:val="000000"/>
                          <w:szCs w:val="24"/>
                        </w:rPr>
                        <w:t xml:space="preserve"> </w:t>
                      </w:r>
                      <w:r>
                        <w:rPr>
                          <w:b/>
                          <w:color w:val="000000"/>
                          <w:szCs w:val="24"/>
                        </w:rPr>
                        <w:t xml:space="preserve">(toliau – šlakas) </w:t>
                      </w:r>
                      <w:r>
                        <w:rPr>
                          <w:color w:val="000000"/>
                          <w:szCs w:val="24"/>
                        </w:rPr>
                        <w:t>– deginimo proceso nedegančios nepavojingosios atliekos, susikaupusios degimo kameros dugne;</w:t>
                      </w:r>
                    </w:p>
                  </w:sdtContent>
                </w:sdt>
                <w:sdt>
                  <w:sdtPr>
                    <w:alias w:val="4.3 pp."/>
                    <w:tag w:val="part_2c79cb2b739440a198946ceeb824a461"/>
                    <w:lock w:val="sdtLocked"/>
                    <w:richText/>
                  </w:sdtPr>
                  <w:sdtContent>
                    <w:p>
                      <w:pPr>
                        <w:widowControl w:val="0"/>
                        <w:ind w:firstLine="567"/>
                        <w:jc w:val="both"/>
                        <w:rPr>
                          <w:color w:val="000000"/>
                          <w:szCs w:val="24"/>
                        </w:rPr>
                      </w:pPr>
                      <w:sdt>
                        <w:sdtPr>
                          <w:alias w:val="Numeris"/>
                          <w:tag w:val="nr_2c79cb2b739440a198946ceeb824a461"/>
                          <w:lock w:val="sdtLocked"/>
                          <w:richText/>
                        </w:sdtPr>
                        <w:sdtContent>
                          <w:r>
                            <w:rPr>
                              <w:color w:val="000000"/>
                              <w:szCs w:val="24"/>
                            </w:rPr>
                            <w:t>4.3</w:t>
                          </w:r>
                        </w:sdtContent>
                      </w:sdt>
                      <w:r>
                        <w:rPr>
                          <w:color w:val="000000"/>
                          <w:szCs w:val="24"/>
                        </w:rPr>
                        <w:t xml:space="preserve">. </w:t>
                      </w:r>
                      <w:r>
                        <w:rPr>
                          <w:b/>
                          <w:color w:val="000000"/>
                          <w:szCs w:val="24"/>
                        </w:rPr>
                        <w:t>apdorotų pelenų ir šlako</w:t>
                      </w:r>
                      <w:r>
                        <w:rPr>
                          <w:color w:val="000000"/>
                          <w:szCs w:val="24"/>
                        </w:rPr>
                        <w:t xml:space="preserve"> </w:t>
                      </w:r>
                      <w:r>
                        <w:rPr>
                          <w:b/>
                          <w:color w:val="000000"/>
                          <w:szCs w:val="24"/>
                        </w:rPr>
                        <w:t xml:space="preserve">siunta (toliau – siunta) – </w:t>
                      </w:r>
                      <w:r>
                        <w:rPr>
                          <w:color w:val="000000"/>
                          <w:szCs w:val="24"/>
                        </w:rPr>
                        <w:t>atliekų tvarkytojo, vykdžiusio pelenų ir šlako apdorojimą, paruošta tiekti rinkai vienu metu apdorotų pelenų ir šlako partija.</w:t>
                      </w:r>
                    </w:p>
                  </w:sdtContent>
                </w:sdt>
                <w:sdt>
                  <w:sdtPr>
                    <w:alias w:val="4.4 pp."/>
                    <w:tag w:val="part_e26b2a0acadf4fc0910ceb5bf8b48a12"/>
                    <w:lock w:val="sdtLocked"/>
                    <w:richText/>
                  </w:sdtPr>
                  <w:sdtContent>
                    <w:p>
                      <w:pPr>
                        <w:widowControl w:val="0"/>
                        <w:ind w:firstLine="567"/>
                        <w:jc w:val="both"/>
                        <w:rPr>
                          <w:color w:val="000000"/>
                          <w:szCs w:val="24"/>
                        </w:rPr>
                      </w:pPr>
                      <w:sdt>
                        <w:sdtPr>
                          <w:alias w:val="Numeris"/>
                          <w:tag w:val="nr_e26b2a0acadf4fc0910ceb5bf8b48a12"/>
                          <w:lock w:val="sdtLocked"/>
                          <w:richText/>
                        </w:sdtPr>
                        <w:sdtContent>
                          <w:r>
                            <w:rPr>
                              <w:color w:val="000000"/>
                              <w:szCs w:val="24"/>
                            </w:rPr>
                            <w:t>4.4</w:t>
                          </w:r>
                        </w:sdtContent>
                      </w:sdt>
                      <w:r>
                        <w:rPr>
                          <w:color w:val="000000"/>
                          <w:szCs w:val="24"/>
                        </w:rPr>
                        <w:t>. kitos Reikalavimuose vartojamos sąvokos atitinka Lietuvos Respublikos aplinkos apsaugos įstatyme, Lietuvos Respublikos atliekų tvarkymo įstatyme, Lietuvos Respublikos statybos įstatyme ir kituose teisės aktuose, reglamentuojančiuose aplinkos apsaugą, atliekų tvarkymą ir statinių statybą, nustatytas sąvokas.</w:t>
                      </w:r>
                    </w:p>
                  </w:sdtContent>
                </w:sdt>
              </w:sdtContent>
            </w:sdt>
            <w:sdt>
              <w:sdtPr>
                <w:alias w:val="5 p."/>
                <w:tag w:val="part_0ec1094bb04a4d6684c965e021a309e5"/>
                <w:lock w:val="sdtLocked"/>
                <w:richText/>
              </w:sdtPr>
              <w:sdtContent>
                <w:p>
                  <w:pPr>
                    <w:ind w:firstLine="567"/>
                    <w:jc w:val="both"/>
                    <w:rPr>
                      <w:color w:val="000000"/>
                      <w:szCs w:val="24"/>
                    </w:rPr>
                  </w:pPr>
                  <w:sdt>
                    <w:sdtPr>
                      <w:alias w:val="Numeris"/>
                      <w:tag w:val="nr_0ec1094bb04a4d6684c965e021a309e5"/>
                      <w:lock w:val="sdtLocked"/>
                      <w:richText/>
                    </w:sdtPr>
                    <w:sdtContent>
                      <w:r>
                        <w:rPr>
                          <w:color w:val="000000"/>
                          <w:szCs w:val="24"/>
                        </w:rPr>
                        <w:t>5</w:t>
                      </w:r>
                    </w:sdtContent>
                  </w:sdt>
                  <w:r>
                    <w:rPr>
                      <w:color w:val="000000"/>
                      <w:szCs w:val="24"/>
                    </w:rPr>
                    <w:t>. Reikalavimai netaikomi medienos kuro pelenų, pelenų, susidariusių pavojingųjų atliekų deginimo įrenginiuose, lakiųjų pelenų, susidariusių atliekų deginimo įrenginiuose ar bendro atliekų deginimo įrenginiuose, pelenų, susidariusių namų ūkiuose, tvarkymui.</w:t>
                  </w:r>
                </w:p>
                <w:p>
                  <w:pPr>
                    <w:jc w:val="center"/>
                    <w:rPr>
                      <w:b/>
                      <w:bCs/>
                      <w:color w:val="000000"/>
                      <w:szCs w:val="24"/>
                    </w:rPr>
                  </w:pPr>
                </w:p>
              </w:sdtContent>
            </w:sdt>
          </w:sdtContent>
        </w:sdt>
        <w:sdt>
          <w:sdtPr>
            <w:alias w:val="skyrius"/>
            <w:tag w:val="part_3c7ac2fdff8a471b8dfbf97e36d7ee9d"/>
            <w:lock w:val="sdtLocked"/>
            <w:richText/>
          </w:sdtPr>
          <w:sdtContent>
            <w:p>
              <w:pPr>
                <w:jc w:val="center"/>
                <w:rPr>
                  <w:b/>
                  <w:bCs/>
                  <w:color w:val="000000"/>
                  <w:szCs w:val="24"/>
                </w:rPr>
              </w:pPr>
              <w:sdt>
                <w:sdtPr>
                  <w:alias w:val="Numeris"/>
                  <w:tag w:val="nr_3c7ac2fdff8a471b8dfbf97e36d7ee9d"/>
                  <w:lock w:val="sdtLocked"/>
                  <w:richText/>
                </w:sdtPr>
                <w:sdtContent>
                  <w:r>
                    <w:rPr>
                      <w:b/>
                      <w:bCs/>
                      <w:color w:val="000000"/>
                      <w:szCs w:val="24"/>
                    </w:rPr>
                    <w:t>II</w:t>
                  </w:r>
                </w:sdtContent>
              </w:sdt>
              <w:r>
                <w:rPr>
                  <w:b/>
                  <w:bCs/>
                  <w:color w:val="000000"/>
                  <w:szCs w:val="24"/>
                </w:rPr>
                <w:t xml:space="preserve"> SKYRIUS</w:t>
              </w:r>
            </w:p>
            <w:p>
              <w:pPr>
                <w:ind w:firstLine="62"/>
                <w:jc w:val="center"/>
                <w:rPr>
                  <w:b/>
                  <w:bCs/>
                  <w:color w:val="000000"/>
                  <w:szCs w:val="24"/>
                </w:rPr>
              </w:pPr>
              <w:sdt>
                <w:sdtPr>
                  <w:alias w:val="Pavadinimas"/>
                  <w:tag w:val="title_3c7ac2fdff8a471b8dfbf97e36d7ee9d"/>
                  <w:lock w:val="sdtLocked"/>
                  <w:richText/>
                </w:sdtPr>
                <w:sdtContent>
                  <w:r>
                    <w:rPr>
                      <w:b/>
                      <w:bCs/>
                      <w:color w:val="000000"/>
                      <w:szCs w:val="24"/>
                    </w:rPr>
                    <w:t xml:space="preserve">BENDRIEJI REIKALAVIMAI  PELENŲ IR ŠLAKO TVARKYMUI</w:t>
                  </w:r>
                </w:sdtContent>
              </w:sdt>
            </w:p>
            <w:p>
              <w:pPr>
                <w:jc w:val="both"/>
                <w:rPr>
                  <w:b/>
                  <w:bCs/>
                  <w:color w:val="000000"/>
                  <w:szCs w:val="24"/>
                </w:rPr>
              </w:pPr>
            </w:p>
            <w:sdt>
              <w:sdtPr>
                <w:alias w:val="6 p."/>
                <w:tag w:val="part_0da1ca08191845dc84134d65d5339110"/>
                <w:lock w:val="sdtLocked"/>
                <w:richText/>
              </w:sdtPr>
              <w:sdtContent>
                <w:p>
                  <w:pPr>
                    <w:ind w:firstLine="567"/>
                    <w:jc w:val="both"/>
                    <w:rPr>
                      <w:szCs w:val="24"/>
                    </w:rPr>
                  </w:pPr>
                  <w:sdt>
                    <w:sdtPr>
                      <w:alias w:val="Numeris"/>
                      <w:tag w:val="nr_0da1ca08191845dc84134d65d5339110"/>
                      <w:lock w:val="sdtLocked"/>
                      <w:richText/>
                    </w:sdtPr>
                    <w:sdtContent>
                      <w:r>
                        <w:rPr>
                          <w:bCs/>
                          <w:color w:val="000000"/>
                          <w:szCs w:val="24"/>
                        </w:rPr>
                        <w:t>6</w:t>
                      </w:r>
                    </w:sdtContent>
                  </w:sdt>
                  <w:r>
                    <w:rPr>
                      <w:bCs/>
                      <w:color w:val="000000"/>
                      <w:szCs w:val="24"/>
                    </w:rPr>
                    <w:t xml:space="preserve">. Pelenus ir šlakus surinkti, vežti ir apdoroti gali tik </w:t>
                  </w:r>
                  <w:r>
                    <w:rPr>
                      <w:color w:val="000000"/>
                      <w:szCs w:val="24"/>
                    </w:rPr>
                    <w:t>atliekų tvarkytojai,</w:t>
                  </w:r>
                  <w:r>
                    <w:rPr>
                      <w:bCs/>
                      <w:color w:val="000000"/>
                      <w:szCs w:val="24"/>
                    </w:rPr>
                    <w:t xml:space="preserve"> turintys teisę tvarkyti tokias atliekas.</w:t>
                  </w:r>
                </w:p>
              </w:sdtContent>
            </w:sdt>
            <w:sdt>
              <w:sdtPr>
                <w:alias w:val="7 p."/>
                <w:tag w:val="part_0d3c7cba11d44198977b2af5f13d6c2a"/>
                <w:lock w:val="sdtLocked"/>
                <w:richText/>
              </w:sdtPr>
              <w:sdtContent>
                <w:p>
                  <w:pPr>
                    <w:ind w:firstLine="567"/>
                    <w:jc w:val="both"/>
                    <w:rPr>
                      <w:szCs w:val="24"/>
                    </w:rPr>
                  </w:pPr>
                  <w:sdt>
                    <w:sdtPr>
                      <w:alias w:val="Numeris"/>
                      <w:tag w:val="nr_0d3c7cba11d44198977b2af5f13d6c2a"/>
                      <w:lock w:val="sdtLocked"/>
                      <w:richText/>
                    </w:sdtPr>
                    <w:sdtContent>
                      <w:r>
                        <w:rPr>
                          <w:szCs w:val="24"/>
                        </w:rPr>
                        <w:t>7</w:t>
                      </w:r>
                    </w:sdtContent>
                  </w:sdt>
                  <w:r>
                    <w:rPr>
                      <w:szCs w:val="24"/>
                    </w:rPr>
                    <w:t>. Įmonė, vykdanti pelenų ir šlako apdorojimą, ir įmonė, pelenų ir šlako susidarymo vietoje jas laikanti ilgiau kaip vienerius metus, vadovaujantis Atliekų tvarkymo įstatymo 6 straipsniu, privalo turėti leidimą, kuriame nustatytas didžiausias numatomas apdoroti pelenų ir šlako kiekis, pelenų ir šlako apdorojimo pajėgumai, leidžiamos pelenų ir šlako apdorojimo veiklos, jų laikymo sąlygos, pelenų ir šlako apdorojimo technologinio proceso aprašymas, apdorotų pelenų ir šlako, kurie po atliekų naudojimo nebelaikomi atliekomis, kiekis, jų paskirtis naudoti konkrečiam tikslui, techninės charakteristikos, taikytini standartai ir kiti reikalavimai, nustatyti vadovaujantis teisės aktais, reglamentuojančiais šių leidimų išdavimą ir pakeitimą.</w:t>
                  </w:r>
                </w:p>
              </w:sdtContent>
            </w:sdt>
            <w:sdt>
              <w:sdtPr>
                <w:alias w:val="8 p."/>
                <w:tag w:val="part_81e3daeaedb9407a9f285ed56e613ed6"/>
                <w:lock w:val="sdtLocked"/>
                <w:richText/>
              </w:sdtPr>
              <w:sdtContent>
                <w:p>
                  <w:pPr>
                    <w:ind w:firstLine="567"/>
                    <w:jc w:val="both"/>
                    <w:rPr>
                      <w:bCs/>
                      <w:color w:val="000000"/>
                      <w:szCs w:val="24"/>
                    </w:rPr>
                  </w:pPr>
                  <w:sdt>
                    <w:sdtPr>
                      <w:alias w:val="Numeris"/>
                      <w:tag w:val="nr_81e3daeaedb9407a9f285ed56e613ed6"/>
                      <w:lock w:val="sdtLocked"/>
                      <w:richText/>
                    </w:sdtPr>
                    <w:sdtContent>
                      <w:r>
                        <w:rPr>
                          <w:bCs/>
                          <w:color w:val="000000"/>
                          <w:szCs w:val="24"/>
                        </w:rPr>
                        <w:t>8</w:t>
                      </w:r>
                    </w:sdtContent>
                  </w:sdt>
                  <w:r>
                    <w:rPr>
                      <w:bCs/>
                      <w:color w:val="000000"/>
                      <w:szCs w:val="24"/>
                    </w:rPr>
                    <w:t>. P</w:t>
                  </w:r>
                  <w:r>
                    <w:rPr>
                      <w:color w:val="000000"/>
                      <w:szCs w:val="24"/>
                    </w:rPr>
                    <w:t>elenų ir šlako tvarkymo būdai ir priemonės turi nekelti neigiamo poveikio visuomenės sveikatai ir aplinkai.</w:t>
                  </w:r>
                  <w:r>
                    <w:rPr>
                      <w:szCs w:val="24"/>
                    </w:rPr>
                    <w:t xml:space="preserve"> </w:t>
                  </w:r>
                  <w:r>
                    <w:rPr>
                      <w:bCs/>
                      <w:color w:val="000000"/>
                      <w:szCs w:val="24"/>
                    </w:rPr>
                    <w:t>Pelenai ir šlakas turi būti tvarkomi taip, kad esant įvairioms gamtinėms sąlygoms jų neišnešiotų vėjas, tiesiogiai ar netiesiogiai veikiant krituliams ar atodrėkiui</w:t>
                  </w:r>
                  <w:r>
                    <w:rPr>
                      <w:b/>
                      <w:bCs/>
                      <w:color w:val="000000"/>
                      <w:szCs w:val="24"/>
                    </w:rPr>
                    <w:t xml:space="preserve"> </w:t>
                  </w:r>
                  <w:r>
                    <w:rPr>
                      <w:bCs/>
                      <w:color w:val="000000"/>
                      <w:szCs w:val="24"/>
                    </w:rPr>
                    <w:t>cheminės medžiagos, esančios pelenuose ir šlake, negalėtų patekti į požeminius ir (ar) paviršinius vandenis ar kitaip nepatektų į aplinką. Asmenims, vykdantiems ūkinę veiklą, kurios metu laikomi, kraunami ir (ar) vežami palaidi pelenai ir šlakas taikomi Minimalūs reikalavimai dulkėtumui mažinti laikant, kraunant, vežant palaidas kietąsias medžiagas, patvirtinti Lietuvos Respublikos aplinkos ministro 2020 m. lapkričio 11 d. įsakymu Nr. D1-682</w:t>
                  </w:r>
                  <w:r>
                    <w:rPr>
                      <w:b/>
                      <w:bCs/>
                      <w:color w:val="000000"/>
                      <w:szCs w:val="24"/>
                    </w:rPr>
                    <w:t xml:space="preserve"> </w:t>
                  </w:r>
                  <w:r>
                    <w:rPr>
                      <w:bCs/>
                      <w:color w:val="000000"/>
                      <w:szCs w:val="24"/>
                    </w:rPr>
                    <w:t>„Dėl Minimalių reikalavimų dulkėtumui mažinti laikant, kraunant, vežant palaidas kietąsias medžiagas patvirtinimo“.</w:t>
                  </w:r>
                </w:p>
              </w:sdtContent>
            </w:sdt>
            <w:sdt>
              <w:sdtPr>
                <w:alias w:val="9 p."/>
                <w:tag w:val="part_709e1756d1784951b68899ccc3edc464"/>
                <w:lock w:val="sdtLocked"/>
                <w:richText/>
              </w:sdtPr>
              <w:sdtContent>
                <w:p>
                  <w:pPr>
                    <w:ind w:firstLine="567"/>
                    <w:jc w:val="both"/>
                    <w:rPr>
                      <w:bCs/>
                      <w:szCs w:val="24"/>
                    </w:rPr>
                  </w:pPr>
                  <w:sdt>
                    <w:sdtPr>
                      <w:alias w:val="Numeris"/>
                      <w:tag w:val="nr_709e1756d1784951b68899ccc3edc464"/>
                      <w:lock w:val="sdtLocked"/>
                      <w:richText/>
                    </w:sdtPr>
                    <w:sdtContent>
                      <w:r>
                        <w:rPr>
                          <w:bCs/>
                          <w:szCs w:val="24"/>
                        </w:rPr>
                        <w:t>9</w:t>
                      </w:r>
                    </w:sdtContent>
                  </w:sdt>
                  <w:r>
                    <w:rPr>
                      <w:bCs/>
                      <w:szCs w:val="24"/>
                    </w:rPr>
                    <w:t>. Negalima tarpusavyje maišyti šių pelenų ir šlako rūšių: neapdorotų, apdorojamų ir laikomų po apdorojimo.</w:t>
                  </w:r>
                </w:p>
              </w:sdtContent>
            </w:sdt>
            <w:sdt>
              <w:sdtPr>
                <w:alias w:val="10 p."/>
                <w:tag w:val="part_953f5d04072b4b2dafea5c4771941181"/>
                <w:lock w:val="sdtLocked"/>
                <w:richText/>
              </w:sdtPr>
              <w:sdtContent>
                <w:p>
                  <w:pPr>
                    <w:ind w:firstLine="567"/>
                    <w:jc w:val="both"/>
                    <w:rPr>
                      <w:color w:val="000000"/>
                      <w:szCs w:val="24"/>
                    </w:rPr>
                  </w:pPr>
                  <w:sdt>
                    <w:sdtPr>
                      <w:alias w:val="Numeris"/>
                      <w:tag w:val="nr_953f5d04072b4b2dafea5c4771941181"/>
                      <w:lock w:val="sdtLocked"/>
                      <w:richText/>
                    </w:sdtPr>
                    <w:sdtContent>
                      <w:r>
                        <w:rPr>
                          <w:color w:val="000000"/>
                          <w:szCs w:val="24"/>
                        </w:rPr>
                        <w:t>10</w:t>
                      </w:r>
                    </w:sdtContent>
                  </w:sdt>
                  <w:r>
                    <w:rPr>
                      <w:color w:val="000000"/>
                      <w:szCs w:val="24"/>
                    </w:rPr>
                    <w:t xml:space="preserve">. Pelenai ir šlakas apdorojami tam skirtuose įrenginiuose, kuriuose turi būti įrengtos neapdorotų pelenų ir šlako zonos,  apdorotų pelenų ir šlako tvarkymo zonos pagal frakcijas  ir pagal trukmę pelenų ir šlako apdorojimo veiklos, kurios metu stabilizuojami pelenai ir šlakas,                (toliau – pelenų ir šlako sendinimas). Pelenų ir šlako apdorojimas, įskaitant jų laikymą, turi būti vykdomas uždaruose įrenginiuose su įrengta dulkių filtravimo ir dujų pašalinimo sistema arba atviruose įrenginiuose (pvz., atvirose aikštelėse), kuriuose pelenai ir šlakas natūraliai ir/ar dirbtinai drėkinami, siekiant, kad nebūtų dulkėjimo.</w:t>
                  </w:r>
                </w:p>
              </w:sdtContent>
            </w:sdt>
            <w:sdt>
              <w:sdtPr>
                <w:alias w:val="11 p."/>
                <w:tag w:val="part_ce6ee63820b2452c8cbde2a9f356ce17"/>
                <w:lock w:val="sdtLocked"/>
                <w:richText/>
              </w:sdtPr>
              <w:sdtContent>
                <w:p>
                  <w:pPr>
                    <w:ind w:firstLine="567"/>
                    <w:jc w:val="both"/>
                    <w:rPr>
                      <w:color w:val="000000"/>
                      <w:szCs w:val="24"/>
                    </w:rPr>
                  </w:pPr>
                  <w:sdt>
                    <w:sdtPr>
                      <w:alias w:val="Numeris"/>
                      <w:tag w:val="nr_ce6ee63820b2452c8cbde2a9f356ce17"/>
                      <w:lock w:val="sdtLocked"/>
                      <w:richText/>
                    </w:sdtPr>
                    <w:sdtContent>
                      <w:r>
                        <w:rPr>
                          <w:color w:val="000000"/>
                          <w:szCs w:val="24"/>
                        </w:rPr>
                        <w:t>11</w:t>
                      </w:r>
                    </w:sdtContent>
                  </w:sdt>
                  <w:r>
                    <w:rPr>
                      <w:color w:val="000000"/>
                      <w:szCs w:val="24"/>
                    </w:rPr>
                    <w:t xml:space="preserve">. Pelenų ir šlako apdorojimo įrenginiai ir </w:t>
                  </w:r>
                  <w:r>
                    <w:rPr>
                      <w:bCs/>
                      <w:color w:val="000000"/>
                      <w:szCs w:val="24"/>
                    </w:rPr>
                    <w:t xml:space="preserve">teritorijos, kuriose laikomi pelenai ir šlakas, </w:t>
                  </w:r>
                  <w:r>
                    <w:rPr>
                      <w:color w:val="000000"/>
                      <w:szCs w:val="24"/>
                    </w:rPr>
                    <w:t>turi būti su nelaidžia vandeniui danga arba dugnu</w:t>
                  </w:r>
                  <w:r>
                    <w:rPr>
                      <w:bCs/>
                      <w:color w:val="000000"/>
                      <w:szCs w:val="24"/>
                    </w:rPr>
                    <w:t xml:space="preserve"> ir įrengtos, kad paviršinės nuotekos nuo jų nenutekėtų ant šalia esančių teritorijų ir ant jų nepatektų vanduo nuo šalia esančių teritorijų</w:t>
                  </w:r>
                  <w:r>
                    <w:rPr>
                      <w:color w:val="000000"/>
                      <w:szCs w:val="24"/>
                    </w:rPr>
                    <w:t xml:space="preserve">. Paviršinės nuotekos turi būti surenkamos, valomos ir išleidžiamos vadovaujantis Paviršinių nuotekų tvarkymo reglamentu, patvirtintu Lietuvos Respublikos aplinkos ministro 2007 m. balandžio 2 d. įsakymu  Nr. D1-193 „Dėl Paviršinių nuotekų tvarkymo reglamento patvirtinimo“. Pelenų ir šlako laikymo ir apdorojimo įrenginiuose surenkamos gamybinės nuotekos privalo būti valomos, vadovaujantis Nuotekų tvarkymo reglamentu, patvirtintu Lietuvos Respublikos aplinkos ministro </w:t>
                  </w:r>
                  <w:r>
                    <w:rPr>
                      <w:szCs w:val="24"/>
                    </w:rPr>
                    <w:t>2006 m. gegužės 17 d. įsakymu Nr. D1-236 „Dėl Nuotekų tvarkymo reglamento patvirtinimo“</w:t>
                  </w:r>
                  <w:r>
                    <w:rPr>
                      <w:color w:val="000000"/>
                      <w:szCs w:val="24"/>
                    </w:rPr>
                    <w:t>.</w:t>
                  </w:r>
                </w:p>
              </w:sdtContent>
            </w:sdt>
            <w:sdt>
              <w:sdtPr>
                <w:alias w:val="12 p."/>
                <w:tag w:val="part_48424e9af3d24ad2b94dd9129f983613"/>
                <w:lock w:val="sdtLocked"/>
                <w:richText/>
              </w:sdtPr>
              <w:sdtContent>
                <w:p>
                  <w:pPr>
                    <w:ind w:firstLine="567"/>
                    <w:jc w:val="both"/>
                    <w:rPr>
                      <w:szCs w:val="24"/>
                    </w:rPr>
                  </w:pPr>
                  <w:sdt>
                    <w:sdtPr>
                      <w:alias w:val="Numeris"/>
                      <w:tag w:val="nr_48424e9af3d24ad2b94dd9129f983613"/>
                      <w:lock w:val="sdtLocked"/>
                      <w:richText/>
                    </w:sdtPr>
                    <w:sdtContent>
                      <w:r>
                        <w:rPr>
                          <w:color w:val="000000"/>
                          <w:szCs w:val="24"/>
                        </w:rPr>
                        <w:t>12</w:t>
                      </w:r>
                    </w:sdtContent>
                  </w:sdt>
                  <w:r>
                    <w:rPr>
                      <w:color w:val="000000"/>
                      <w:szCs w:val="24"/>
                    </w:rPr>
                    <w:t xml:space="preserve">. Pelenų ir šlako sendinimas turi  būti vykdomas kaupuose ne trumpiau kaip 3 mėnesius nuo  kaupo suformavimo. Pelenų ir šlako sendinimo kaupas turi būti specialiai pažymėtas, nurodant atliekos pavadinimą, atliekos kodą, sendinimo pradžios datą.  Pelenų ir šlako sendinimo pradžia turi būti įregistruota ir pelenų ir šlako apdorojimo žurnale (1 priedas). Praėjus 3 mėnesių pelenų ir šlako sendinimo periodui, </w:t>
                  </w:r>
                  <w:r>
                    <w:rPr>
                      <w:szCs w:val="24"/>
                    </w:rPr>
                    <w:t>pelenų ir šlako tyrimais turi būti nustatyti cheminių medžiagų rodikliai pagal 1 lentelėje pateiktus rodiklius ir (ar) Reikalavimų 13 punkte nustatytus reikalavimus.</w:t>
                  </w:r>
                </w:p>
              </w:sdtContent>
            </w:sdt>
            <w:sdt>
              <w:sdtPr>
                <w:alias w:val="13 p."/>
                <w:tag w:val="part_4df79c8ff6b1472aa2085132551ba2dd"/>
                <w:lock w:val="sdtLocked"/>
                <w:richText/>
              </w:sdtPr>
              <w:sdtContent>
                <w:p>
                  <w:pPr>
                    <w:ind w:firstLine="567"/>
                    <w:jc w:val="both"/>
                    <w:rPr>
                      <w:szCs w:val="24"/>
                    </w:rPr>
                  </w:pPr>
                  <w:sdt>
                    <w:sdtPr>
                      <w:alias w:val="Numeris"/>
                      <w:tag w:val="nr_4df79c8ff6b1472aa2085132551ba2dd"/>
                      <w:lock w:val="sdtLocked"/>
                      <w:richText/>
                    </w:sdtPr>
                    <w:sdtContent>
                      <w:r>
                        <w:rPr>
                          <w:szCs w:val="24"/>
                        </w:rPr>
                        <w:t>13</w:t>
                      </w:r>
                    </w:sdtContent>
                  </w:sdt>
                  <w:r>
                    <w:rPr>
                      <w:szCs w:val="24"/>
                    </w:rPr>
                    <w:t>. Laikomi atliekomis pelenai ir šlakas gali būti naudojami atliekų sluoksnių perdengimui sąvartynuose, sąvartynų uždarymui ir kaip užpildas ar konstrukcinė medžiaga laikiniems keliams atliekų sąvartynuose tiesti, taip pat šalinami į atliekų sąvartyną, jeigu atitinka Atliekų sąvartynų įrengimo, eksploatavimo, uždarymo ir priežiūros po uždarymo taisyklėse, patvirtintose Lietuvos Respublikos aplinkos ministro 2000 m. spalio 18 d. įsakymu Nr. 444 „Dėl Atliekų sąvartynų įrengimo, eksploatavimo, uždarymo ir priežiūros po uždarymo taisyklių patvirtinimo“,</w:t>
                  </w:r>
                  <w:r>
                    <w:rPr>
                      <w:color w:val="000000"/>
                      <w:szCs w:val="24"/>
                    </w:rPr>
                    <w:t xml:space="preserve"> </w:t>
                  </w:r>
                  <w:r>
                    <w:rPr>
                      <w:szCs w:val="24"/>
                    </w:rPr>
                    <w:t>nustatytus reikalavimus.</w:t>
                  </w:r>
                </w:p>
                <w:p>
                  <w:pPr>
                    <w:ind w:firstLine="567"/>
                    <w:jc w:val="both"/>
                    <w:rPr>
                      <w:szCs w:val="24"/>
                    </w:rPr>
                  </w:pPr>
                </w:p>
              </w:sdtContent>
            </w:sdt>
          </w:sdtContent>
        </w:sdt>
        <w:sdt>
          <w:sdtPr>
            <w:alias w:val="skyrius"/>
            <w:tag w:val="part_43b8fd3d6ede4d6b8bfb1ac95e0c6dc5"/>
            <w:lock w:val="sdtLocked"/>
            <w:richText/>
          </w:sdtPr>
          <w:sdtContent>
            <w:p>
              <w:pPr>
                <w:jc w:val="center"/>
                <w:rPr>
                  <w:b/>
                  <w:color w:val="000000"/>
                  <w:szCs w:val="24"/>
                </w:rPr>
              </w:pPr>
              <w:sdt>
                <w:sdtPr>
                  <w:alias w:val="Numeris"/>
                  <w:tag w:val="nr_43b8fd3d6ede4d6b8bfb1ac95e0c6dc5"/>
                  <w:lock w:val="sdtLocked"/>
                  <w:richText/>
                </w:sdtPr>
                <w:sdtContent>
                  <w:r>
                    <w:rPr>
                      <w:b/>
                      <w:color w:val="000000"/>
                      <w:szCs w:val="24"/>
                    </w:rPr>
                    <w:t>III</w:t>
                  </w:r>
                </w:sdtContent>
              </w:sdt>
              <w:r>
                <w:rPr>
                  <w:b/>
                  <w:color w:val="000000"/>
                  <w:szCs w:val="24"/>
                </w:rPr>
                <w:t xml:space="preserve"> SKYRIUS</w:t>
              </w:r>
            </w:p>
            <w:p>
              <w:pPr>
                <w:ind w:firstLine="629"/>
                <w:jc w:val="center"/>
                <w:rPr>
                  <w:b/>
                  <w:color w:val="000000"/>
                  <w:szCs w:val="24"/>
                </w:rPr>
              </w:pPr>
              <w:sdt>
                <w:sdtPr>
                  <w:alias w:val="Pavadinimas"/>
                  <w:tag w:val="title_43b8fd3d6ede4d6b8bfb1ac95e0c6dc5"/>
                  <w:lock w:val="sdtLocked"/>
                  <w:richText/>
                </w:sdtPr>
                <w:sdtContent>
                  <w:r>
                    <w:rPr>
                      <w:b/>
                      <w:color w:val="000000"/>
                      <w:szCs w:val="24"/>
                    </w:rPr>
                    <w:t>PELENŲ IR ŠLAKO TYRIMO REIKALAVIMAI</w:t>
                  </w:r>
                </w:sdtContent>
              </w:sdt>
            </w:p>
            <w:p>
              <w:pPr>
                <w:ind w:firstLine="567"/>
                <w:jc w:val="both"/>
                <w:rPr>
                  <w:color w:val="000000"/>
                  <w:szCs w:val="24"/>
                </w:rPr>
              </w:pPr>
            </w:p>
            <w:sdt>
              <w:sdtPr>
                <w:alias w:val="14 p."/>
                <w:tag w:val="part_a2f0998375b94c97bf45a8d97f1f0d7e"/>
                <w:lock w:val="sdtLocked"/>
                <w:richText/>
              </w:sdtPr>
              <w:sdtContent>
                <w:p>
                  <w:pPr>
                    <w:keepNext/>
                    <w:widowControl w:val="0"/>
                    <w:ind w:firstLine="567"/>
                    <w:jc w:val="both"/>
                    <w:rPr>
                      <w:szCs w:val="24"/>
                      <w:lang w:eastAsia="lt-LT"/>
                    </w:rPr>
                  </w:pPr>
                  <w:sdt>
                    <w:sdtPr>
                      <w:alias w:val="Numeris"/>
                      <w:tag w:val="nr_a2f0998375b94c97bf45a8d97f1f0d7e"/>
                      <w:lock w:val="sdtLocked"/>
                      <w:richText/>
                    </w:sdtPr>
                    <w:sdtContent>
                      <w:r>
                        <w:rPr>
                          <w:color w:val="000000"/>
                          <w:szCs w:val="24"/>
                        </w:rPr>
                        <w:t>14</w:t>
                      </w:r>
                    </w:sdtContent>
                  </w:sdt>
                  <w:r>
                    <w:rPr>
                      <w:color w:val="000000"/>
                      <w:szCs w:val="24"/>
                    </w:rPr>
                    <w:t>.</w:t>
                  </w:r>
                  <w:r>
                    <w:rPr>
                      <w:szCs w:val="24"/>
                      <w:lang w:eastAsia="lt-LT"/>
                    </w:rPr>
                    <w:t xml:space="preserve"> Atliekų tvarkytojas atlieka neapdorotų pelenų ir šlako tyrimus, kaip nurodyta Atliekų deginimo aplinkosauginių reikalavimų, patvirtintų aplinkos ministro 2002 m. gruodžio 31 d. įsakymu Nr. 699 „Dėl Atliekų deginimo aplinkosauginių reikalavimų patvirtinimo“, 42 punkte. </w:t>
                  </w:r>
                </w:p>
              </w:sdtContent>
            </w:sdt>
            <w:sdt>
              <w:sdtPr>
                <w:alias w:val="15 p."/>
                <w:tag w:val="part_e7fb942f55c54517a8ab6a0c58818ad5"/>
                <w:lock w:val="sdtLocked"/>
                <w:richText/>
              </w:sdtPr>
              <w:sdtContent>
                <w:p>
                  <w:pPr>
                    <w:ind w:firstLine="567"/>
                    <w:jc w:val="both"/>
                    <w:rPr>
                      <w:color w:val="000000"/>
                      <w:szCs w:val="24"/>
                    </w:rPr>
                  </w:pPr>
                  <w:sdt>
                    <w:sdtPr>
                      <w:alias w:val="Numeris"/>
                      <w:tag w:val="nr_e7fb942f55c54517a8ab6a0c58818ad5"/>
                      <w:lock w:val="sdtLocked"/>
                      <w:richText/>
                    </w:sdtPr>
                    <w:sdtContent>
                      <w:r>
                        <w:rPr>
                          <w:color w:val="000000"/>
                          <w:szCs w:val="24"/>
                        </w:rPr>
                        <w:t>15</w:t>
                      </w:r>
                    </w:sdtContent>
                  </w:sdt>
                  <w:r>
                    <w:rPr>
                      <w:color w:val="000000"/>
                      <w:szCs w:val="24"/>
                    </w:rPr>
                    <w:t>. Apdorotų pelenų ir šlako ėminiai imami Lietuvos standarto LST EN 932-1:2001 „Užpildų pagrindinių savybių nustatymo metodai. 1 dalis. Ėminio ėmimo metodai“ nustatyta tvarka. Apdorotų pelenų ir šlako tvarkytojas po pelenų ir šlako apdorojimo ima 6, ne mažesnius kaip 0,5 kg mėginius, tyrimams</w:t>
                  </w:r>
                  <w:r>
                    <w:rPr>
                      <w:rFonts w:ascii="Calibri" w:hAnsi="Calibri" w:cs="Calibri"/>
                      <w:color w:val="000000"/>
                      <w:szCs w:val="24"/>
                      <w:lang w:eastAsia="lt-LT"/>
                    </w:rPr>
                    <w:t xml:space="preserve"> </w:t>
                  </w:r>
                  <w:r>
                    <w:rPr>
                      <w:color w:val="000000"/>
                      <w:szCs w:val="24"/>
                    </w:rPr>
                    <w:t>iš skirtingų to paties kaupo vietų. Ėminiai sumaišomi ir dalinami į dvi lygias dalis, kurių vienas siunčiamas į laboratoriją, kitas lieka paėmimo vietoje ir saugomas 1 metus. Į laboratoriją ėminys siunčiamas uždarytame konteineryje, kuris ženklinamas nenusivalančiu numeriu. Į konteinerio vidų įdedamas lydraštis (2 priedas). Mėginys turi būti pristatytas į laboratoriją ne vėliau kaip per 48 valandas nuo mėginio paruošimo (paėmimo). Mėginio paėmimas ir išsiuntimas į laboratoriją dokumentuojamas tyrimų žurnale (3 priedas).</w:t>
                  </w:r>
                </w:p>
              </w:sdtContent>
            </w:sdt>
            <w:sdt>
              <w:sdtPr>
                <w:alias w:val="16 p."/>
                <w:tag w:val="part_44a26a4d192644a1b64c832c534d6127"/>
                <w:lock w:val="sdtLocked"/>
                <w:richText/>
              </w:sdtPr>
              <w:sdtContent>
                <w:p>
                  <w:pPr>
                    <w:ind w:firstLine="567"/>
                    <w:jc w:val="both"/>
                    <w:rPr>
                      <w:color w:val="000000"/>
                      <w:szCs w:val="24"/>
                    </w:rPr>
                  </w:pPr>
                  <w:sdt>
                    <w:sdtPr>
                      <w:alias w:val="Numeris"/>
                      <w:tag w:val="nr_44a26a4d192644a1b64c832c534d6127"/>
                      <w:lock w:val="sdtLocked"/>
                      <w:richText/>
                    </w:sdtPr>
                    <w:sdtContent>
                      <w:r>
                        <w:rPr>
                          <w:color w:val="000000"/>
                          <w:szCs w:val="24"/>
                        </w:rPr>
                        <w:t>16</w:t>
                      </w:r>
                    </w:sdtContent>
                  </w:sdt>
                  <w:r>
                    <w:rPr>
                      <w:color w:val="000000"/>
                      <w:szCs w:val="24"/>
                    </w:rPr>
                    <w:t xml:space="preserve">. Išplovimo tyrimui eliuatas turi būti paruoštas pagal Lietuvos standartą                               LST EN 12457-2:2003 „Atliekų apibūdinimas. Išplovimas. Iš grūdėtų atliekų išplautų medžiagų ir dumblo sudėties atitikties tyrimas. 2 dalis. Vienpakopis partijos (tyrinio) tyrimas, kai skysčio ir kietosios medžiagos santykis 10 l/kg ir dalelių dydis mažesnis kaip 4 mm (dydį mažinant arba nemažinant)“.</w:t>
                  </w:r>
                </w:p>
              </w:sdtContent>
            </w:sdt>
            <w:sdt>
              <w:sdtPr>
                <w:alias w:val="17 p."/>
                <w:tag w:val="part_0e5d7e9c43ba401a9d46966fb190b030"/>
                <w:lock w:val="sdtLocked"/>
                <w:richText/>
              </w:sdtPr>
              <w:sdtContent>
                <w:p>
                  <w:pPr>
                    <w:ind w:firstLine="567"/>
                    <w:jc w:val="both"/>
                    <w:rPr>
                      <w:color w:val="000000"/>
                      <w:szCs w:val="24"/>
                    </w:rPr>
                  </w:pPr>
                  <w:sdt>
                    <w:sdtPr>
                      <w:alias w:val="Numeris"/>
                      <w:tag w:val="nr_0e5d7e9c43ba401a9d46966fb190b030"/>
                      <w:lock w:val="sdtLocked"/>
                      <w:richText/>
                    </w:sdtPr>
                    <w:sdtContent>
                      <w:r>
                        <w:rPr>
                          <w:color w:val="000000"/>
                          <w:szCs w:val="24"/>
                        </w:rPr>
                        <w:t>17</w:t>
                      </w:r>
                    </w:sdtContent>
                  </w:sdt>
                  <w:r>
                    <w:rPr>
                      <w:color w:val="000000"/>
                      <w:szCs w:val="24"/>
                    </w:rPr>
                    <w:t>. Pelenų ir šlako tyrimai turi būti atlikti akredituotais metodais pagal standartą LST EN ISO/IEC 17025:2018 „Tyrimų, bandymų ir kalibravimo laboratorijų kompetencijai keliami bendrieji reikalavimai“ akredituotose laboratorijose. Pelenų ir šlako laboratorinių tyrimų metodai nurodyti 4 priede.</w:t>
                  </w:r>
                </w:p>
              </w:sdtContent>
            </w:sdt>
            <w:sdt>
              <w:sdtPr>
                <w:alias w:val="18 p."/>
                <w:tag w:val="part_4add244c9df74cad89c3ec369578ba1c"/>
                <w:lock w:val="sdtLocked"/>
                <w:richText/>
              </w:sdtPr>
              <w:sdtContent>
                <w:p>
                  <w:pPr>
                    <w:ind w:firstLine="567"/>
                    <w:jc w:val="both"/>
                    <w:rPr>
                      <w:color w:val="000000"/>
                      <w:szCs w:val="24"/>
                    </w:rPr>
                  </w:pPr>
                  <w:sdt>
                    <w:sdtPr>
                      <w:alias w:val="Numeris"/>
                      <w:tag w:val="nr_4add244c9df74cad89c3ec369578ba1c"/>
                      <w:lock w:val="sdtLocked"/>
                      <w:richText/>
                    </w:sdtPr>
                    <w:sdtContent>
                      <w:r>
                        <w:rPr>
                          <w:color w:val="000000"/>
                          <w:szCs w:val="24"/>
                        </w:rPr>
                        <w:t>18</w:t>
                      </w:r>
                    </w:sdtContent>
                  </w:sdt>
                  <w:r>
                    <w:rPr>
                      <w:color w:val="000000"/>
                      <w:szCs w:val="24"/>
                    </w:rPr>
                    <w:t>. Laboratorinių tyrimų rezultatai saugomi 5 metus.</w:t>
                  </w:r>
                </w:p>
                <w:p>
                  <w:pPr>
                    <w:ind w:firstLine="567"/>
                    <w:jc w:val="both"/>
                    <w:rPr>
                      <w:color w:val="000000"/>
                      <w:szCs w:val="24"/>
                    </w:rPr>
                  </w:pPr>
                </w:p>
              </w:sdtContent>
            </w:sdt>
          </w:sdtContent>
        </w:sdt>
        <w:sdt>
          <w:sdtPr>
            <w:alias w:val="skyrius"/>
            <w:tag w:val="part_afe8e4e64bc34f698a8f68dc30fa31dd"/>
            <w:lock w:val="sdtLocked"/>
            <w:richText/>
          </w:sdtPr>
          <w:sdtContent>
            <w:p>
              <w:pPr>
                <w:jc w:val="center"/>
                <w:rPr>
                  <w:b/>
                  <w:color w:val="000000"/>
                  <w:szCs w:val="24"/>
                </w:rPr>
              </w:pPr>
              <w:sdt>
                <w:sdtPr>
                  <w:alias w:val="Numeris"/>
                  <w:tag w:val="nr_afe8e4e64bc34f698a8f68dc30fa31dd"/>
                  <w:lock w:val="sdtLocked"/>
                  <w:richText/>
                </w:sdtPr>
                <w:sdtContent>
                  <w:r>
                    <w:rPr>
                      <w:b/>
                      <w:color w:val="000000"/>
                      <w:szCs w:val="24"/>
                    </w:rPr>
                    <w:t>IV</w:t>
                  </w:r>
                </w:sdtContent>
              </w:sdt>
              <w:r>
                <w:rPr>
                  <w:b/>
                  <w:color w:val="000000"/>
                  <w:szCs w:val="24"/>
                </w:rPr>
                <w:t xml:space="preserve"> SKYRIUS</w:t>
              </w:r>
            </w:p>
            <w:p>
              <w:pPr>
                <w:ind w:firstLine="629"/>
                <w:jc w:val="center"/>
                <w:rPr>
                  <w:b/>
                  <w:color w:val="000000"/>
                  <w:szCs w:val="24"/>
                </w:rPr>
              </w:pPr>
              <w:sdt>
                <w:sdtPr>
                  <w:alias w:val="Pavadinimas"/>
                  <w:tag w:val="title_afe8e4e64bc34f698a8f68dc30fa31dd"/>
                  <w:lock w:val="sdtLocked"/>
                  <w:richText/>
                </w:sdtPr>
                <w:sdtContent>
                  <w:r>
                    <w:rPr>
                      <w:b/>
                      <w:color w:val="000000"/>
                      <w:szCs w:val="24"/>
                    </w:rPr>
                    <w:t>PELENŲ IR ŠLAKO NELAIKYMO ATLIEKOMIS SĄLYGOS</w:t>
                  </w:r>
                </w:sdtContent>
              </w:sdt>
            </w:p>
            <w:p>
              <w:pPr>
                <w:ind w:firstLine="629"/>
                <w:jc w:val="center"/>
                <w:rPr>
                  <w:b/>
                  <w:color w:val="000000"/>
                  <w:szCs w:val="24"/>
                </w:rPr>
              </w:pPr>
            </w:p>
            <w:sdt>
              <w:sdtPr>
                <w:alias w:val="19 p."/>
                <w:tag w:val="part_a0ea0aef5bb6435d91de707dcd714c72"/>
                <w:lock w:val="sdtLocked"/>
                <w:richText/>
              </w:sdtPr>
              <w:sdtContent>
                <w:p>
                  <w:pPr>
                    <w:ind w:firstLine="567"/>
                    <w:jc w:val="both"/>
                    <w:rPr>
                      <w:color w:val="000000"/>
                      <w:szCs w:val="24"/>
                    </w:rPr>
                  </w:pPr>
                  <w:sdt>
                    <w:sdtPr>
                      <w:alias w:val="Numeris"/>
                      <w:tag w:val="nr_a0ea0aef5bb6435d91de707dcd714c72"/>
                      <w:lock w:val="sdtLocked"/>
                      <w:richText/>
                    </w:sdtPr>
                    <w:sdtContent>
                      <w:r>
                        <w:rPr>
                          <w:color w:val="000000"/>
                          <w:szCs w:val="24"/>
                        </w:rPr>
                        <w:t>19</w:t>
                      </w:r>
                    </w:sdtContent>
                  </w:sdt>
                  <w:r>
                    <w:rPr>
                      <w:color w:val="000000"/>
                      <w:szCs w:val="24"/>
                    </w:rPr>
                    <w:t>. Apdorojus pelenus ir šlaką, laikantis reikalavimų, nustatytų Reikalavimų II skyriuje, pelenai ir šlakas, nelaikomi atliekomis, jei atitinka šiuos visus kriterijus:</w:t>
                  </w:r>
                </w:p>
                <w:sdt>
                  <w:sdtPr>
                    <w:alias w:val="19.1 pp."/>
                    <w:tag w:val="part_3f26f658320c4137999182c49413bf68"/>
                    <w:lock w:val="sdtLocked"/>
                    <w:richText/>
                  </w:sdtPr>
                  <w:sdtContent>
                    <w:p>
                      <w:pPr>
                        <w:ind w:firstLine="567"/>
                        <w:jc w:val="both"/>
                        <w:rPr>
                          <w:color w:val="000000"/>
                          <w:szCs w:val="24"/>
                        </w:rPr>
                      </w:pPr>
                      <w:sdt>
                        <w:sdtPr>
                          <w:alias w:val="Numeris"/>
                          <w:tag w:val="nr_3f26f658320c4137999182c49413bf68"/>
                          <w:lock w:val="sdtLocked"/>
                          <w:richText/>
                        </w:sdtPr>
                        <w:sdtContent>
                          <w:r>
                            <w:rPr>
                              <w:color w:val="000000"/>
                              <w:szCs w:val="24"/>
                            </w:rPr>
                            <w:t>19.1</w:t>
                          </w:r>
                        </w:sdtContent>
                      </w:sdt>
                      <w:r>
                        <w:rPr>
                          <w:color w:val="000000"/>
                          <w:szCs w:val="24"/>
                        </w:rPr>
                        <w:t xml:space="preserve">. pelenai ir šlakas, skirti panaudoti statinių statyboje (pavyzdžiui, keliams tiesti ir rekonstruoti, pastatų pamatams, sąvartynų įrengimui ir pan.) kaip statybinė medžiaga, statybinės medžiagos papildas arba pakaitalas vadovaujantis Statybos įstatyme, Lietuvos Respublikos kelių įstatyme, atitinkamuose techniniuose reglamentuose, reglamentuojančiuose statinių statybą, nustatytais reikalavimais; </w:t>
                      </w:r>
                    </w:p>
                  </w:sdtContent>
                </w:sdt>
                <w:sdt>
                  <w:sdtPr>
                    <w:alias w:val="19.2 pp."/>
                    <w:tag w:val="part_a1e1eaf6f2844326afc0614eab333660"/>
                    <w:lock w:val="sdtLocked"/>
                    <w:richText/>
                  </w:sdtPr>
                  <w:sdtContent>
                    <w:p>
                      <w:pPr>
                        <w:ind w:firstLine="567"/>
                        <w:jc w:val="both"/>
                        <w:rPr>
                          <w:bCs/>
                          <w:color w:val="000000"/>
                          <w:szCs w:val="24"/>
                        </w:rPr>
                      </w:pPr>
                      <w:sdt>
                        <w:sdtPr>
                          <w:alias w:val="Numeris"/>
                          <w:tag w:val="nr_a1e1eaf6f2844326afc0614eab333660"/>
                          <w:lock w:val="sdtLocked"/>
                          <w:richText/>
                        </w:sdtPr>
                        <w:sdtContent>
                          <w:r>
                            <w:rPr>
                              <w:color w:val="000000"/>
                              <w:szCs w:val="24"/>
                            </w:rPr>
                            <w:t>19.2</w:t>
                          </w:r>
                        </w:sdtContent>
                      </w:sdt>
                      <w:r>
                        <w:rPr>
                          <w:color w:val="000000"/>
                          <w:szCs w:val="24"/>
                        </w:rPr>
                        <w:t>. asmuo, vykdęs p</w:t>
                      </w:r>
                      <w:r>
                        <w:rPr>
                          <w:bCs/>
                          <w:color w:val="000000"/>
                          <w:szCs w:val="24"/>
                        </w:rPr>
                        <w:t xml:space="preserve">elenų ir šlako apdorojimą, (toliau – cheminės medžiagos gamintojas), vadovaudamasis Statybos įstatymu ar 2011 m. kovo 9 d. Europos Parlamento ir Tarybos reglamentu (ES) Nr. 305/2011, kuriuo nustatomos suderintos statybos produktų rinkodaros sąlygos ir panaikinama Tarybos direktyva 89/106/EEB (toliau – Reglamentas (ES) Nr. 305/2011), siuntai parengia ir patvirtina darniosios ar nedarniosios sričių statybos produkto, tiekiamo Lietuvos rinkai, eksploatacinių savybių deklaraciją. Darniosios srities statybos produktų eksploatacinių savybių deklaracija rengiama pagal Reglamentą (ES) Nr. 305/2011 ir jame nustatytą formą, nedarniosios srities – pagal statybos techninį reglamentą STR 1.01.04:2015 „Statybos produktų, neturinčių darniųjų techninių specifikacijų, eksploatacinių savybių pastovumo vertinimas, tikrinimas ir deklaravimas. Bandymų laboratorijų ir sertifikavimo įstaigų paskyrimas. Nacionaliniai techniniai įvertinimai ir techninio vertinimo įstaigų paskyrimas ir paskelbimas“, patvirtinto Lietuvos Respublikos aplinkos ministro 2015 m. gruodžio 10 d. įsakymu Nr. D1-901 „Dėl Statybos techninio reglamento STR 1.01.04:2015 „Statybos produktų, neturinčių darniųjų techninių specifikacijų, eksploatacinių savybių pastovumo vertinimas, tikrinimas ir deklaravimas. Bandymų laboratorijų ir sertifikavimo įstaigų paskyrimas. Nacionaliniai techniniai įvertinimai ir techninio vertinimo įstaigų paskyrimas ir paskelbimas“ patvirtinimo ir  jame nustatytą formą; </w:t>
                      </w:r>
                    </w:p>
                  </w:sdtContent>
                </w:sdt>
                <w:sdt>
                  <w:sdtPr>
                    <w:alias w:val="19.3 pp."/>
                    <w:tag w:val="part_9ffc4d38220640258c7885b748c6b5cb"/>
                    <w:lock w:val="sdtLocked"/>
                    <w:richText/>
                  </w:sdtPr>
                  <w:sdtContent>
                    <w:p>
                      <w:pPr>
                        <w:ind w:firstLine="567"/>
                        <w:jc w:val="both"/>
                        <w:rPr>
                          <w:color w:val="000000"/>
                          <w:szCs w:val="24"/>
                        </w:rPr>
                      </w:pPr>
                      <w:sdt>
                        <w:sdtPr>
                          <w:alias w:val="Numeris"/>
                          <w:tag w:val="nr_9ffc4d38220640258c7885b748c6b5cb"/>
                          <w:lock w:val="sdtLocked"/>
                          <w:richText/>
                        </w:sdtPr>
                        <w:sdtContent>
                          <w:r>
                            <w:rPr>
                              <w:color w:val="000000"/>
                              <w:szCs w:val="24"/>
                            </w:rPr>
                            <w:t>19.3</w:t>
                          </w:r>
                        </w:sdtContent>
                      </w:sdt>
                      <w:r>
                        <w:rPr>
                          <w:color w:val="000000"/>
                          <w:szCs w:val="24"/>
                        </w:rPr>
                        <w:t xml:space="preserve">. metalų likutis pelenuose ir šlake sudaro ne daugiau kaip 5 procentus pelenų ar šlako svorio, bendros organinės anglies kiekis pelenuose ir šlake ne didesnis kaip 3 procentai pelenų ir šlako svorio, iškaitinimo nuostolis ne didesnis kaip 6 procentai, o išplovimo rodikliai neviršija         5 priede nurodytų verčių; </w:t>
                      </w:r>
                    </w:p>
                    <w:p>
                      <w:pPr>
                        <w:ind w:firstLine="567"/>
                        <w:jc w:val="both"/>
                        <w:rPr>
                          <w:color w:val="000000"/>
                          <w:szCs w:val="24"/>
                        </w:rPr>
                      </w:pPr>
                    </w:p>
                  </w:sdtContent>
                </w:sdt>
                <w:sdt>
                  <w:sdtPr>
                    <w:alias w:val="19.4 pp."/>
                    <w:tag w:val="part_ce56996c5fc34583ba39bad93e88fe8e"/>
                    <w:lock w:val="sdtLocked"/>
                    <w:richText/>
                  </w:sdtPr>
                  <w:sdtContent>
                    <w:p>
                      <w:pPr>
                        <w:widowControl w:val="0"/>
                        <w:ind w:firstLine="567"/>
                        <w:jc w:val="both"/>
                        <w:rPr>
                          <w:rFonts w:eastAsia="Courier New"/>
                          <w:szCs w:val="24"/>
                          <w:shd w:val="clear" w:color="auto" w:fill="FFFFFF"/>
                          <w:lang w:eastAsia="de-DE" w:bidi="de-DE"/>
                        </w:rPr>
                      </w:pPr>
                      <w:sdt>
                        <w:sdtPr>
                          <w:alias w:val="Numeris"/>
                          <w:tag w:val="nr_ce56996c5fc34583ba39bad93e88fe8e"/>
                          <w:lock w:val="sdtLocked"/>
                          <w:richText/>
                        </w:sdtPr>
                        <w:sdtContent>
                          <w:r>
                            <w:rPr>
                              <w:rFonts w:eastAsia="Courier New"/>
                              <w:szCs w:val="24"/>
                              <w:shd w:val="clear" w:color="auto" w:fill="FFFFFF"/>
                              <w:lang w:eastAsia="de-DE" w:bidi="de-DE"/>
                            </w:rPr>
                            <w:t>19.4</w:t>
                          </w:r>
                        </w:sdtContent>
                      </w:sdt>
                      <w:r>
                        <w:rPr>
                          <w:rFonts w:eastAsia="Courier New"/>
                          <w:szCs w:val="24"/>
                          <w:shd w:val="clear" w:color="auto" w:fill="FFFFFF"/>
                          <w:lang w:eastAsia="de-DE" w:bidi="de-DE"/>
                        </w:rPr>
                        <w:t xml:space="preserve">. pelenai ir šlakas atitinka reikalavimus dėl cheminės medžiagos registracijos, nustatytus Lietuvos Respublikos cheminių medžiagų ir cheminių mišinių įstatyme, išskyrus atvejus, kai pelenų ir šlako gaminama mažiau kaip 1 toną per metus, ar pelenų ir šlako registracijai suteikta išimtis </w:t>
                      </w:r>
                      <w:r>
                        <w:rPr>
                          <w:rFonts w:eastAsia="Lucida Sans Unicode"/>
                          <w:szCs w:val="24"/>
                          <w:lang w:eastAsia="lt-LT"/>
                        </w:rPr>
                        <w:t xml:space="preserve">produkto ir technologiniam tyrimui bei plėtrai pagal </w:t>
                      </w:r>
                      <w:r>
                        <w:t>2006 m. gruodžio 18 d. Europos Parlamento ir Tarybos reglamento (EB) Nr. 1907/2006 dėl cheminių medžiagų registracijos, įvertinimo, autorizacijos ir apribojimų (REACH), įsteigiančio Europos cheminių medžiagų agentūrą, iš dalies keičiančio Direktyvą 1999/45/EB bei panaikinančio Tarybos reglamentą (EEB) Nr. 793/93, Komisijos reglamentą (EB) Nr. 1488/94, Tarybos direktyvą 76/769/EEB ir Komisijos direktyvas 91/155/EEB, 93/67/EEB, 93/105/EB bei 2000/21/EB su visais pakeitimais</w:t>
                      </w:r>
                      <w:r>
                        <w:rPr>
                          <w:rFonts w:eastAsia="Lucida Sans Unicode"/>
                          <w:szCs w:val="24"/>
                          <w:lang w:eastAsia="lt-LT"/>
                        </w:rPr>
                        <w:t xml:space="preserve"> 9 straipsnį</w:t>
                      </w:r>
                      <w:r>
                        <w:rPr>
                          <w:rFonts w:eastAsia="Courier New"/>
                          <w:szCs w:val="24"/>
                          <w:shd w:val="clear" w:color="auto" w:fill="FFFFFF"/>
                          <w:lang w:eastAsia="de-DE" w:bidi="de-DE"/>
                        </w:rPr>
                        <w:t>.</w:t>
                      </w:r>
                    </w:p>
                  </w:sdtContent>
                </w:sdt>
                <w:sdt>
                  <w:sdtPr>
                    <w:alias w:val="19.5 pp."/>
                    <w:tag w:val="part_ba23c92aaa5c48df9cf30a6313230f0a"/>
                    <w:lock w:val="sdtLocked"/>
                    <w:richText/>
                  </w:sdtPr>
                  <w:sdtContent>
                    <w:p>
                      <w:pPr>
                        <w:widowControl w:val="0"/>
                        <w:ind w:firstLine="567"/>
                        <w:jc w:val="both"/>
                        <w:rPr>
                          <w:rFonts w:eastAsia="Courier New"/>
                          <w:szCs w:val="24"/>
                          <w:shd w:val="clear" w:color="auto" w:fill="FFFFFF"/>
                          <w:lang w:eastAsia="de-DE" w:bidi="de-DE"/>
                        </w:rPr>
                      </w:pPr>
                      <w:sdt>
                        <w:sdtPr>
                          <w:alias w:val="Numeris"/>
                          <w:tag w:val="nr_ba23c92aaa5c48df9cf30a6313230f0a"/>
                          <w:lock w:val="sdtLocked"/>
                          <w:richText/>
                        </w:sdtPr>
                        <w:sdtContent>
                          <w:r>
                            <w:rPr>
                              <w:rFonts w:eastAsia="Courier New"/>
                              <w:szCs w:val="24"/>
                              <w:shd w:val="clear" w:color="auto" w:fill="FFFFFF"/>
                              <w:lang w:eastAsia="de-DE" w:bidi="de-DE"/>
                            </w:rPr>
                            <w:t>19.5</w:t>
                          </w:r>
                        </w:sdtContent>
                      </w:sdt>
                      <w:r>
                        <w:rPr>
                          <w:rFonts w:eastAsia="Courier New"/>
                          <w:szCs w:val="24"/>
                          <w:shd w:val="clear" w:color="auto" w:fill="FFFFFF"/>
                          <w:lang w:eastAsia="de-DE" w:bidi="de-DE"/>
                        </w:rPr>
                        <w:t>. atitinka leidimo, nurodyto Reikalavimų 7 punkte, reikalavimus nustatytus pelenų ir šlako, kurie nebelaikomi atliekomis, paskirčiai panaudoti konkrečiam tikslui, techninėms charakteristikoms, taikytiniems standartams;</w:t>
                      </w:r>
                    </w:p>
                  </w:sdtContent>
                </w:sdt>
                <w:sdt>
                  <w:sdtPr>
                    <w:alias w:val="19.6 pp."/>
                    <w:tag w:val="part_1168747c0d8a4e0692c8b02ee0137f83"/>
                    <w:lock w:val="sdtLocked"/>
                    <w:richText/>
                  </w:sdtPr>
                  <w:sdtContent>
                    <w:p>
                      <w:pPr>
                        <w:widowControl w:val="0"/>
                        <w:tabs>
                          <w:tab w:val="left" w:pos="851"/>
                          <w:tab w:val="left" w:pos="993"/>
                        </w:tabs>
                        <w:ind w:firstLine="567"/>
                        <w:jc w:val="both"/>
                        <w:rPr>
                          <w:szCs w:val="24"/>
                        </w:rPr>
                      </w:pPr>
                      <w:sdt>
                        <w:sdtPr>
                          <w:alias w:val="Numeris"/>
                          <w:tag w:val="nr_1168747c0d8a4e0692c8b02ee0137f83"/>
                          <w:lock w:val="sdtLocked"/>
                          <w:richText/>
                        </w:sdtPr>
                        <w:sdtContent>
                          <w:r>
                            <w:rPr>
                              <w:rFonts w:eastAsia="Courier New"/>
                              <w:szCs w:val="24"/>
                              <w:shd w:val="clear" w:color="auto" w:fill="FFFFFF"/>
                              <w:lang w:eastAsia="de-DE" w:bidi="de-DE"/>
                            </w:rPr>
                            <w:t>19.6</w:t>
                          </w:r>
                        </w:sdtContent>
                      </w:sdt>
                      <w:r>
                        <w:rPr>
                          <w:rFonts w:eastAsia="Courier New"/>
                          <w:szCs w:val="24"/>
                          <w:shd w:val="clear" w:color="auto" w:fill="FFFFFF"/>
                          <w:lang w:eastAsia="de-DE" w:bidi="de-DE"/>
                        </w:rPr>
                        <w:t xml:space="preserve"> </w:t>
                      </w:r>
                      <w:r>
                        <w:rPr>
                          <w:bCs/>
                          <w:szCs w:val="24"/>
                        </w:rPr>
                        <w:t>cheminės medžiagos gamintojas</w:t>
                      </w:r>
                      <w:r>
                        <w:rPr>
                          <w:szCs w:val="24"/>
                        </w:rPr>
                        <w:t xml:space="preserve"> patvirtino atitikties deklaraciją, nurodytą Reikalavimų 24.1 papunktyje; </w:t>
                      </w:r>
                    </w:p>
                  </w:sdtContent>
                </w:sdt>
                <w:sdt>
                  <w:sdtPr>
                    <w:alias w:val="19.7 pp."/>
                    <w:tag w:val="part_2c3cb0413eec416f9b6e1601cf4c92df"/>
                    <w:lock w:val="sdtLocked"/>
                    <w:richText/>
                  </w:sdtPr>
                  <w:sdtContent>
                    <w:p>
                      <w:pPr>
                        <w:widowControl w:val="0"/>
                        <w:ind w:firstLine="567"/>
                        <w:jc w:val="both"/>
                        <w:rPr>
                          <w:rFonts w:eastAsia="Courier New"/>
                          <w:szCs w:val="24"/>
                          <w:shd w:val="clear" w:color="auto" w:fill="FFFFFF"/>
                          <w:lang w:eastAsia="de-DE" w:bidi="de-DE"/>
                        </w:rPr>
                      </w:pPr>
                      <w:sdt>
                        <w:sdtPr>
                          <w:alias w:val="Numeris"/>
                          <w:tag w:val="nr_2c3cb0413eec416f9b6e1601cf4c92df"/>
                          <w:lock w:val="sdtLocked"/>
                          <w:richText/>
                        </w:sdtPr>
                        <w:sdtContent>
                          <w:r>
                            <w:rPr>
                              <w:rFonts w:eastAsia="Courier New"/>
                              <w:szCs w:val="24"/>
                              <w:shd w:val="clear" w:color="auto" w:fill="FFFFFF"/>
                              <w:lang w:eastAsia="de-DE" w:bidi="de-DE"/>
                            </w:rPr>
                            <w:t>19.7</w:t>
                          </w:r>
                        </w:sdtContent>
                      </w:sdt>
                      <w:r>
                        <w:rPr>
                          <w:rFonts w:eastAsia="Courier New"/>
                          <w:szCs w:val="24"/>
                          <w:shd w:val="clear" w:color="auto" w:fill="FFFFFF"/>
                          <w:lang w:eastAsia="de-DE" w:bidi="de-DE"/>
                        </w:rPr>
                        <w:t xml:space="preserve">. </w:t>
                      </w:r>
                      <w:r>
                        <w:rPr>
                          <w:rFonts w:eastAsia="Courier New"/>
                          <w:bCs/>
                          <w:szCs w:val="24"/>
                          <w:shd w:val="clear" w:color="auto" w:fill="FFFFFF"/>
                          <w:lang w:eastAsia="de-DE" w:bidi="de-DE"/>
                        </w:rPr>
                        <w:t>cheminės medžiagos gamintojas</w:t>
                      </w:r>
                      <w:r>
                        <w:rPr>
                          <w:rFonts w:eastAsia="Courier New"/>
                          <w:szCs w:val="24"/>
                          <w:shd w:val="clear" w:color="auto" w:fill="FFFFFF"/>
                          <w:lang w:eastAsia="de-DE" w:bidi="de-DE"/>
                        </w:rPr>
                        <w:t xml:space="preserve"> pats panaudoja pelenus ir šlaką pagal paskirtį, nurodytą Reikalavimų 19.1 papunktyje, arba pateikia rinkai per 1 mėnesį nuo atitikties deklaracijos, nurodytos Reikalavimų 24.1 papunktyje, patvirtinimo. </w:t>
                      </w:r>
                    </w:p>
                  </w:sdtContent>
                </w:sdt>
              </w:sdtContent>
            </w:sdt>
            <w:sdt>
              <w:sdtPr>
                <w:alias w:val="20 p."/>
                <w:tag w:val="part_6ff02be623434f7798fd57ea035e6b67"/>
                <w:lock w:val="sdtLocked"/>
                <w:richText/>
              </w:sdtPr>
              <w:sdtContent>
                <w:p>
                  <w:pPr>
                    <w:widowControl w:val="0"/>
                    <w:ind w:firstLine="629"/>
                    <w:jc w:val="both"/>
                    <w:rPr>
                      <w:rFonts w:eastAsia="Courier New"/>
                      <w:szCs w:val="24"/>
                      <w:shd w:val="clear" w:color="auto" w:fill="FFFFFF"/>
                      <w:lang w:eastAsia="de-DE" w:bidi="de-DE"/>
                    </w:rPr>
                  </w:pPr>
                  <w:sdt>
                    <w:sdtPr>
                      <w:alias w:val="Numeris"/>
                      <w:tag w:val="nr_6ff02be623434f7798fd57ea035e6b67"/>
                      <w:lock w:val="sdtLocked"/>
                      <w:richText/>
                    </w:sdtPr>
                    <w:sdtContent>
                      <w:r>
                        <w:rPr>
                          <w:rFonts w:eastAsia="Courier New"/>
                          <w:szCs w:val="24"/>
                          <w:shd w:val="clear" w:color="auto" w:fill="FFFFFF"/>
                          <w:lang w:eastAsia="de-DE" w:bidi="de-DE"/>
                        </w:rPr>
                        <w:t>20</w:t>
                      </w:r>
                    </w:sdtContent>
                  </w:sdt>
                  <w:r>
                    <w:rPr>
                      <w:rFonts w:eastAsia="Courier New"/>
                      <w:szCs w:val="24"/>
                      <w:shd w:val="clear" w:color="auto" w:fill="FFFFFF"/>
                      <w:lang w:eastAsia="de-DE" w:bidi="de-DE"/>
                    </w:rPr>
                    <w:t xml:space="preserve">. Nepanaudoti statinių statyboje per 6 mėnesius nuo atitikties deklaracijos, nurodytos           24.1 papunktyje, patvirtinimo, pelenai ir šlakas laikomi atliekomis.</w:t>
                  </w:r>
                </w:p>
              </w:sdtContent>
            </w:sdt>
            <w:sdt>
              <w:sdtPr>
                <w:alias w:val="21 p."/>
                <w:tag w:val="part_345b47f93ed74d1c885fb83d60c0f446"/>
                <w:lock w:val="sdtLocked"/>
                <w:richText/>
              </w:sdtPr>
              <w:sdtContent>
                <w:p>
                  <w:pPr>
                    <w:widowControl w:val="0"/>
                    <w:ind w:firstLine="567"/>
                    <w:jc w:val="both"/>
                    <w:rPr>
                      <w:rFonts w:eastAsia="Courier New"/>
                      <w:szCs w:val="24"/>
                      <w:shd w:val="clear" w:color="auto" w:fill="FFFFFF"/>
                      <w:lang w:eastAsia="de-DE" w:bidi="de-DE"/>
                    </w:rPr>
                  </w:pPr>
                  <w:sdt>
                    <w:sdtPr>
                      <w:alias w:val="Numeris"/>
                      <w:tag w:val="nr_345b47f93ed74d1c885fb83d60c0f446"/>
                      <w:lock w:val="sdtLocked"/>
                      <w:richText/>
                    </w:sdtPr>
                    <w:sdtContent>
                      <w:r>
                        <w:rPr>
                          <w:rFonts w:eastAsia="Courier New"/>
                          <w:szCs w:val="24"/>
                          <w:shd w:val="clear" w:color="auto" w:fill="FFFFFF"/>
                          <w:lang w:eastAsia="de-DE" w:bidi="de-DE"/>
                        </w:rPr>
                        <w:t>21</w:t>
                      </w:r>
                    </w:sdtContent>
                  </w:sdt>
                  <w:r>
                    <w:rPr>
                      <w:rFonts w:eastAsia="Courier New"/>
                      <w:szCs w:val="24"/>
                      <w:shd w:val="clear" w:color="auto" w:fill="FFFFFF"/>
                      <w:lang w:eastAsia="de-DE" w:bidi="de-DE"/>
                    </w:rPr>
                    <w:t>.</w:t>
                  </w:r>
                  <w:r>
                    <w:rPr>
                      <w:rFonts w:eastAsia="Courier New"/>
                      <w:bCs/>
                      <w:szCs w:val="24"/>
                      <w:shd w:val="clear" w:color="auto" w:fill="FFFFFF"/>
                      <w:lang w:eastAsia="de-DE" w:bidi="de-DE"/>
                    </w:rPr>
                    <w:t xml:space="preserve"> Cheminės medžiagos gamintojas ir naudotojas turi užtikrinti, kad nelaikomi atliekomis pelenai ir šlakas (toliau – cheminė medžiaga) nedarytų neigiamo poveikio aplinkai ir (ar) žmonių sveikatai, jos vežimui, krovimui ir laikymui</w:t>
                  </w:r>
                  <w:r>
                    <w:rPr>
                      <w:rFonts w:eastAsia="Courier New"/>
                      <w:szCs w:val="24"/>
                      <w:shd w:val="clear" w:color="auto" w:fill="FFFFFF"/>
                      <w:lang w:eastAsia="de-DE" w:bidi="de-DE"/>
                    </w:rPr>
                    <w:t xml:space="preserve"> </w:t>
                  </w:r>
                  <w:r>
                    <w:rPr>
                      <w:rFonts w:eastAsia="Courier New"/>
                      <w:bCs/>
                      <w:szCs w:val="24"/>
                      <w:shd w:val="clear" w:color="auto" w:fill="FFFFFF"/>
                      <w:lang w:eastAsia="de-DE" w:bidi="de-DE"/>
                    </w:rPr>
                    <w:t>taikomi tokie pat reikalavimai, kurie nustatyti pelenams ir šlakui Reikalavimų 8 ir 11 punktuose.</w:t>
                  </w:r>
                </w:p>
              </w:sdtContent>
            </w:sdt>
            <w:sdt>
              <w:sdtPr>
                <w:alias w:val="22 p."/>
                <w:tag w:val="part_8f670279debb48dcbaf585b549d621f6"/>
                <w:lock w:val="sdtLocked"/>
                <w:richText/>
              </w:sdtPr>
              <w:sdtContent>
                <w:p>
                  <w:pPr>
                    <w:widowControl w:val="0"/>
                    <w:ind w:firstLine="567"/>
                    <w:jc w:val="both"/>
                    <w:rPr>
                      <w:rFonts w:eastAsia="Courier New"/>
                      <w:bCs/>
                      <w:szCs w:val="24"/>
                      <w:shd w:val="clear" w:color="auto" w:fill="FFFFFF"/>
                      <w:lang w:eastAsia="de-DE" w:bidi="de-DE"/>
                    </w:rPr>
                  </w:pPr>
                  <w:sdt>
                    <w:sdtPr>
                      <w:alias w:val="Numeris"/>
                      <w:tag w:val="nr_8f670279debb48dcbaf585b549d621f6"/>
                      <w:lock w:val="sdtLocked"/>
                      <w:richText/>
                    </w:sdtPr>
                    <w:sdtContent>
                      <w:r>
                        <w:rPr>
                          <w:rFonts w:eastAsia="Courier New"/>
                          <w:szCs w:val="24"/>
                          <w:shd w:val="clear" w:color="auto" w:fill="FFFFFF"/>
                          <w:lang w:eastAsia="de-DE" w:bidi="de-DE"/>
                        </w:rPr>
                        <w:t>22</w:t>
                      </w:r>
                    </w:sdtContent>
                  </w:sdt>
                  <w:r>
                    <w:rPr>
                      <w:rFonts w:eastAsia="Courier New"/>
                      <w:szCs w:val="24"/>
                      <w:shd w:val="clear" w:color="auto" w:fill="FFFFFF"/>
                      <w:lang w:eastAsia="de-DE" w:bidi="de-DE"/>
                    </w:rPr>
                    <w:t xml:space="preserve">. </w:t>
                  </w:r>
                  <w:r>
                    <w:rPr>
                      <w:rFonts w:eastAsia="Courier New"/>
                      <w:bCs/>
                      <w:szCs w:val="24"/>
                      <w:shd w:val="clear" w:color="auto" w:fill="FFFFFF"/>
                      <w:lang w:eastAsia="de-DE" w:bidi="de-DE"/>
                    </w:rPr>
                    <w:t>Cheminės medžiagos gamintojas, kuris pirmą kartą panaudoja cheminę medžiagą, kuri nebuvo pateikta rinkai, arba kuris pateikia cheminę medžiagą rinkai pirmą kartą, turi užtikrinti, kad ji atitiktų teisės aktų, taikomų cheminėms medžiagoms ir statybos produktams, reikalavimus.</w:t>
                  </w:r>
                </w:p>
              </w:sdtContent>
            </w:sdt>
            <w:sdt>
              <w:sdtPr>
                <w:alias w:val="23 p."/>
                <w:tag w:val="part_2242ef5005cb47248a17c9d04e8a69b7"/>
                <w:lock w:val="sdtLocked"/>
                <w:richText/>
              </w:sdtPr>
              <w:sdtContent>
                <w:p>
                  <w:pPr>
                    <w:ind w:firstLine="567"/>
                    <w:jc w:val="both"/>
                    <w:rPr>
                      <w:rFonts w:eastAsia="Courier New"/>
                      <w:bCs/>
                      <w:szCs w:val="24"/>
                      <w:shd w:val="clear" w:color="auto" w:fill="FFFFFF"/>
                      <w:lang w:eastAsia="de-DE" w:bidi="de-DE"/>
                    </w:rPr>
                  </w:pPr>
                  <w:sdt>
                    <w:sdtPr>
                      <w:alias w:val="Numeris"/>
                      <w:tag w:val="nr_2242ef5005cb47248a17c9d04e8a69b7"/>
                      <w:lock w:val="sdtLocked"/>
                      <w:richText/>
                    </w:sdtPr>
                    <w:sdtContent>
                      <w:r>
                        <w:rPr>
                          <w:rFonts w:eastAsia="Courier New"/>
                          <w:bCs/>
                          <w:szCs w:val="24"/>
                          <w:shd w:val="clear" w:color="auto" w:fill="FFFFFF"/>
                          <w:lang w:eastAsia="de-DE" w:bidi="de-DE"/>
                        </w:rPr>
                        <w:t>23</w:t>
                      </w:r>
                    </w:sdtContent>
                  </w:sdt>
                  <w:r>
                    <w:rPr>
                      <w:rFonts w:eastAsia="Courier New"/>
                      <w:bCs/>
                      <w:szCs w:val="24"/>
                      <w:shd w:val="clear" w:color="auto" w:fill="FFFFFF"/>
                      <w:lang w:eastAsia="de-DE" w:bidi="de-DE"/>
                    </w:rPr>
                    <w:t xml:space="preserve">. Cheminės medžiagos panaudojimas statinių statyboje turi būti numatytas statinio projekte. Statinio projektuotojas, rengdamas projektą privalo atsižvelgti į cheminės medžiagos gamintojo nurodytas savybes ir tinkamumą konkrečiam statiniui. </w:t>
                  </w:r>
                </w:p>
                <w:p>
                  <w:pPr>
                    <w:ind w:firstLine="567"/>
                    <w:jc w:val="both"/>
                    <w:rPr>
                      <w:rFonts w:eastAsia="Courier New"/>
                      <w:bCs/>
                      <w:szCs w:val="24"/>
                      <w:shd w:val="clear" w:color="auto" w:fill="FFFFFF"/>
                      <w:lang w:eastAsia="de-DE" w:bidi="de-DE"/>
                    </w:rPr>
                  </w:pPr>
                </w:p>
              </w:sdtContent>
            </w:sdt>
          </w:sdtContent>
        </w:sdt>
        <w:sdt>
          <w:sdtPr>
            <w:alias w:val="skyrius"/>
            <w:tag w:val="part_487c06e95c8142d3846a40f2ffcf9d2e"/>
            <w:lock w:val="sdtLocked"/>
            <w:richText/>
          </w:sdtPr>
          <w:sdtContent>
            <w:p>
              <w:pPr>
                <w:tabs>
                  <w:tab w:val="left" w:pos="1041"/>
                </w:tabs>
                <w:ind w:firstLine="567"/>
                <w:jc w:val="center"/>
                <w:rPr>
                  <w:b/>
                  <w:szCs w:val="24"/>
                </w:rPr>
              </w:pPr>
              <w:sdt>
                <w:sdtPr>
                  <w:alias w:val="Numeris"/>
                  <w:tag w:val="nr_487c06e95c8142d3846a40f2ffcf9d2e"/>
                  <w:lock w:val="sdtLocked"/>
                  <w:richText/>
                </w:sdtPr>
                <w:sdtContent>
                  <w:r>
                    <w:rPr>
                      <w:b/>
                      <w:szCs w:val="24"/>
                    </w:rPr>
                    <w:t>V</w:t>
                  </w:r>
                </w:sdtContent>
              </w:sdt>
              <w:r>
                <w:rPr>
                  <w:b/>
                  <w:szCs w:val="24"/>
                </w:rPr>
                <w:t xml:space="preserve"> SKYRIUS</w:t>
              </w:r>
            </w:p>
            <w:p>
              <w:pPr>
                <w:tabs>
                  <w:tab w:val="left" w:pos="1041"/>
                </w:tabs>
                <w:ind w:firstLine="567"/>
                <w:jc w:val="center"/>
                <w:rPr>
                  <w:b/>
                  <w:szCs w:val="24"/>
                </w:rPr>
              </w:pPr>
              <w:sdt>
                <w:sdtPr>
                  <w:alias w:val="Pavadinimas"/>
                  <w:tag w:val="title_487c06e95c8142d3846a40f2ffcf9d2e"/>
                  <w:lock w:val="sdtLocked"/>
                  <w:richText/>
                </w:sdtPr>
                <w:sdtContent>
                  <w:r>
                    <w:rPr>
                      <w:b/>
                      <w:szCs w:val="24"/>
                    </w:rPr>
                    <w:t xml:space="preserve">CHEMINĖS MEDŽIAGOS ATITIKTIES ATLIEKŲ NELAIKYMO KRITERIJAMS DEKLARACIJA </w:t>
                  </w:r>
                </w:sdtContent>
              </w:sdt>
            </w:p>
            <w:p>
              <w:pPr>
                <w:tabs>
                  <w:tab w:val="left" w:pos="1041"/>
                </w:tabs>
                <w:ind w:firstLine="567"/>
                <w:jc w:val="center"/>
                <w:rPr>
                  <w:b/>
                  <w:szCs w:val="24"/>
                </w:rPr>
              </w:pPr>
            </w:p>
            <w:sdt>
              <w:sdtPr>
                <w:alias w:val="24 p."/>
                <w:tag w:val="part_677b9418e0ad4532a763bb2804563f39"/>
                <w:lock w:val="sdtLocked"/>
                <w:richText/>
              </w:sdtPr>
              <w:sdtContent>
                <w:p>
                  <w:pPr>
                    <w:widowControl w:val="0"/>
                    <w:tabs>
                      <w:tab w:val="left" w:pos="606"/>
                      <w:tab w:val="left" w:pos="851"/>
                    </w:tabs>
                    <w:ind w:firstLine="567"/>
                    <w:jc w:val="both"/>
                    <w:rPr>
                      <w:szCs w:val="24"/>
                    </w:rPr>
                  </w:pPr>
                  <w:sdt>
                    <w:sdtPr>
                      <w:alias w:val="Numeris"/>
                      <w:tag w:val="nr_677b9418e0ad4532a763bb2804563f39"/>
                      <w:lock w:val="sdtLocked"/>
                      <w:richText/>
                    </w:sdtPr>
                    <w:sdtContent>
                      <w:r>
                        <w:rPr>
                          <w:szCs w:val="24"/>
                        </w:rPr>
                        <w:t>24</w:t>
                      </w:r>
                    </w:sdtContent>
                  </w:sdt>
                  <w:r>
                    <w:rPr>
                      <w:szCs w:val="24"/>
                    </w:rPr>
                    <w:t>. Cheminės medžiagos gamintojas turi:</w:t>
                  </w:r>
                </w:p>
                <w:sdt>
                  <w:sdtPr>
                    <w:alias w:val="24.1 pp."/>
                    <w:tag w:val="part_9696af0d81b1440e83eb16c63027ea58"/>
                    <w:lock w:val="sdtLocked"/>
                    <w:richText/>
                  </w:sdtPr>
                  <w:sdtContent>
                    <w:p>
                      <w:pPr>
                        <w:widowControl w:val="0"/>
                        <w:tabs>
                          <w:tab w:val="left" w:pos="851"/>
                          <w:tab w:val="left" w:pos="993"/>
                        </w:tabs>
                        <w:ind w:firstLine="567"/>
                        <w:jc w:val="both"/>
                        <w:rPr>
                          <w:szCs w:val="24"/>
                        </w:rPr>
                      </w:pPr>
                      <w:sdt>
                        <w:sdtPr>
                          <w:alias w:val="Numeris"/>
                          <w:tag w:val="nr_9696af0d81b1440e83eb16c63027ea58"/>
                          <w:lock w:val="sdtLocked"/>
                          <w:richText/>
                        </w:sdtPr>
                        <w:sdtContent>
                          <w:r>
                            <w:rPr>
                              <w:szCs w:val="24"/>
                            </w:rPr>
                            <w:t>24.1</w:t>
                          </w:r>
                        </w:sdtContent>
                      </w:sdt>
                      <w:r>
                        <w:rPr>
                          <w:szCs w:val="24"/>
                        </w:rPr>
                        <w:t>. parengti ir patvirtinti kiekvienos siuntos atitikties deklaraciją dėl cheminės medžiagos atitikties atliekų nelaikymo atliekomis kriterijams, nurodytiems Reikalavimų 19 punkte pagal Reikalavimų 6 priede nustatytą formą (toliau – atitikties deklaracija);</w:t>
                      </w:r>
                    </w:p>
                  </w:sdtContent>
                </w:sdt>
                <w:sdt>
                  <w:sdtPr>
                    <w:alias w:val="24.2 pp."/>
                    <w:tag w:val="part_92964b851f77425ab26f4750c7a8cb27"/>
                    <w:lock w:val="sdtLocked"/>
                    <w:richText/>
                  </w:sdtPr>
                  <w:sdtContent>
                    <w:p>
                      <w:pPr>
                        <w:widowControl w:val="0"/>
                        <w:tabs>
                          <w:tab w:val="left" w:pos="0"/>
                          <w:tab w:val="left" w:pos="606"/>
                        </w:tabs>
                        <w:ind w:firstLine="567"/>
                        <w:jc w:val="both"/>
                        <w:rPr>
                          <w:szCs w:val="24"/>
                        </w:rPr>
                      </w:pPr>
                      <w:sdt>
                        <w:sdtPr>
                          <w:alias w:val="Numeris"/>
                          <w:tag w:val="nr_92964b851f77425ab26f4750c7a8cb27"/>
                          <w:lock w:val="sdtLocked"/>
                          <w:richText/>
                        </w:sdtPr>
                        <w:sdtContent>
                          <w:r>
                            <w:rPr>
                              <w:szCs w:val="24"/>
                            </w:rPr>
                            <w:t>24.2</w:t>
                          </w:r>
                        </w:sdtContent>
                      </w:sdt>
                      <w:r>
                        <w:rPr>
                          <w:szCs w:val="24"/>
                        </w:rPr>
                        <w:t>. išduoti atitikties deklaraciją siuntos gavėjui;</w:t>
                      </w:r>
                    </w:p>
                  </w:sdtContent>
                </w:sdt>
                <w:sdt>
                  <w:sdtPr>
                    <w:alias w:val="24.3 pp."/>
                    <w:tag w:val="part_f2219add10964866bc35a1f1e5fca55f"/>
                    <w:lock w:val="sdtLocked"/>
                    <w:richText/>
                  </w:sdtPr>
                  <w:sdtContent>
                    <w:p>
                      <w:pPr>
                        <w:widowControl w:val="0"/>
                        <w:tabs>
                          <w:tab w:val="left" w:pos="0"/>
                          <w:tab w:val="left" w:pos="1134"/>
                        </w:tabs>
                        <w:ind w:firstLine="567"/>
                        <w:jc w:val="both"/>
                        <w:rPr>
                          <w:szCs w:val="24"/>
                        </w:rPr>
                      </w:pPr>
                      <w:sdt>
                        <w:sdtPr>
                          <w:alias w:val="Numeris"/>
                          <w:tag w:val="nr_f2219add10964866bc35a1f1e5fca55f"/>
                          <w:lock w:val="sdtLocked"/>
                          <w:richText/>
                        </w:sdtPr>
                        <w:sdtContent>
                          <w:r>
                            <w:rPr>
                              <w:szCs w:val="24"/>
                            </w:rPr>
                            <w:t>24.3</w:t>
                          </w:r>
                        </w:sdtContent>
                      </w:sdt>
                      <w:r>
                        <w:rPr>
                          <w:szCs w:val="24"/>
                        </w:rPr>
                        <w:t xml:space="preserve">.  saugoti atitikties deklaracijos kopiją ne trumpiau kaip penkerius metus po jos išdavimo dienos ir pateikti ją aplinkos apsaugos valstybinę kontrolę, statybos valstybinę priežiūrą vykdančioms ar valstybės politiką vartotojų teisių apsaugos srityje įgyvendinančioms institucijoms, joms to paprašius.</w:t>
                      </w:r>
                    </w:p>
                  </w:sdtContent>
                </w:sdt>
              </w:sdtContent>
            </w:sdt>
            <w:sdt>
              <w:sdtPr>
                <w:alias w:val="25 p."/>
                <w:tag w:val="part_a3ae8088debd40ddae49ed6088197911"/>
                <w:lock w:val="sdtLocked"/>
                <w:richText/>
              </w:sdtPr>
              <w:sdtContent>
                <w:p>
                  <w:pPr>
                    <w:widowControl w:val="0"/>
                    <w:tabs>
                      <w:tab w:val="left" w:pos="606"/>
                      <w:tab w:val="left" w:pos="851"/>
                      <w:tab w:val="left" w:pos="993"/>
                    </w:tabs>
                    <w:ind w:left="567"/>
                    <w:jc w:val="both"/>
                    <w:rPr>
                      <w:szCs w:val="24"/>
                    </w:rPr>
                  </w:pPr>
                  <w:sdt>
                    <w:sdtPr>
                      <w:alias w:val="Numeris"/>
                      <w:tag w:val="nr_a3ae8088debd40ddae49ed6088197911"/>
                      <w:lock w:val="sdtLocked"/>
                      <w:richText/>
                    </w:sdtPr>
                    <w:sdtContent>
                      <w:r>
                        <w:rPr>
                          <w:szCs w:val="24"/>
                        </w:rPr>
                        <w:t>25</w:t>
                      </w:r>
                    </w:sdtContent>
                  </w:sdt>
                  <w:r>
                    <w:rPr>
                      <w:szCs w:val="24"/>
                    </w:rPr>
                    <w:t>.</w:t>
                    <w:tab/>
                    <w:t>Atitikties deklaracija gali būti parengta ir išduota elektronine forma.</w:t>
                  </w:r>
                </w:p>
              </w:sdtContent>
            </w:sdt>
            <w:sdt>
              <w:sdtPr>
                <w:alias w:val="26 p."/>
                <w:tag w:val="part_b8f0ba0904d14ef9984814c64791dbdb"/>
                <w:lock w:val="sdtLocked"/>
                <w:richText/>
              </w:sdtPr>
              <w:sdtContent>
                <w:p>
                  <w:pPr>
                    <w:widowControl w:val="0"/>
                    <w:tabs>
                      <w:tab w:val="left" w:pos="606"/>
                      <w:tab w:val="left" w:pos="851"/>
                      <w:tab w:val="left" w:pos="993"/>
                    </w:tabs>
                    <w:ind w:firstLine="567"/>
                    <w:jc w:val="both"/>
                    <w:rPr>
                      <w:szCs w:val="24"/>
                    </w:rPr>
                  </w:pPr>
                  <w:sdt>
                    <w:sdtPr>
                      <w:alias w:val="Numeris"/>
                      <w:tag w:val="nr_b8f0ba0904d14ef9984814c64791dbdb"/>
                      <w:lock w:val="sdtLocked"/>
                      <w:richText/>
                    </w:sdtPr>
                    <w:sdtContent>
                      <w:r>
                        <w:rPr>
                          <w:szCs w:val="24"/>
                        </w:rPr>
                        <w:t>26</w:t>
                      </w:r>
                    </w:sdtContent>
                  </w:sdt>
                  <w:r>
                    <w:rPr>
                      <w:szCs w:val="24"/>
                    </w:rPr>
                    <w:t>.</w:t>
                    <w:tab/>
                    <w:t>Siuntos gavėjas turi saugoti atitikties deklaracijos kopiją ne trumpiau kaip penkerius metus po jos išdavimo dienos ir pateikti ją aplinkos apsaugos valstybinę kontrolę, statybos valstybinę priežiūrą vykdančioms ar valstybės politiką vartotojų teisių apsaugos srityje įgyvendinančioms institucijoms, joms to paprašius.</w:t>
                  </w:r>
                </w:p>
                <w:p>
                  <w:pPr>
                    <w:widowControl w:val="0"/>
                    <w:tabs>
                      <w:tab w:val="left" w:pos="606"/>
                      <w:tab w:val="left" w:pos="851"/>
                      <w:tab w:val="left" w:pos="993"/>
                    </w:tabs>
                    <w:ind w:left="567"/>
                    <w:jc w:val="both"/>
                    <w:rPr>
                      <w:szCs w:val="24"/>
                    </w:rPr>
                  </w:pPr>
                </w:p>
                <w:p>
                  <w:pPr>
                    <w:tabs>
                      <w:tab w:val="left" w:pos="606"/>
                      <w:tab w:val="left" w:pos="851"/>
                    </w:tabs>
                    <w:ind w:firstLine="567"/>
                    <w:jc w:val="center"/>
                    <w:rPr>
                      <w:b/>
                      <w:szCs w:val="24"/>
                    </w:rPr>
                  </w:pPr>
                </w:p>
                <w:p>
                  <w:pPr>
                    <w:tabs>
                      <w:tab w:val="left" w:pos="606"/>
                      <w:tab w:val="left" w:pos="851"/>
                    </w:tabs>
                    <w:ind w:firstLine="567"/>
                    <w:jc w:val="center"/>
                    <w:rPr>
                      <w:b/>
                      <w:szCs w:val="24"/>
                    </w:rPr>
                  </w:pPr>
                </w:p>
                <w:p>
                  <w:pPr>
                    <w:tabs>
                      <w:tab w:val="left" w:pos="606"/>
                      <w:tab w:val="left" w:pos="851"/>
                    </w:tabs>
                    <w:ind w:firstLine="567"/>
                    <w:jc w:val="center"/>
                    <w:rPr>
                      <w:b/>
                      <w:szCs w:val="24"/>
                    </w:rPr>
                  </w:pPr>
                </w:p>
              </w:sdtContent>
            </w:sdt>
          </w:sdtContent>
        </w:sdt>
        <w:sdt>
          <w:sdtPr>
            <w:alias w:val="skyrius"/>
            <w:tag w:val="part_3c87f62468be4bd1be85180c2f60f37d"/>
            <w:lock w:val="sdtLocked"/>
            <w:richText/>
          </w:sdtPr>
          <w:sdtContent>
            <w:p>
              <w:pPr>
                <w:tabs>
                  <w:tab w:val="left" w:pos="606"/>
                  <w:tab w:val="left" w:pos="851"/>
                </w:tabs>
                <w:ind w:firstLine="567"/>
                <w:jc w:val="center"/>
                <w:rPr>
                  <w:b/>
                  <w:szCs w:val="24"/>
                </w:rPr>
              </w:pPr>
              <w:sdt>
                <w:sdtPr>
                  <w:alias w:val="Numeris"/>
                  <w:tag w:val="nr_3c87f62468be4bd1be85180c2f60f37d"/>
                  <w:lock w:val="sdtLocked"/>
                  <w:richText/>
                </w:sdtPr>
                <w:sdtContent>
                  <w:r>
                    <w:rPr>
                      <w:b/>
                      <w:szCs w:val="24"/>
                    </w:rPr>
                    <w:t>VI</w:t>
                  </w:r>
                </w:sdtContent>
              </w:sdt>
              <w:r>
                <w:rPr>
                  <w:b/>
                  <w:szCs w:val="24"/>
                </w:rPr>
                <w:t xml:space="preserve"> SKYRIUS</w:t>
              </w:r>
            </w:p>
            <w:p>
              <w:pPr>
                <w:tabs>
                  <w:tab w:val="left" w:pos="606"/>
                  <w:tab w:val="left" w:pos="851"/>
                </w:tabs>
                <w:ind w:firstLine="567"/>
                <w:jc w:val="center"/>
                <w:rPr>
                  <w:b/>
                  <w:szCs w:val="24"/>
                </w:rPr>
              </w:pPr>
              <w:sdt>
                <w:sdtPr>
                  <w:alias w:val="Pavadinimas"/>
                  <w:tag w:val="title_3c87f62468be4bd1be85180c2f60f37d"/>
                  <w:lock w:val="sdtLocked"/>
                  <w:richText/>
                </w:sdtPr>
                <w:sdtContent>
                  <w:r>
                    <w:rPr>
                      <w:b/>
                      <w:szCs w:val="24"/>
                    </w:rPr>
                    <w:t>KOKYBĖS VALDYMO SISTEMA</w:t>
                  </w:r>
                </w:sdtContent>
              </w:sdt>
            </w:p>
            <w:p>
              <w:pPr>
                <w:tabs>
                  <w:tab w:val="left" w:pos="606"/>
                  <w:tab w:val="left" w:pos="851"/>
                  <w:tab w:val="left" w:pos="993"/>
                </w:tabs>
                <w:ind w:firstLine="567"/>
                <w:rPr>
                  <w:szCs w:val="24"/>
                </w:rPr>
              </w:pPr>
            </w:p>
            <w:sdt>
              <w:sdtPr>
                <w:alias w:val="27 p."/>
                <w:tag w:val="part_30a2578b6b754cd4b0c03273fdd5db3d"/>
                <w:lock w:val="sdtLocked"/>
                <w:richText/>
              </w:sdtPr>
              <w:sdtContent>
                <w:p>
                  <w:pPr>
                    <w:widowControl w:val="0"/>
                    <w:tabs>
                      <w:tab w:val="left" w:pos="606"/>
                      <w:tab w:val="left" w:pos="851"/>
                      <w:tab w:val="left" w:pos="993"/>
                    </w:tabs>
                    <w:ind w:firstLine="567"/>
                    <w:jc w:val="both"/>
                    <w:rPr>
                      <w:szCs w:val="24"/>
                    </w:rPr>
                  </w:pPr>
                  <w:sdt>
                    <w:sdtPr>
                      <w:alias w:val="Numeris"/>
                      <w:tag w:val="nr_30a2578b6b754cd4b0c03273fdd5db3d"/>
                      <w:lock w:val="sdtLocked"/>
                      <w:richText/>
                    </w:sdtPr>
                    <w:sdtContent>
                      <w:r>
                        <w:rPr>
                          <w:szCs w:val="24"/>
                        </w:rPr>
                        <w:t>27</w:t>
                      </w:r>
                    </w:sdtContent>
                  </w:sdt>
                  <w:r>
                    <w:rPr>
                      <w:szCs w:val="24"/>
                    </w:rPr>
                    <w:t>.</w:t>
                    <w:tab/>
                    <w:t xml:space="preserve">Cheminės medžiagos gamintojas  turi įdiegti kokybės valdymo sistemą, tinkamą įrodyti cheminės medžiagos atitiktį Reikalavimų 19-22 punktuose nustatytiems kriterijams ir sąlygoms.</w:t>
                  </w:r>
                </w:p>
              </w:sdtContent>
            </w:sdt>
            <w:sdt>
              <w:sdtPr>
                <w:alias w:val="29 p."/>
                <w:tag w:val="part_85a570199a3046a6b5f8fd2b5711dae4"/>
                <w:lock w:val="sdtLocked"/>
                <w:richText/>
              </w:sdtPr>
              <w:sdtContent>
                <w:p>
                  <w:pPr>
                    <w:widowControl w:val="0"/>
                    <w:tabs>
                      <w:tab w:val="left" w:pos="0"/>
                      <w:tab w:val="left" w:pos="567"/>
                      <w:tab w:val="left" w:pos="993"/>
                      <w:tab w:val="left" w:pos="1418"/>
                      <w:tab w:val="left" w:pos="1560"/>
                      <w:tab w:val="left" w:pos="1843"/>
                      <w:tab w:val="left" w:pos="2127"/>
                    </w:tabs>
                    <w:ind w:left="480" w:firstLine="87"/>
                    <w:jc w:val="both"/>
                    <w:rPr>
                      <w:vanish/>
                      <w:szCs w:val="24"/>
                    </w:rPr>
                  </w:pPr>
                  <w:sdt>
                    <w:sdtPr>
                      <w:alias w:val="Numeris"/>
                      <w:tag w:val="nr_85a570199a3046a6b5f8fd2b5711dae4"/>
                      <w:lock w:val="sdtLocked"/>
                      <w:richText/>
                    </w:sdtPr>
                    <w:sdtContent>
                      <w:r>
                        <w:rPr>
                          <w:vanish/>
                          <w:szCs w:val="24"/>
                        </w:rPr>
                        <w:t>29</w:t>
                      </w:r>
                    </w:sdtContent>
                  </w:sdt>
                  <w:r>
                    <w:rPr>
                      <w:vanish/>
                      <w:szCs w:val="24"/>
                    </w:rPr>
                    <w:t>.</w:t>
                    <w:tab/>
                  </w:r>
                  <w:r>
                    <w:rPr>
                      <w:szCs w:val="24"/>
                    </w:rPr>
                    <w:t>Kokybės valdymo sistemos aprašyme turi būti pateikiama ši informacija:</w:t>
                  </w:r>
                </w:p>
                <w:p>
                  <w:pPr>
                    <w:widowControl w:val="0"/>
                    <w:tabs>
                      <w:tab w:val="left" w:pos="0"/>
                      <w:tab w:val="left" w:pos="567"/>
                      <w:tab w:val="left" w:pos="1276"/>
                      <w:tab w:val="left" w:pos="1418"/>
                      <w:tab w:val="left" w:pos="1560"/>
                      <w:tab w:val="left" w:pos="1843"/>
                      <w:tab w:val="left" w:pos="2127"/>
                    </w:tabs>
                    <w:jc w:val="both"/>
                    <w:rPr>
                      <w:szCs w:val="24"/>
                    </w:rPr>
                  </w:pPr>
                </w:p>
                <w:sdt>
                  <w:sdtPr>
                    <w:alias w:val="29.1 pp."/>
                    <w:tag w:val="part_f8c6f817dc774f9ba2e48d0a607dfb1c"/>
                    <w:lock w:val="sdtLocked"/>
                    <w:richText/>
                  </w:sdtPr>
                  <w:sdtContent>
                    <w:p>
                      <w:pPr>
                        <w:widowControl w:val="0"/>
                        <w:tabs>
                          <w:tab w:val="left" w:pos="0"/>
                          <w:tab w:val="left" w:pos="567"/>
                          <w:tab w:val="left" w:pos="1276"/>
                          <w:tab w:val="left" w:pos="1418"/>
                          <w:tab w:val="left" w:pos="1560"/>
                          <w:tab w:val="left" w:pos="1843"/>
                          <w:tab w:val="left" w:pos="2127"/>
                        </w:tabs>
                        <w:ind w:firstLine="558"/>
                        <w:jc w:val="both"/>
                        <w:rPr>
                          <w:szCs w:val="24"/>
                        </w:rPr>
                      </w:pPr>
                      <w:sdt>
                        <w:sdtPr>
                          <w:alias w:val="Numeris"/>
                          <w:tag w:val="nr_f8c6f817dc774f9ba2e48d0a607dfb1c"/>
                          <w:lock w:val="sdtLocked"/>
                          <w:richText/>
                        </w:sdtPr>
                        <w:sdtContent>
                          <w:r>
                            <w:rPr>
                              <w:szCs w:val="24"/>
                            </w:rPr>
                            <w:t>29.1</w:t>
                          </w:r>
                        </w:sdtContent>
                      </w:sdt>
                      <w:r>
                        <w:rPr>
                          <w:szCs w:val="24"/>
                        </w:rPr>
                        <w:t>. pelenų ir šlako atliekų apdorojimo procesų ir metodų stebėsena;</w:t>
                      </w:r>
                    </w:p>
                  </w:sdtContent>
                </w:sdt>
                <w:sdt>
                  <w:sdtPr>
                    <w:alias w:val="29.2 pp."/>
                    <w:tag w:val="part_9cf28d31155443b8b9298bc86da18d3d"/>
                    <w:lock w:val="sdtLocked"/>
                    <w:richText/>
                  </w:sdtPr>
                  <w:sdtContent>
                    <w:p>
                      <w:pPr>
                        <w:tabs>
                          <w:tab w:val="left" w:pos="1134"/>
                        </w:tabs>
                        <w:ind w:firstLine="567"/>
                        <w:jc w:val="both"/>
                        <w:rPr>
                          <w:szCs w:val="24"/>
                        </w:rPr>
                      </w:pPr>
                      <w:sdt>
                        <w:sdtPr>
                          <w:alias w:val="Numeris"/>
                          <w:tag w:val="nr_9cf28d31155443b8b9298bc86da18d3d"/>
                          <w:lock w:val="sdtLocked"/>
                          <w:richText/>
                        </w:sdtPr>
                        <w:sdtContent>
                          <w:r>
                            <w:rPr>
                              <w:szCs w:val="24"/>
                            </w:rPr>
                            <w:t>29.2</w:t>
                          </w:r>
                        </w:sdtContent>
                      </w:sdt>
                      <w:r>
                        <w:rPr>
                          <w:szCs w:val="24"/>
                        </w:rPr>
                        <w:t xml:space="preserve">. cheminės medžiagos atitikimo kriterijams ir sąlygoms, nurodytiems Reikalavimų       19-22 punktuose, atitikimo stebėsena;</w:t>
                      </w:r>
                    </w:p>
                  </w:sdtContent>
                </w:sdt>
                <w:sdt>
                  <w:sdtPr>
                    <w:alias w:val="29.3 pp."/>
                    <w:tag w:val="part_fef3b973b7044aeb9d48049fbf1fd100"/>
                    <w:lock w:val="sdtLocked"/>
                    <w:richText/>
                  </w:sdtPr>
                  <w:sdtContent>
                    <w:p>
                      <w:pPr>
                        <w:widowControl w:val="0"/>
                        <w:tabs>
                          <w:tab w:val="left" w:pos="1134"/>
                          <w:tab w:val="left" w:pos="1418"/>
                          <w:tab w:val="left" w:pos="1560"/>
                          <w:tab w:val="left" w:pos="1843"/>
                          <w:tab w:val="left" w:pos="2127"/>
                        </w:tabs>
                        <w:ind w:firstLine="567"/>
                        <w:jc w:val="both"/>
                        <w:rPr>
                          <w:spacing w:val="-5"/>
                          <w:szCs w:val="24"/>
                        </w:rPr>
                      </w:pPr>
                      <w:sdt>
                        <w:sdtPr>
                          <w:alias w:val="Numeris"/>
                          <w:tag w:val="nr_fef3b973b7044aeb9d48049fbf1fd100"/>
                          <w:lock w:val="sdtLocked"/>
                          <w:richText/>
                        </w:sdtPr>
                        <w:sdtContent>
                          <w:r>
                            <w:rPr>
                              <w:spacing w:val="-5"/>
                              <w:szCs w:val="24"/>
                            </w:rPr>
                            <w:t>29.3</w:t>
                          </w:r>
                        </w:sdtContent>
                      </w:sdt>
                      <w:r>
                        <w:rPr>
                          <w:spacing w:val="-5"/>
                          <w:szCs w:val="24"/>
                        </w:rPr>
                        <w:t>. cheminės medžiagos kokybės stebėsena, įskaitant apdorotų pelenų ir šlako ėminių ėmimą ir analizę, kaip nustatyta Reikalavimų 15-17 punktuose;</w:t>
                      </w:r>
                    </w:p>
                  </w:sdtContent>
                </w:sdt>
                <w:sdt>
                  <w:sdtPr>
                    <w:alias w:val="29.4 pp."/>
                    <w:tag w:val="part_c8faa17106b043f4a5db0922be5d1f31"/>
                    <w:lock w:val="sdtLocked"/>
                    <w:richText/>
                  </w:sdtPr>
                  <w:sdtContent>
                    <w:p>
                      <w:pPr>
                        <w:tabs>
                          <w:tab w:val="left" w:pos="1134"/>
                        </w:tabs>
                        <w:ind w:left="567"/>
                        <w:rPr>
                          <w:szCs w:val="24"/>
                        </w:rPr>
                      </w:pPr>
                      <w:sdt>
                        <w:sdtPr>
                          <w:alias w:val="Numeris"/>
                          <w:tag w:val="nr_c8faa17106b043f4a5db0922be5d1f31"/>
                          <w:lock w:val="sdtLocked"/>
                          <w:richText/>
                        </w:sdtPr>
                        <w:sdtContent>
                          <w:r>
                            <w:rPr>
                              <w:szCs w:val="24"/>
                            </w:rPr>
                            <w:t>29.4</w:t>
                          </w:r>
                        </w:sdtContent>
                      </w:sdt>
                      <w:r>
                        <w:rPr>
                          <w:szCs w:val="24"/>
                        </w:rPr>
                        <w:t>. dokumentų pagal Reikalavimų 1, 3 ir 6 priedus rengimas ir saugojimas;</w:t>
                      </w:r>
                    </w:p>
                  </w:sdtContent>
                </w:sdt>
                <w:sdt>
                  <w:sdtPr>
                    <w:alias w:val="29.5 pp."/>
                    <w:tag w:val="part_62db0c74690349c190324b5fdd5f4816"/>
                    <w:lock w:val="sdtLocked"/>
                    <w:richText/>
                  </w:sdtPr>
                  <w:sdtContent>
                    <w:p>
                      <w:pPr>
                        <w:widowControl w:val="0"/>
                        <w:tabs>
                          <w:tab w:val="left" w:pos="851"/>
                          <w:tab w:val="left" w:pos="1134"/>
                          <w:tab w:val="left" w:pos="1276"/>
                          <w:tab w:val="left" w:pos="1418"/>
                          <w:tab w:val="left" w:pos="1560"/>
                          <w:tab w:val="left" w:pos="1843"/>
                          <w:tab w:val="left" w:pos="2127"/>
                        </w:tabs>
                        <w:ind w:left="567"/>
                        <w:jc w:val="both"/>
                        <w:rPr>
                          <w:spacing w:val="-5"/>
                          <w:szCs w:val="24"/>
                        </w:rPr>
                      </w:pPr>
                      <w:sdt>
                        <w:sdtPr>
                          <w:alias w:val="Numeris"/>
                          <w:tag w:val="nr_62db0c74690349c190324b5fdd5f4816"/>
                          <w:lock w:val="sdtLocked"/>
                          <w:richText/>
                        </w:sdtPr>
                        <w:sdtContent>
                          <w:r>
                            <w:rPr>
                              <w:spacing w:val="-5"/>
                              <w:szCs w:val="24"/>
                            </w:rPr>
                            <w:t>29.5</w:t>
                          </w:r>
                        </w:sdtContent>
                      </w:sdt>
                      <w:r>
                        <w:rPr>
                          <w:spacing w:val="-5"/>
                          <w:szCs w:val="24"/>
                        </w:rPr>
                        <w:t>. siuntos ženklinimo, pakavimo ir laikymo procesų aprašymai;</w:t>
                      </w:r>
                    </w:p>
                  </w:sdtContent>
                </w:sdt>
                <w:sdt>
                  <w:sdtPr>
                    <w:alias w:val="29.6 pp."/>
                    <w:tag w:val="part_d5736fdb2e5c492dbf8a568b011e7652"/>
                    <w:lock w:val="sdtLocked"/>
                    <w:richText/>
                  </w:sdtPr>
                  <w:sdtContent>
                    <w:p>
                      <w:pPr>
                        <w:tabs>
                          <w:tab w:val="left" w:pos="1134"/>
                        </w:tabs>
                        <w:ind w:firstLine="567"/>
                        <w:jc w:val="both"/>
                        <w:rPr>
                          <w:spacing w:val="-5"/>
                          <w:szCs w:val="24"/>
                        </w:rPr>
                      </w:pPr>
                      <w:sdt>
                        <w:sdtPr>
                          <w:alias w:val="Numeris"/>
                          <w:tag w:val="nr_d5736fdb2e5c492dbf8a568b011e7652"/>
                          <w:lock w:val="sdtLocked"/>
                          <w:richText/>
                        </w:sdtPr>
                        <w:sdtContent>
                          <w:r>
                            <w:rPr>
                              <w:spacing w:val="-5"/>
                              <w:szCs w:val="24"/>
                            </w:rPr>
                            <w:t>29.6</w:t>
                          </w:r>
                        </w:sdtContent>
                      </w:sdt>
                      <w:r>
                        <w:rPr>
                          <w:spacing w:val="-5"/>
                          <w:szCs w:val="24"/>
                        </w:rPr>
                        <w:t xml:space="preserve">. specialistų, atsakingų už cheminės medžiagos atitiktį Reikalavimų 19-22 punktuose nustatytiems kriterijams ir sąlygoms, vardas, pavardė, pareigos ir kvalifikacija. Duomenys tvarkomi vadovaujantis reikalavimais, nustatytais </w:t>
                      </w:r>
                      <w:r>
                        <w:rPr>
                          <w:iCs/>
                          <w:spacing w:val="-5"/>
                          <w:szCs w:val="24"/>
                        </w:rPr>
                        <w:t>2016 m</w:t>
                      </w:r>
                      <w:r>
                        <w:rPr>
                          <w:spacing w:val="-5"/>
                          <w:szCs w:val="24"/>
                        </w:rPr>
                        <w:t xml:space="preserve">. </w:t>
                      </w:r>
                      <w:r>
                        <w:rPr>
                          <w:iCs/>
                          <w:spacing w:val="-5"/>
                          <w:szCs w:val="24"/>
                        </w:rPr>
                        <w:t>balandžio 27 d</w:t>
                      </w:r>
                      <w:r>
                        <w:rPr>
                          <w:spacing w:val="-5"/>
                          <w:szCs w:val="24"/>
                        </w:rPr>
                        <w:t xml:space="preserve">. </w:t>
                      </w:r>
                      <w:r>
                        <w:rPr>
                          <w:iCs/>
                          <w:spacing w:val="-5"/>
                          <w:szCs w:val="24"/>
                        </w:rPr>
                        <w:t>Europos Parlamento</w:t>
                      </w:r>
                      <w:r>
                        <w:rPr>
                          <w:spacing w:val="-5"/>
                          <w:szCs w:val="24"/>
                        </w:rPr>
                        <w:t xml:space="preserve"> ir </w:t>
                      </w:r>
                      <w:r>
                        <w:rPr>
                          <w:iCs/>
                          <w:spacing w:val="-5"/>
                          <w:szCs w:val="24"/>
                        </w:rPr>
                        <w:t>Tarybos reglamente</w:t>
                      </w:r>
                      <w:r>
                        <w:rPr>
                          <w:spacing w:val="-5"/>
                          <w:szCs w:val="24"/>
                        </w:rPr>
                        <w:t xml:space="preserve"> (</w:t>
                      </w:r>
                      <w:r>
                        <w:rPr>
                          <w:iCs/>
                          <w:spacing w:val="-5"/>
                          <w:szCs w:val="24"/>
                        </w:rPr>
                        <w:t>ES</w:t>
                      </w:r>
                      <w:r>
                        <w:rPr>
                          <w:spacing w:val="-5"/>
                          <w:szCs w:val="24"/>
                        </w:rPr>
                        <w:t xml:space="preserve">) </w:t>
                      </w:r>
                      <w:r>
                        <w:rPr>
                          <w:iCs/>
                          <w:spacing w:val="-5"/>
                          <w:szCs w:val="24"/>
                        </w:rPr>
                        <w:t>2016/679</w:t>
                      </w:r>
                      <w:r>
                        <w:rPr>
                          <w:spacing w:val="-5"/>
                          <w:szCs w:val="24"/>
                        </w:rPr>
                        <w:t xml:space="preserve"> dėl </w:t>
                      </w:r>
                      <w:r>
                        <w:rPr>
                          <w:iCs/>
                          <w:spacing w:val="-5"/>
                          <w:szCs w:val="24"/>
                        </w:rPr>
                        <w:t>fizinių asmenų apsaugos tvarkant asmens duomenų</w:t>
                      </w:r>
                      <w:r>
                        <w:rPr>
                          <w:spacing w:val="-5"/>
                          <w:szCs w:val="24"/>
                        </w:rPr>
                        <w:t xml:space="preserve"> ir dėl </w:t>
                      </w:r>
                      <w:r>
                        <w:rPr>
                          <w:iCs/>
                          <w:spacing w:val="-5"/>
                          <w:szCs w:val="24"/>
                        </w:rPr>
                        <w:t>laisvo tokių duomenų judėjimo</w:t>
                      </w:r>
                      <w:r>
                        <w:rPr>
                          <w:spacing w:val="-5"/>
                          <w:szCs w:val="24"/>
                        </w:rPr>
                        <w:t xml:space="preserve"> ir </w:t>
                      </w:r>
                      <w:r>
                        <w:rPr>
                          <w:iCs/>
                          <w:spacing w:val="-5"/>
                          <w:szCs w:val="24"/>
                        </w:rPr>
                        <w:t>kuriuo panaikinama Direktyva 95/46</w:t>
                      </w:r>
                      <w:r>
                        <w:rPr>
                          <w:spacing w:val="-5"/>
                          <w:szCs w:val="24"/>
                        </w:rPr>
                        <w:t xml:space="preserve">/EB (Bendrasis </w:t>
                      </w:r>
                      <w:r>
                        <w:rPr>
                          <w:iCs/>
                          <w:spacing w:val="-5"/>
                          <w:szCs w:val="24"/>
                        </w:rPr>
                        <w:t>duomenų apsaugos reglamentas</w:t>
                      </w:r>
                      <w:r>
                        <w:rPr>
                          <w:spacing w:val="-5"/>
                          <w:szCs w:val="24"/>
                        </w:rPr>
                        <w:t>);</w:t>
                      </w:r>
                    </w:p>
                  </w:sdtContent>
                </w:sdt>
                <w:sdt>
                  <w:sdtPr>
                    <w:alias w:val="29.7 pp."/>
                    <w:tag w:val="part_3c2d66149b964772a943971c8b313b96"/>
                    <w:lock w:val="sdtLocked"/>
                    <w:richText/>
                  </w:sdtPr>
                  <w:sdtContent>
                    <w:p>
                      <w:pPr>
                        <w:ind w:firstLine="620"/>
                        <w:rPr>
                          <w:spacing w:val="-5"/>
                          <w:szCs w:val="24"/>
                        </w:rPr>
                      </w:pPr>
                      <w:sdt>
                        <w:sdtPr>
                          <w:alias w:val="Numeris"/>
                          <w:tag w:val="nr_3c2d66149b964772a943971c8b313b96"/>
                          <w:lock w:val="sdtLocked"/>
                          <w:richText/>
                        </w:sdtPr>
                        <w:sdtContent>
                          <w:r>
                            <w:rPr>
                              <w:spacing w:val="-5"/>
                              <w:szCs w:val="24"/>
                            </w:rPr>
                            <w:t>29.7</w:t>
                          </w:r>
                        </w:sdtContent>
                      </w:sdt>
                      <w:r>
                        <w:rPr>
                          <w:spacing w:val="-5"/>
                          <w:szCs w:val="24"/>
                        </w:rPr>
                        <w:t>. cheminės medžiagos pirkėjų atsiliepimai apie cheminės medžiagos kokybę.</w:t>
                      </w:r>
                    </w:p>
                  </w:sdtContent>
                </w:sdt>
              </w:sdtContent>
            </w:sdt>
            <w:sdt>
              <w:sdtPr>
                <w:alias w:val="30 p."/>
                <w:tag w:val="part_d08528d7ce794dc88baeb4cdd8d1e981"/>
                <w:lock w:val="sdtLocked"/>
                <w:richText/>
              </w:sdtPr>
              <w:sdtContent>
                <w:p>
                  <w:pPr>
                    <w:widowControl w:val="0"/>
                    <w:tabs>
                      <w:tab w:val="left" w:pos="993"/>
                      <w:tab w:val="left" w:pos="1140"/>
                    </w:tabs>
                    <w:ind w:firstLine="567"/>
                    <w:jc w:val="both"/>
                    <w:rPr>
                      <w:spacing w:val="-5"/>
                      <w:szCs w:val="24"/>
                    </w:rPr>
                  </w:pPr>
                  <w:sdt>
                    <w:sdtPr>
                      <w:alias w:val="Numeris"/>
                      <w:tag w:val="nr_d08528d7ce794dc88baeb4cdd8d1e981"/>
                      <w:lock w:val="sdtLocked"/>
                      <w:richText/>
                    </w:sdtPr>
                    <w:sdtContent>
                      <w:r>
                        <w:rPr>
                          <w:spacing w:val="-5"/>
                          <w:szCs w:val="24"/>
                        </w:rPr>
                        <w:t>30</w:t>
                      </w:r>
                    </w:sdtContent>
                  </w:sdt>
                  <w:r>
                    <w:rPr>
                      <w:spacing w:val="-5"/>
                      <w:szCs w:val="24"/>
                    </w:rPr>
                    <w:t>.</w:t>
                    <w:tab/>
                    <w:t xml:space="preserve">Aplinkos apsaugos departamentui prie Aplinkos ministerijos paprašius, cheminės medžiagos gamintojas </w:t>
                  </w:r>
                  <w:r>
                    <w:rPr>
                      <w:bCs/>
                      <w:spacing w:val="-5"/>
                      <w:szCs w:val="24"/>
                    </w:rPr>
                    <w:t xml:space="preserve"> </w:t>
                  </w:r>
                  <w:r>
                    <w:rPr>
                      <w:spacing w:val="-5"/>
                      <w:szCs w:val="24"/>
                    </w:rPr>
                    <w:t>leidžia susipažinti su kokybės valdymo sistema.</w:t>
                  </w:r>
                </w:p>
                <w:p>
                  <w:pPr>
                    <w:ind w:firstLine="567"/>
                    <w:jc w:val="center"/>
                    <w:rPr>
                      <w:spacing w:val="-5"/>
                      <w:szCs w:val="24"/>
                    </w:rPr>
                  </w:pPr>
                </w:p>
                <w:p>
                  <w:pPr>
                    <w:ind w:firstLine="567"/>
                    <w:jc w:val="center"/>
                  </w:pPr>
                  <w:r>
                    <w:rPr>
                      <w:color w:val="000000"/>
                      <w:szCs w:val="24"/>
                      <w:lang w:eastAsia="lt-LT"/>
                    </w:rPr>
                    <w:t>___________________________________</w:t>
                  </w:r>
                </w:p>
                <w:p>
                  <w:pPr>
                    <w:jc w:val="right"/>
                  </w:pPr>
                </w:p>
                <w:p>
                  <w:pPr>
                    <w:jc w:val="right"/>
                  </w:pPr>
                </w:p>
                <w:p>
                  <w:pPr>
                    <w:jc w:val="right"/>
                    <w:sectPr>
                      <w:footnotePr>
                        <w:pos w:val="beneathText"/>
                      </w:footnotePr>
                      <w:pgSz w:w="11905" w:h="16837" w:code="9"/>
                      <w:pgMar w:top="1134" w:right="567" w:bottom="1134" w:left="1701" w:header="794" w:footer="919" w:gutter="0"/>
                      <w:cols w:space="1296"/>
                      <w:formProt w:val="0"/>
                      <w:titlePg/>
                      <w:docGrid w:linePitch="360"/>
                    </w:sectPr>
                  </w:pPr>
                </w:p>
                <w:p>
                  <w:pPr>
                    <w:tabs>
                      <w:tab w:val="center" w:pos="4986"/>
                      <w:tab w:val="right" w:pos="9972"/>
                    </w:tabs>
                  </w:pPr>
                </w:p>
              </w:sdtContent>
            </w:sdt>
          </w:sdtContent>
        </w:sdt>
      </w:sdtContent>
    </w:sdt>
    <w:sdt>
      <w:sdtPr>
        <w:alias w:val="1 pr."/>
        <w:tag w:val="part_ce93810251ee4524982eab10cc559cc0"/>
        <w:lock w:val="sdtLocked"/>
        <w:richText/>
      </w:sdtPr>
      <w:sdtContent>
        <w:p>
          <w:pPr>
            <w:jc w:val="right"/>
          </w:pPr>
          <w:r>
            <w:t xml:space="preserve">Atliekų deginimo ir bendro atliekų deginimo </w:t>
          </w:r>
        </w:p>
        <w:p>
          <w:pPr>
            <w:ind w:firstLine="5387"/>
            <w:jc w:val="both"/>
          </w:pPr>
          <w:r>
            <w:t xml:space="preserve">pelenų ir šlako tvarkymo </w:t>
          </w:r>
        </w:p>
        <w:p>
          <w:pPr>
            <w:ind w:firstLine="5387"/>
          </w:pPr>
          <w:r>
            <w:t xml:space="preserve">ir naudojimo taisyklių </w:t>
          </w:r>
        </w:p>
        <w:p>
          <w:pPr>
            <w:ind w:left="5040" w:firstLine="310"/>
          </w:pPr>
          <w:sdt>
            <w:sdtPr>
              <w:alias w:val="Numeris"/>
              <w:tag w:val="nr_ce93810251ee4524982eab10cc559cc0"/>
              <w:lock w:val="sdtLocked"/>
              <w:richText/>
            </w:sdtPr>
            <w:sdtContent>
              <w:r>
                <w:t>1</w:t>
              </w:r>
            </w:sdtContent>
          </w:sdt>
          <w:r>
            <w:t xml:space="preserve"> priedas </w:t>
          </w:r>
        </w:p>
        <w:p>
          <w:pPr>
            <w:ind w:firstLine="567"/>
            <w:jc w:val="both"/>
            <w:rPr>
              <w:color w:val="000000"/>
              <w:szCs w:val="24"/>
              <w:lang w:eastAsia="lt-LT"/>
            </w:rPr>
          </w:pPr>
        </w:p>
        <w:p>
          <w:pPr>
            <w:ind w:firstLine="567"/>
            <w:jc w:val="both"/>
            <w:rPr>
              <w:color w:val="000000"/>
              <w:szCs w:val="24"/>
              <w:lang w:eastAsia="lt-LT"/>
            </w:rPr>
          </w:pPr>
        </w:p>
        <w:p>
          <w:pPr>
            <w:jc w:val="center"/>
            <w:rPr>
              <w:b/>
            </w:rPr>
          </w:pPr>
          <w:sdt>
            <w:sdtPr>
              <w:alias w:val="Pavadinimas"/>
              <w:tag w:val="title_ce93810251ee4524982eab10cc559cc0"/>
              <w:lock w:val="sdtLocked"/>
              <w:richText/>
            </w:sdtPr>
            <w:sdtContent>
              <w:r>
                <w:rPr>
                  <w:b/>
                </w:rPr>
                <w:t xml:space="preserve">PELENŲ IR ŠLAKO APDOROJIMO ŽURNALAS 20__ m. </w:t>
              </w:r>
            </w:sdtContent>
          </w:sdt>
        </w:p>
        <w:p/>
        <w:tbl>
          <w:tblPr>
            <w:tblW w:w="446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1"/>
            <w:gridCol w:w="4681"/>
            <w:gridCol w:w="2883"/>
          </w:tblGrid>
          <w:tr>
            <w:tc>
              <w:tcPr>
                <w:tcW w:w="705" w:type="pct"/>
                <w:tcBorders>
                  <w:top w:val="single" w:sz="4" w:space="0" w:color="auto"/>
                  <w:left w:val="single" w:sz="4" w:space="0" w:color="auto"/>
                  <w:bottom w:val="single" w:sz="4" w:space="0" w:color="auto"/>
                  <w:right w:val="single" w:sz="4" w:space="0" w:color="auto"/>
                </w:tcBorders>
              </w:tcPr>
              <w:p>
                <w:pPr>
                  <w:widowControl w:val="0"/>
                  <w:spacing w:line="360" w:lineRule="auto"/>
                  <w:ind w:hanging="720"/>
                  <w:jc w:val="center"/>
                </w:pPr>
                <w:r>
                  <w:t>I.</w:t>
                  <w:tab/>
                  <w:t>I. Eil. Nr.</w:t>
                </w:r>
              </w:p>
            </w:tc>
            <w:tc>
              <w:tcPr>
                <w:tcW w:w="2658" w:type="pct"/>
                <w:tcBorders>
                  <w:top w:val="single" w:sz="4" w:space="0" w:color="auto"/>
                  <w:left w:val="single" w:sz="4" w:space="0" w:color="auto"/>
                  <w:bottom w:val="single" w:sz="4" w:space="0" w:color="auto"/>
                  <w:right w:val="single" w:sz="4" w:space="0" w:color="auto"/>
                </w:tcBorders>
              </w:tcPr>
              <w:p>
                <w:pPr>
                  <w:widowControl w:val="0"/>
                  <w:spacing w:line="360" w:lineRule="auto"/>
                  <w:ind w:left="1440"/>
                  <w:jc w:val="center"/>
                  <w:rPr>
                    <w:b/>
                  </w:rPr>
                </w:pPr>
                <w:r>
                  <w:rPr>
                    <w:b/>
                  </w:rPr>
                  <w:t>II. Data</w:t>
                </w:r>
              </w:p>
            </w:tc>
            <w:tc>
              <w:tcPr>
                <w:tcW w:w="1637" w:type="pct"/>
                <w:tcBorders>
                  <w:top w:val="single" w:sz="4" w:space="0" w:color="auto"/>
                  <w:left w:val="single" w:sz="4" w:space="0" w:color="auto"/>
                  <w:bottom w:val="single" w:sz="4" w:space="0" w:color="auto"/>
                  <w:right w:val="single" w:sz="4" w:space="0" w:color="auto"/>
                </w:tcBorders>
              </w:tcPr>
              <w:p>
                <w:pPr>
                  <w:widowControl w:val="0"/>
                  <w:spacing w:line="360" w:lineRule="auto"/>
                  <w:ind w:left="315"/>
                  <w:jc w:val="center"/>
                  <w:rPr>
                    <w:rFonts w:ascii="Arial" w:hAnsi="Arial" w:cs="Arial"/>
                    <w:b/>
                    <w:szCs w:val="24"/>
                    <w:lang w:eastAsia="lt-LT"/>
                  </w:rPr>
                </w:pPr>
                <w:r>
                  <w:rPr>
                    <w:b/>
                  </w:rPr>
                  <w:t>III. Nr. 1</w:t>
                </w:r>
              </w:p>
            </w:tc>
          </w:tr>
          <w:tr>
            <w:tc>
              <w:tcPr>
                <w:tcW w:w="705" w:type="pct"/>
                <w:tcBorders>
                  <w:top w:val="single" w:sz="4" w:space="0" w:color="auto"/>
                  <w:left w:val="single" w:sz="4" w:space="0" w:color="auto"/>
                  <w:bottom w:val="single" w:sz="4" w:space="0" w:color="auto"/>
                  <w:right w:val="single" w:sz="4" w:space="0" w:color="auto"/>
                </w:tcBorders>
              </w:tcPr>
              <w:p>
                <w:pPr>
                  <w:widowControl w:val="0"/>
                  <w:spacing w:line="360" w:lineRule="auto"/>
                  <w:ind w:left="720" w:hanging="360"/>
                </w:pPr>
                <w:r>
                  <w:t>1.</w:t>
                  <w:tab/>
                </w:r>
              </w:p>
            </w:tc>
            <w:tc>
              <w:tcPr>
                <w:tcW w:w="2658"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hAnsi="Arial" w:cs="Arial"/>
                    <w:szCs w:val="24"/>
                    <w:lang w:eastAsia="lt-LT"/>
                  </w:rPr>
                </w:pPr>
                <w:r>
                  <w:t xml:space="preserve">Kaupo Nr. </w:t>
                </w:r>
              </w:p>
            </w:tc>
            <w:tc>
              <w:tcPr>
                <w:tcW w:w="1637" w:type="pct"/>
                <w:tcBorders>
                  <w:top w:val="single" w:sz="4" w:space="0" w:color="auto"/>
                  <w:left w:val="single" w:sz="4" w:space="0" w:color="auto"/>
                  <w:bottom w:val="single" w:sz="4" w:space="0" w:color="auto"/>
                  <w:right w:val="single" w:sz="4" w:space="0" w:color="auto"/>
                </w:tcBorders>
              </w:tcPr>
              <w:p>
                <w:pPr>
                  <w:widowControl w:val="0"/>
                  <w:spacing w:line="360" w:lineRule="auto"/>
                  <w:rPr>
                    <w:rFonts w:ascii="Arial" w:hAnsi="Arial" w:cs="Arial"/>
                    <w:szCs w:val="24"/>
                    <w:lang w:eastAsia="lt-LT"/>
                  </w:rPr>
                </w:pPr>
              </w:p>
            </w:tc>
          </w:tr>
          <w:tr>
            <w:tc>
              <w:tcPr>
                <w:tcW w:w="705" w:type="pct"/>
                <w:tcBorders>
                  <w:top w:val="single" w:sz="4" w:space="0" w:color="auto"/>
                  <w:left w:val="single" w:sz="4" w:space="0" w:color="auto"/>
                  <w:bottom w:val="single" w:sz="4" w:space="0" w:color="auto"/>
                  <w:right w:val="single" w:sz="4" w:space="0" w:color="auto"/>
                </w:tcBorders>
              </w:tcPr>
              <w:p>
                <w:pPr>
                  <w:widowControl w:val="0"/>
                  <w:spacing w:line="360" w:lineRule="auto"/>
                  <w:ind w:left="720" w:hanging="360"/>
                </w:pPr>
                <w:r>
                  <w:t>2.</w:t>
                  <w:tab/>
                </w:r>
              </w:p>
            </w:tc>
            <w:tc>
              <w:tcPr>
                <w:tcW w:w="2658"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hAnsi="Arial" w:cs="Arial"/>
                    <w:szCs w:val="24"/>
                    <w:lang w:eastAsia="lt-LT"/>
                  </w:rPr>
                </w:pPr>
                <w:r>
                  <w:t>Sendinimo pradžia (data)</w:t>
                </w:r>
              </w:p>
            </w:tc>
            <w:tc>
              <w:tcPr>
                <w:tcW w:w="1637" w:type="pct"/>
                <w:tcBorders>
                  <w:top w:val="single" w:sz="4" w:space="0" w:color="auto"/>
                  <w:left w:val="single" w:sz="4" w:space="0" w:color="auto"/>
                  <w:bottom w:val="single" w:sz="4" w:space="0" w:color="auto"/>
                  <w:right w:val="single" w:sz="4" w:space="0" w:color="auto"/>
                </w:tcBorders>
              </w:tcPr>
              <w:p>
                <w:pPr>
                  <w:widowControl w:val="0"/>
                  <w:spacing w:line="360" w:lineRule="auto"/>
                  <w:rPr>
                    <w:rFonts w:ascii="Arial" w:hAnsi="Arial" w:cs="Arial"/>
                    <w:szCs w:val="24"/>
                    <w:lang w:eastAsia="lt-LT"/>
                  </w:rPr>
                </w:pPr>
              </w:p>
            </w:tc>
          </w:tr>
          <w:tr>
            <w:tc>
              <w:tcPr>
                <w:tcW w:w="705" w:type="pct"/>
                <w:tcBorders>
                  <w:top w:val="single" w:sz="4" w:space="0" w:color="auto"/>
                  <w:left w:val="single" w:sz="4" w:space="0" w:color="auto"/>
                  <w:bottom w:val="single" w:sz="4" w:space="0" w:color="auto"/>
                  <w:right w:val="single" w:sz="4" w:space="0" w:color="auto"/>
                </w:tcBorders>
              </w:tcPr>
              <w:p>
                <w:pPr>
                  <w:widowControl w:val="0"/>
                  <w:spacing w:line="360" w:lineRule="auto"/>
                  <w:ind w:left="720" w:hanging="360"/>
                </w:pPr>
                <w:r>
                  <w:t>3.</w:t>
                  <w:tab/>
                </w:r>
              </w:p>
            </w:tc>
            <w:tc>
              <w:tcPr>
                <w:tcW w:w="2658"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hAnsi="Arial" w:cs="Arial"/>
                    <w:szCs w:val="24"/>
                    <w:lang w:eastAsia="lt-LT"/>
                  </w:rPr>
                </w:pPr>
                <w:r>
                  <w:t>Kaupo dydis, m</w:t>
                </w:r>
                <w:r>
                  <w:rPr>
                    <w:vertAlign w:val="superscript"/>
                  </w:rPr>
                  <w:t>3</w:t>
                </w:r>
                <w:r>
                  <w:t xml:space="preserve"> (arba t)</w:t>
                </w:r>
              </w:p>
            </w:tc>
            <w:tc>
              <w:tcPr>
                <w:tcW w:w="1637" w:type="pct"/>
                <w:tcBorders>
                  <w:top w:val="single" w:sz="4" w:space="0" w:color="auto"/>
                  <w:left w:val="single" w:sz="4" w:space="0" w:color="auto"/>
                  <w:bottom w:val="single" w:sz="4" w:space="0" w:color="auto"/>
                  <w:right w:val="single" w:sz="4" w:space="0" w:color="auto"/>
                </w:tcBorders>
              </w:tcPr>
              <w:p>
                <w:pPr>
                  <w:widowControl w:val="0"/>
                  <w:spacing w:line="360" w:lineRule="auto"/>
                  <w:rPr>
                    <w:rFonts w:ascii="Arial" w:hAnsi="Arial" w:cs="Arial"/>
                    <w:szCs w:val="24"/>
                    <w:lang w:eastAsia="lt-LT"/>
                  </w:rPr>
                </w:pPr>
              </w:p>
            </w:tc>
          </w:tr>
          <w:tr>
            <w:tc>
              <w:tcPr>
                <w:tcW w:w="705" w:type="pct"/>
                <w:tcBorders>
                  <w:top w:val="single" w:sz="4" w:space="0" w:color="auto"/>
                  <w:left w:val="single" w:sz="4" w:space="0" w:color="auto"/>
                  <w:bottom w:val="single" w:sz="4" w:space="0" w:color="auto"/>
                  <w:right w:val="single" w:sz="4" w:space="0" w:color="auto"/>
                </w:tcBorders>
              </w:tcPr>
              <w:p>
                <w:pPr>
                  <w:widowControl w:val="0"/>
                  <w:spacing w:line="360" w:lineRule="auto"/>
                  <w:ind w:left="720" w:hanging="360"/>
                </w:pPr>
                <w:r>
                  <w:t>4.</w:t>
                  <w:tab/>
                </w:r>
              </w:p>
            </w:tc>
            <w:tc>
              <w:tcPr>
                <w:tcW w:w="2658"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hAnsi="Arial" w:cs="Arial"/>
                    <w:szCs w:val="24"/>
                    <w:lang w:eastAsia="lt-LT"/>
                  </w:rPr>
                </w:pPr>
                <w:r>
                  <w:t>Pelenų/šlako frakcija</w:t>
                </w:r>
              </w:p>
            </w:tc>
            <w:tc>
              <w:tcPr>
                <w:tcW w:w="1637" w:type="pct"/>
                <w:tcBorders>
                  <w:top w:val="single" w:sz="4" w:space="0" w:color="auto"/>
                  <w:left w:val="single" w:sz="4" w:space="0" w:color="auto"/>
                  <w:bottom w:val="single" w:sz="4" w:space="0" w:color="auto"/>
                  <w:right w:val="single" w:sz="4" w:space="0" w:color="auto"/>
                </w:tcBorders>
              </w:tcPr>
              <w:p>
                <w:pPr>
                  <w:widowControl w:val="0"/>
                  <w:spacing w:line="360" w:lineRule="auto"/>
                  <w:rPr>
                    <w:rFonts w:ascii="Arial" w:hAnsi="Arial" w:cs="Arial"/>
                    <w:szCs w:val="24"/>
                    <w:lang w:eastAsia="lt-LT"/>
                  </w:rPr>
                </w:pPr>
              </w:p>
            </w:tc>
          </w:tr>
          <w:tr>
            <w:tc>
              <w:tcPr>
                <w:tcW w:w="705" w:type="pct"/>
                <w:tcBorders>
                  <w:top w:val="single" w:sz="4" w:space="0" w:color="auto"/>
                  <w:left w:val="single" w:sz="4" w:space="0" w:color="auto"/>
                  <w:bottom w:val="single" w:sz="4" w:space="0" w:color="auto"/>
                  <w:right w:val="single" w:sz="4" w:space="0" w:color="auto"/>
                </w:tcBorders>
              </w:tcPr>
              <w:p>
                <w:pPr>
                  <w:widowControl w:val="0"/>
                  <w:spacing w:line="360" w:lineRule="auto"/>
                  <w:ind w:left="720" w:hanging="360"/>
                </w:pPr>
                <w:r>
                  <w:t>5.</w:t>
                  <w:tab/>
                </w:r>
              </w:p>
            </w:tc>
            <w:tc>
              <w:tcPr>
                <w:tcW w:w="2658"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hAnsi="Arial" w:cs="Arial"/>
                    <w:szCs w:val="24"/>
                    <w:lang w:eastAsia="lt-LT"/>
                  </w:rPr>
                </w:pPr>
                <w:r>
                  <w:t>Pelenų/šlako frakcija, mm</w:t>
                </w:r>
              </w:p>
            </w:tc>
            <w:tc>
              <w:tcPr>
                <w:tcW w:w="1637" w:type="pct"/>
                <w:tcBorders>
                  <w:top w:val="single" w:sz="4" w:space="0" w:color="auto"/>
                  <w:left w:val="single" w:sz="4" w:space="0" w:color="auto"/>
                  <w:bottom w:val="single" w:sz="4" w:space="0" w:color="auto"/>
                  <w:right w:val="single" w:sz="4" w:space="0" w:color="auto"/>
                </w:tcBorders>
              </w:tcPr>
              <w:p>
                <w:pPr>
                  <w:widowControl w:val="0"/>
                  <w:spacing w:line="360" w:lineRule="auto"/>
                  <w:rPr>
                    <w:rFonts w:ascii="Arial" w:hAnsi="Arial" w:cs="Arial"/>
                    <w:szCs w:val="24"/>
                    <w:lang w:eastAsia="lt-LT"/>
                  </w:rPr>
                </w:pPr>
              </w:p>
            </w:tc>
          </w:tr>
          <w:tr>
            <w:tc>
              <w:tcPr>
                <w:tcW w:w="705" w:type="pct"/>
                <w:tcBorders>
                  <w:top w:val="single" w:sz="4" w:space="0" w:color="auto"/>
                  <w:left w:val="single" w:sz="4" w:space="0" w:color="auto"/>
                  <w:bottom w:val="single" w:sz="4" w:space="0" w:color="auto"/>
                  <w:right w:val="single" w:sz="4" w:space="0" w:color="auto"/>
                </w:tcBorders>
              </w:tcPr>
              <w:p>
                <w:pPr>
                  <w:widowControl w:val="0"/>
                  <w:spacing w:line="360" w:lineRule="auto"/>
                  <w:ind w:left="720" w:hanging="360"/>
                </w:pPr>
                <w:r>
                  <w:t>6.</w:t>
                  <w:tab/>
                </w:r>
              </w:p>
            </w:tc>
            <w:tc>
              <w:tcPr>
                <w:tcW w:w="2658"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hAnsi="Arial" w:cs="Arial"/>
                    <w:szCs w:val="24"/>
                    <w:lang w:eastAsia="lt-LT"/>
                  </w:rPr>
                </w:pPr>
                <w:r>
                  <w:t>Iki sendinimo naudoti apdorojimo metodai</w:t>
                </w:r>
              </w:p>
            </w:tc>
            <w:tc>
              <w:tcPr>
                <w:tcW w:w="1637" w:type="pct"/>
                <w:tcBorders>
                  <w:top w:val="single" w:sz="4" w:space="0" w:color="auto"/>
                  <w:left w:val="single" w:sz="4" w:space="0" w:color="auto"/>
                  <w:bottom w:val="single" w:sz="4" w:space="0" w:color="auto"/>
                  <w:right w:val="single" w:sz="4" w:space="0" w:color="auto"/>
                </w:tcBorders>
              </w:tcPr>
              <w:p>
                <w:pPr>
                  <w:widowControl w:val="0"/>
                  <w:spacing w:line="360" w:lineRule="auto"/>
                  <w:rPr>
                    <w:rFonts w:ascii="Arial" w:hAnsi="Arial" w:cs="Arial"/>
                    <w:szCs w:val="24"/>
                    <w:lang w:eastAsia="lt-LT"/>
                  </w:rPr>
                </w:pPr>
              </w:p>
            </w:tc>
          </w:tr>
          <w:tr>
            <w:tc>
              <w:tcPr>
                <w:tcW w:w="705" w:type="pct"/>
                <w:tcBorders>
                  <w:top w:val="single" w:sz="4" w:space="0" w:color="auto"/>
                  <w:left w:val="single" w:sz="4" w:space="0" w:color="auto"/>
                  <w:bottom w:val="single" w:sz="4" w:space="0" w:color="auto"/>
                  <w:right w:val="single" w:sz="4" w:space="0" w:color="auto"/>
                </w:tcBorders>
              </w:tcPr>
              <w:p>
                <w:pPr>
                  <w:widowControl w:val="0"/>
                  <w:spacing w:line="360" w:lineRule="auto"/>
                  <w:ind w:left="720" w:hanging="360"/>
                </w:pPr>
                <w:r>
                  <w:t>7.</w:t>
                  <w:tab/>
                </w:r>
              </w:p>
            </w:tc>
            <w:tc>
              <w:tcPr>
                <w:tcW w:w="2658"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hAnsi="Arial" w:cs="Arial"/>
                    <w:szCs w:val="24"/>
                    <w:lang w:eastAsia="lt-LT"/>
                  </w:rPr>
                </w:pPr>
                <w:r>
                  <w:t xml:space="preserve">Sendinimo pabaiga (data) </w:t>
                </w:r>
              </w:p>
            </w:tc>
            <w:tc>
              <w:tcPr>
                <w:tcW w:w="1637" w:type="pct"/>
                <w:tcBorders>
                  <w:top w:val="single" w:sz="4" w:space="0" w:color="auto"/>
                  <w:left w:val="single" w:sz="4" w:space="0" w:color="auto"/>
                  <w:bottom w:val="single" w:sz="4" w:space="0" w:color="auto"/>
                  <w:right w:val="single" w:sz="4" w:space="0" w:color="auto"/>
                </w:tcBorders>
              </w:tcPr>
              <w:p>
                <w:pPr>
                  <w:widowControl w:val="0"/>
                  <w:spacing w:line="360" w:lineRule="auto"/>
                  <w:rPr>
                    <w:rFonts w:ascii="Arial" w:hAnsi="Arial" w:cs="Arial"/>
                    <w:szCs w:val="24"/>
                    <w:lang w:eastAsia="lt-LT"/>
                  </w:rPr>
                </w:pPr>
              </w:p>
            </w:tc>
          </w:tr>
          <w:tr>
            <w:tc>
              <w:tcPr>
                <w:tcW w:w="705" w:type="pct"/>
                <w:tcBorders>
                  <w:top w:val="single" w:sz="4" w:space="0" w:color="auto"/>
                  <w:left w:val="single" w:sz="4" w:space="0" w:color="auto"/>
                  <w:bottom w:val="single" w:sz="4" w:space="0" w:color="auto"/>
                  <w:right w:val="single" w:sz="4" w:space="0" w:color="auto"/>
                </w:tcBorders>
              </w:tcPr>
              <w:p>
                <w:pPr>
                  <w:widowControl w:val="0"/>
                  <w:spacing w:line="360" w:lineRule="auto"/>
                  <w:ind w:left="720" w:hanging="360"/>
                </w:pPr>
                <w:r>
                  <w:t>8.</w:t>
                  <w:tab/>
                </w:r>
              </w:p>
            </w:tc>
            <w:tc>
              <w:tcPr>
                <w:tcW w:w="2658"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hAnsi="Arial" w:cs="Arial"/>
                    <w:szCs w:val="24"/>
                    <w:lang w:eastAsia="lt-LT"/>
                  </w:rPr>
                </w:pPr>
                <w:r>
                  <w:t>Pakartotinio sendinimo pradžia (data)</w:t>
                </w:r>
              </w:p>
            </w:tc>
            <w:tc>
              <w:tcPr>
                <w:tcW w:w="1637" w:type="pct"/>
                <w:tcBorders>
                  <w:top w:val="single" w:sz="4" w:space="0" w:color="auto"/>
                  <w:left w:val="single" w:sz="4" w:space="0" w:color="auto"/>
                  <w:bottom w:val="single" w:sz="4" w:space="0" w:color="auto"/>
                  <w:right w:val="single" w:sz="4" w:space="0" w:color="auto"/>
                </w:tcBorders>
              </w:tcPr>
              <w:p>
                <w:pPr>
                  <w:widowControl w:val="0"/>
                  <w:spacing w:line="360" w:lineRule="auto"/>
                  <w:rPr>
                    <w:rFonts w:ascii="Arial" w:hAnsi="Arial" w:cs="Arial"/>
                    <w:szCs w:val="24"/>
                    <w:lang w:eastAsia="lt-LT"/>
                  </w:rPr>
                </w:pPr>
              </w:p>
            </w:tc>
          </w:tr>
        </w:tbl>
        <w:p>
          <w:pPr>
            <w:rPr>
              <w:rFonts w:ascii="Arial" w:hAnsi="Arial" w:cs="Arial"/>
              <w:sz w:val="20"/>
              <w:lang w:eastAsia="lt-LT"/>
            </w:rPr>
          </w:pPr>
        </w:p>
        <w:p/>
        <w:p/>
        <w:p/>
        <w:p/>
        <w:p/>
        <w:p/>
        <w:p/>
        <w:p/>
        <w:p/>
        <w:p/>
        <w:p/>
        <w:p/>
        <w:p/>
        <w:p/>
        <w:p/>
        <w:p/>
        <w:p/>
        <w:p/>
        <w:p/>
        <w:p/>
        <w:p/>
        <w:p/>
        <w:p/>
        <w:p/>
        <w:p/>
        <w:p/>
        <w:p/>
        <w:p/>
        <w:p>
          <w:pPr>
            <w:sectPr>
              <w:footnotePr>
                <w:pos w:val="beneathText"/>
              </w:footnotePr>
              <w:pgSz w:w="11905" w:h="16837" w:code="9"/>
              <w:pgMar w:top="1134" w:right="567" w:bottom="1134" w:left="1701" w:header="794" w:footer="919" w:gutter="0"/>
              <w:cols w:space="1296"/>
              <w:formProt w:val="0"/>
              <w:titlePg/>
              <w:docGrid w:linePitch="360"/>
            </w:sectPr>
          </w:pPr>
        </w:p>
        <w:p>
          <w:pPr>
            <w:tabs>
              <w:tab w:val="center" w:pos="4986"/>
              <w:tab w:val="right" w:pos="9972"/>
            </w:tabs>
          </w:pPr>
        </w:p>
      </w:sdtContent>
    </w:sdt>
    <w:sdt>
      <w:sdtPr>
        <w:alias w:val="2 pr."/>
        <w:tag w:val="part_0ad85a444a9f4e3191ac00c68f9935ec"/>
        <w:lock w:val="sdtLocked"/>
        <w:richText/>
      </w:sdtPr>
      <w:sdtContent>
        <w:p>
          <w:pPr>
            <w:jc w:val="right"/>
          </w:pPr>
          <w:r>
            <w:t xml:space="preserve">Atliekų deginimo ir bendro atliekų deginimo </w:t>
          </w:r>
        </w:p>
        <w:p>
          <w:pPr>
            <w:ind w:firstLine="3596"/>
            <w:jc w:val="center"/>
          </w:pPr>
          <w:r>
            <w:t xml:space="preserve">pelenų ir šlako tvarkymo </w:t>
          </w:r>
        </w:p>
        <w:p>
          <w:pPr>
            <w:ind w:firstLine="3348"/>
            <w:jc w:val="center"/>
          </w:pPr>
          <w:r>
            <w:t>ir naudojimo taisyklių</w:t>
          </w:r>
        </w:p>
        <w:p>
          <w:pPr>
            <w:ind w:firstLine="2046"/>
            <w:jc w:val="center"/>
          </w:pPr>
          <w:sdt>
            <w:sdtPr>
              <w:alias w:val="Numeris"/>
              <w:tag w:val="nr_0ad85a444a9f4e3191ac00c68f9935ec"/>
              <w:lock w:val="sdtLocked"/>
              <w:richText/>
            </w:sdtPr>
            <w:sdtContent>
              <w:r>
                <w:t>2</w:t>
              </w:r>
            </w:sdtContent>
          </w:sdt>
          <w:r>
            <w:t xml:space="preserve"> priedas</w:t>
          </w:r>
        </w:p>
        <w:p>
          <w:pPr>
            <w:jc w:val="center"/>
            <w:rPr>
              <w:b/>
            </w:rPr>
          </w:pPr>
        </w:p>
        <w:p>
          <w:pPr>
            <w:jc w:val="center"/>
            <w:rPr>
              <w:b/>
            </w:rPr>
          </w:pPr>
        </w:p>
        <w:p>
          <w:pPr>
            <w:jc w:val="center"/>
            <w:rPr>
              <w:b/>
            </w:rPr>
          </w:pPr>
          <w:sdt>
            <w:sdtPr>
              <w:alias w:val="Pavadinimas"/>
              <w:tag w:val="title_0ad85a444a9f4e3191ac00c68f9935ec"/>
              <w:lock w:val="sdtLocked"/>
              <w:richText/>
            </w:sdtPr>
            <w:sdtContent>
              <w:r>
                <w:rPr>
                  <w:b/>
                </w:rPr>
                <w:t>PELENŲ IR ŠLAKO LABORATORINIO ĖMINIO LYDRAŠTIS</w:t>
              </w:r>
            </w:sdtContent>
          </w:sdt>
        </w:p>
        <w:p>
          <w:pPr>
            <w:spacing w:line="360" w:lineRule="auto"/>
          </w:pPr>
        </w:p>
        <w:tbl>
          <w:tblPr>
            <w:tblW w:w="47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6"/>
            <w:gridCol w:w="5706"/>
            <w:gridCol w:w="2859"/>
          </w:tblGrid>
          <w:tr>
            <w:tc>
              <w:tcPr>
                <w:tcW w:w="286" w:type="pct"/>
              </w:tcPr>
              <w:p>
                <w:pPr>
                  <w:widowControl w:val="0"/>
                  <w:tabs>
                    <w:tab w:val="left" w:pos="0"/>
                  </w:tabs>
                  <w:spacing w:line="360" w:lineRule="auto"/>
                  <w:ind w:left="720" w:hanging="720"/>
                  <w:jc w:val="center"/>
                </w:pPr>
                <w:r>
                  <w:t>1.</w:t>
                  <w:tab/>
                </w:r>
              </w:p>
            </w:tc>
            <w:tc>
              <w:tcPr>
                <w:tcW w:w="3121" w:type="pct"/>
                <w:hideMark/>
              </w:tcPr>
              <w:p>
                <w:pPr>
                  <w:widowControl w:val="0"/>
                  <w:spacing w:line="360" w:lineRule="auto"/>
                  <w:rPr>
                    <w:rFonts w:ascii="Arial" w:hAnsi="Arial" w:cs="Arial"/>
                    <w:szCs w:val="24"/>
                    <w:lang w:eastAsia="lt-LT"/>
                  </w:rPr>
                </w:pPr>
                <w:r>
                  <w:t>Įmonės pavadinimas, aikštelės pavadinimas</w:t>
                </w:r>
              </w:p>
            </w:tc>
            <w:tc>
              <w:tcPr>
                <w:tcW w:w="1593" w:type="pct"/>
              </w:tcPr>
              <w:p>
                <w:pPr>
                  <w:widowControl w:val="0"/>
                  <w:spacing w:line="360" w:lineRule="auto"/>
                </w:pPr>
              </w:p>
            </w:tc>
          </w:tr>
          <w:tr>
            <w:tc>
              <w:tcPr>
                <w:tcW w:w="286" w:type="pct"/>
              </w:tcPr>
              <w:p>
                <w:pPr>
                  <w:widowControl w:val="0"/>
                  <w:tabs>
                    <w:tab w:val="left" w:pos="0"/>
                  </w:tabs>
                  <w:spacing w:line="360" w:lineRule="auto"/>
                  <w:ind w:left="720" w:hanging="720"/>
                </w:pPr>
                <w:r>
                  <w:t>2.</w:t>
                  <w:tab/>
                </w:r>
              </w:p>
            </w:tc>
            <w:tc>
              <w:tcPr>
                <w:tcW w:w="3121" w:type="pct"/>
                <w:hideMark/>
              </w:tcPr>
              <w:p>
                <w:pPr>
                  <w:widowControl w:val="0"/>
                  <w:spacing w:line="360" w:lineRule="auto"/>
                  <w:rPr>
                    <w:rFonts w:ascii="Arial" w:hAnsi="Arial" w:cs="Arial"/>
                    <w:szCs w:val="24"/>
                    <w:lang w:eastAsia="lt-LT"/>
                  </w:rPr>
                </w:pPr>
                <w:r>
                  <w:t>Ėminio paėmimo data ir valanda</w:t>
                </w:r>
              </w:p>
            </w:tc>
            <w:tc>
              <w:tcPr>
                <w:tcW w:w="1593" w:type="pct"/>
              </w:tcPr>
              <w:p>
                <w:pPr>
                  <w:widowControl w:val="0"/>
                  <w:spacing w:line="360" w:lineRule="auto"/>
                </w:pPr>
              </w:p>
            </w:tc>
          </w:tr>
          <w:tr>
            <w:tc>
              <w:tcPr>
                <w:tcW w:w="286" w:type="pct"/>
              </w:tcPr>
              <w:p>
                <w:pPr>
                  <w:widowControl w:val="0"/>
                  <w:tabs>
                    <w:tab w:val="left" w:pos="0"/>
                  </w:tabs>
                  <w:spacing w:line="360" w:lineRule="auto"/>
                  <w:ind w:left="720" w:hanging="720"/>
                </w:pPr>
                <w:r>
                  <w:t>3.</w:t>
                  <w:tab/>
                </w:r>
              </w:p>
            </w:tc>
            <w:tc>
              <w:tcPr>
                <w:tcW w:w="3121" w:type="pct"/>
                <w:hideMark/>
              </w:tcPr>
              <w:p>
                <w:pPr>
                  <w:widowControl w:val="0"/>
                  <w:spacing w:line="360" w:lineRule="auto"/>
                  <w:rPr>
                    <w:rFonts w:ascii="Arial" w:hAnsi="Arial" w:cs="Arial"/>
                    <w:szCs w:val="24"/>
                    <w:lang w:eastAsia="lt-LT"/>
                  </w:rPr>
                </w:pPr>
                <w:r>
                  <w:t>Ėminio paėmimo vieta (įmonės pavadinimas, adresas, įrenginys ar vieta aikštelėje)</w:t>
                </w:r>
              </w:p>
            </w:tc>
            <w:tc>
              <w:tcPr>
                <w:tcW w:w="1593" w:type="pct"/>
              </w:tcPr>
              <w:p>
                <w:pPr>
                  <w:widowControl w:val="0"/>
                  <w:spacing w:line="360" w:lineRule="auto"/>
                </w:pPr>
              </w:p>
            </w:tc>
          </w:tr>
          <w:tr>
            <w:tc>
              <w:tcPr>
                <w:tcW w:w="286" w:type="pct"/>
              </w:tcPr>
              <w:p>
                <w:pPr>
                  <w:widowControl w:val="0"/>
                  <w:tabs>
                    <w:tab w:val="left" w:pos="0"/>
                  </w:tabs>
                  <w:spacing w:line="360" w:lineRule="auto"/>
                  <w:ind w:left="720" w:hanging="720"/>
                </w:pPr>
                <w:r>
                  <w:t>4.</w:t>
                  <w:tab/>
                </w:r>
              </w:p>
            </w:tc>
            <w:tc>
              <w:tcPr>
                <w:tcW w:w="3121" w:type="pct"/>
                <w:hideMark/>
              </w:tcPr>
              <w:p>
                <w:pPr>
                  <w:widowControl w:val="0"/>
                  <w:spacing w:line="360" w:lineRule="auto"/>
                  <w:rPr>
                    <w:rFonts w:ascii="Arial" w:hAnsi="Arial" w:cs="Arial"/>
                    <w:szCs w:val="24"/>
                    <w:lang w:eastAsia="lt-LT"/>
                  </w:rPr>
                </w:pPr>
                <w:r>
                  <w:t>Ėminį paėmusio asmens vardas, pavardė ir pareigos, įmonės pavadinimas</w:t>
                </w:r>
              </w:p>
            </w:tc>
            <w:tc>
              <w:tcPr>
                <w:tcW w:w="1593" w:type="pct"/>
              </w:tcPr>
              <w:p>
                <w:pPr>
                  <w:widowControl w:val="0"/>
                  <w:spacing w:line="360" w:lineRule="auto"/>
                </w:pPr>
              </w:p>
            </w:tc>
          </w:tr>
          <w:tr>
            <w:tc>
              <w:tcPr>
                <w:tcW w:w="286" w:type="pct"/>
              </w:tcPr>
              <w:p>
                <w:pPr>
                  <w:widowControl w:val="0"/>
                  <w:tabs>
                    <w:tab w:val="left" w:pos="0"/>
                  </w:tabs>
                  <w:spacing w:line="360" w:lineRule="auto"/>
                  <w:ind w:left="720" w:hanging="720"/>
                </w:pPr>
                <w:r>
                  <w:t>5.</w:t>
                  <w:tab/>
                </w:r>
              </w:p>
            </w:tc>
            <w:tc>
              <w:tcPr>
                <w:tcW w:w="3121" w:type="pct"/>
                <w:hideMark/>
              </w:tcPr>
              <w:p>
                <w:pPr>
                  <w:widowControl w:val="0"/>
                  <w:spacing w:line="360" w:lineRule="auto"/>
                  <w:rPr>
                    <w:rFonts w:ascii="Arial" w:hAnsi="Arial" w:cs="Arial"/>
                    <w:szCs w:val="24"/>
                    <w:lang w:eastAsia="lt-LT"/>
                  </w:rPr>
                </w:pPr>
                <w:r>
                  <w:t xml:space="preserve">Ėminio svoris, kg </w:t>
                </w:r>
              </w:p>
            </w:tc>
            <w:tc>
              <w:tcPr>
                <w:tcW w:w="1593" w:type="pct"/>
              </w:tcPr>
              <w:p>
                <w:pPr>
                  <w:widowControl w:val="0"/>
                  <w:spacing w:line="360" w:lineRule="auto"/>
                </w:pPr>
              </w:p>
            </w:tc>
          </w:tr>
          <w:tr>
            <w:tc>
              <w:tcPr>
                <w:tcW w:w="286" w:type="pct"/>
              </w:tcPr>
              <w:p>
                <w:pPr>
                  <w:widowControl w:val="0"/>
                  <w:tabs>
                    <w:tab w:val="left" w:pos="0"/>
                  </w:tabs>
                  <w:spacing w:line="360" w:lineRule="auto"/>
                  <w:ind w:left="720" w:hanging="720"/>
                </w:pPr>
                <w:r>
                  <w:t>6.</w:t>
                  <w:tab/>
                </w:r>
              </w:p>
            </w:tc>
            <w:tc>
              <w:tcPr>
                <w:tcW w:w="3121" w:type="pct"/>
                <w:hideMark/>
              </w:tcPr>
              <w:p>
                <w:pPr>
                  <w:widowControl w:val="0"/>
                  <w:spacing w:line="360" w:lineRule="auto"/>
                  <w:rPr>
                    <w:rFonts w:ascii="Arial" w:hAnsi="Arial" w:cs="Arial"/>
                    <w:szCs w:val="24"/>
                    <w:lang w:eastAsia="lt-LT"/>
                  </w:rPr>
                </w:pPr>
                <w:r>
                  <w:t>Pelenų/šlako frakcija, mm</w:t>
                </w:r>
              </w:p>
            </w:tc>
            <w:tc>
              <w:tcPr>
                <w:tcW w:w="1593" w:type="pct"/>
              </w:tcPr>
              <w:p>
                <w:pPr>
                  <w:widowControl w:val="0"/>
                  <w:spacing w:line="360" w:lineRule="auto"/>
                </w:pPr>
              </w:p>
            </w:tc>
          </w:tr>
          <w:tr>
            <w:tc>
              <w:tcPr>
                <w:tcW w:w="286" w:type="pct"/>
              </w:tcPr>
              <w:p>
                <w:pPr>
                  <w:widowControl w:val="0"/>
                  <w:tabs>
                    <w:tab w:val="left" w:pos="0"/>
                    <w:tab w:val="left" w:pos="2621"/>
                  </w:tabs>
                  <w:spacing w:line="360" w:lineRule="auto"/>
                  <w:ind w:left="720" w:hanging="720"/>
                </w:pPr>
                <w:r>
                  <w:t>7.</w:t>
                  <w:tab/>
                </w:r>
              </w:p>
            </w:tc>
            <w:tc>
              <w:tcPr>
                <w:tcW w:w="3121" w:type="pct"/>
                <w:hideMark/>
              </w:tcPr>
              <w:p>
                <w:pPr>
                  <w:widowControl w:val="0"/>
                  <w:tabs>
                    <w:tab w:val="left" w:pos="2621"/>
                  </w:tabs>
                  <w:spacing w:line="360" w:lineRule="auto"/>
                  <w:rPr>
                    <w:rFonts w:ascii="Arial" w:hAnsi="Arial" w:cs="Arial"/>
                    <w:szCs w:val="24"/>
                    <w:lang w:eastAsia="lt-LT"/>
                  </w:rPr>
                </w:pPr>
                <w:r>
                  <w:t xml:space="preserve">Pelenų/šlako apdorojimo būdas (sendintas, sijotas, plautas ar pan.) </w:t>
                </w:r>
              </w:p>
            </w:tc>
            <w:tc>
              <w:tcPr>
                <w:tcW w:w="1593" w:type="pct"/>
              </w:tcPr>
              <w:p>
                <w:pPr>
                  <w:widowControl w:val="0"/>
                  <w:spacing w:line="360" w:lineRule="auto"/>
                </w:pPr>
              </w:p>
            </w:tc>
          </w:tr>
          <w:tr>
            <w:tc>
              <w:tcPr>
                <w:tcW w:w="286" w:type="pct"/>
              </w:tcPr>
              <w:p>
                <w:pPr>
                  <w:widowControl w:val="0"/>
                  <w:tabs>
                    <w:tab w:val="left" w:pos="0"/>
                  </w:tabs>
                  <w:spacing w:line="360" w:lineRule="auto"/>
                  <w:ind w:left="720" w:hanging="720"/>
                </w:pPr>
                <w:r>
                  <w:t>8.</w:t>
                  <w:tab/>
                </w:r>
              </w:p>
            </w:tc>
            <w:tc>
              <w:tcPr>
                <w:tcW w:w="3121" w:type="pct"/>
                <w:hideMark/>
              </w:tcPr>
              <w:p>
                <w:pPr>
                  <w:widowControl w:val="0"/>
                  <w:spacing w:line="360" w:lineRule="auto"/>
                  <w:rPr>
                    <w:rFonts w:ascii="Arial" w:hAnsi="Arial" w:cs="Arial"/>
                    <w:szCs w:val="24"/>
                    <w:lang w:eastAsia="lt-LT"/>
                  </w:rPr>
                </w:pPr>
                <w:r>
                  <w:t xml:space="preserve">Ėminio išsiuntimo į laboratoriją data ir valanda </w:t>
                </w:r>
              </w:p>
            </w:tc>
            <w:tc>
              <w:tcPr>
                <w:tcW w:w="1593" w:type="pct"/>
              </w:tcPr>
              <w:p>
                <w:pPr>
                  <w:widowControl w:val="0"/>
                  <w:spacing w:line="360" w:lineRule="auto"/>
                </w:pPr>
              </w:p>
            </w:tc>
          </w:tr>
          <w:tr>
            <w:tc>
              <w:tcPr>
                <w:tcW w:w="286" w:type="pct"/>
              </w:tcPr>
              <w:p>
                <w:pPr>
                  <w:widowControl w:val="0"/>
                  <w:tabs>
                    <w:tab w:val="left" w:pos="0"/>
                  </w:tabs>
                  <w:spacing w:line="360" w:lineRule="auto"/>
                  <w:ind w:left="720" w:hanging="720"/>
                </w:pPr>
                <w:r>
                  <w:t>9.</w:t>
                  <w:tab/>
                </w:r>
              </w:p>
            </w:tc>
            <w:tc>
              <w:tcPr>
                <w:tcW w:w="3121" w:type="pct"/>
                <w:hideMark/>
              </w:tcPr>
              <w:p>
                <w:pPr>
                  <w:widowControl w:val="0"/>
                  <w:spacing w:line="360" w:lineRule="auto"/>
                  <w:rPr>
                    <w:rFonts w:ascii="Arial" w:hAnsi="Arial" w:cs="Arial"/>
                    <w:szCs w:val="24"/>
                    <w:lang w:eastAsia="lt-LT"/>
                  </w:rPr>
                </w:pPr>
                <w:r>
                  <w:t>Laboratorijos pavadinimas ir adresas</w:t>
                </w:r>
              </w:p>
            </w:tc>
            <w:tc>
              <w:tcPr>
                <w:tcW w:w="1593" w:type="pct"/>
              </w:tcPr>
              <w:p>
                <w:pPr>
                  <w:widowControl w:val="0"/>
                  <w:spacing w:line="360" w:lineRule="auto"/>
                </w:pPr>
              </w:p>
            </w:tc>
          </w:tr>
          <w:tr>
            <w:tc>
              <w:tcPr>
                <w:tcW w:w="286" w:type="pct"/>
              </w:tcPr>
              <w:p>
                <w:pPr>
                  <w:widowControl w:val="0"/>
                  <w:tabs>
                    <w:tab w:val="left" w:pos="0"/>
                  </w:tabs>
                  <w:spacing w:line="360" w:lineRule="auto"/>
                  <w:ind w:left="720" w:hanging="720"/>
                </w:pPr>
                <w:r>
                  <w:t>10.</w:t>
                  <w:tab/>
                </w:r>
              </w:p>
            </w:tc>
            <w:tc>
              <w:tcPr>
                <w:tcW w:w="3121" w:type="pct"/>
                <w:hideMark/>
              </w:tcPr>
              <w:p>
                <w:pPr>
                  <w:widowControl w:val="0"/>
                  <w:spacing w:line="360" w:lineRule="auto"/>
                  <w:rPr>
                    <w:rFonts w:ascii="Arial" w:hAnsi="Arial" w:cs="Arial"/>
                    <w:szCs w:val="24"/>
                    <w:lang w:eastAsia="lt-LT"/>
                  </w:rPr>
                </w:pPr>
                <w:r>
                  <w:t xml:space="preserve">Tyrimo tikslas (taisyklių lentelės Nr.) </w:t>
                </w:r>
              </w:p>
            </w:tc>
            <w:tc>
              <w:tcPr>
                <w:tcW w:w="1593" w:type="pct"/>
              </w:tcPr>
              <w:p>
                <w:pPr>
                  <w:widowControl w:val="0"/>
                  <w:spacing w:line="360" w:lineRule="auto"/>
                </w:pPr>
              </w:p>
            </w:tc>
          </w:tr>
          <w:tr>
            <w:tc>
              <w:tcPr>
                <w:tcW w:w="286" w:type="pct"/>
              </w:tcPr>
              <w:p>
                <w:pPr>
                  <w:widowControl w:val="0"/>
                  <w:tabs>
                    <w:tab w:val="left" w:pos="0"/>
                  </w:tabs>
                  <w:spacing w:line="360" w:lineRule="auto"/>
                  <w:ind w:left="720" w:hanging="720"/>
                </w:pPr>
                <w:r>
                  <w:t>11.</w:t>
                  <w:tab/>
                </w:r>
              </w:p>
            </w:tc>
            <w:tc>
              <w:tcPr>
                <w:tcW w:w="3121" w:type="pct"/>
                <w:hideMark/>
              </w:tcPr>
              <w:p>
                <w:pPr>
                  <w:widowControl w:val="0"/>
                  <w:spacing w:line="360" w:lineRule="auto"/>
                  <w:rPr>
                    <w:rFonts w:ascii="Arial" w:hAnsi="Arial" w:cs="Arial"/>
                    <w:szCs w:val="24"/>
                    <w:lang w:eastAsia="lt-LT"/>
                  </w:rPr>
                </w:pPr>
                <w:r>
                  <w:t xml:space="preserve">Ėminio pakuotė (nurodyti ėminio pakuotės dydį ir tipą) </w:t>
                </w:r>
              </w:p>
            </w:tc>
            <w:tc>
              <w:tcPr>
                <w:tcW w:w="1593" w:type="pct"/>
              </w:tcPr>
              <w:p>
                <w:pPr>
                  <w:widowControl w:val="0"/>
                  <w:spacing w:line="360" w:lineRule="auto"/>
                </w:pPr>
              </w:p>
            </w:tc>
          </w:tr>
        </w:tbl>
        <w:p>
          <w:pPr>
            <w:spacing w:line="360" w:lineRule="auto"/>
            <w:jc w:val="center"/>
            <w:rPr>
              <w:rFonts w:ascii="Arial" w:hAnsi="Arial" w:cs="Arial"/>
              <w:sz w:val="20"/>
              <w:highlight w:val="yellow"/>
              <w:lang w:eastAsia="lt-LT"/>
            </w:rPr>
          </w:pPr>
        </w:p>
        <w:p>
          <w:pPr>
            <w:spacing w:line="360" w:lineRule="auto"/>
            <w:jc w:val="center"/>
            <w:rPr>
              <w:rFonts w:ascii="Arial" w:hAnsi="Arial" w:cs="Arial"/>
              <w:sz w:val="20"/>
              <w:highlight w:val="yellow"/>
              <w:lang w:eastAsia="lt-LT"/>
            </w:rPr>
          </w:pPr>
        </w:p>
        <w:p>
          <w:pPr>
            <w:tabs>
              <w:tab w:val="center" w:pos="4680"/>
              <w:tab w:val="right" w:pos="9360"/>
            </w:tabs>
            <w:rPr>
              <w:sz w:val="22"/>
              <w:szCs w:val="22"/>
              <w:lang w:eastAsia="ja-JP"/>
            </w:rPr>
          </w:pPr>
        </w:p>
        <w:p>
          <w:pPr>
            <w:sectPr>
              <w:footnotePr>
                <w:pos w:val="beneathText"/>
              </w:footnotePr>
              <w:pgSz w:w="11905" w:h="16837" w:code="9"/>
              <w:pgMar w:top="1134" w:right="567" w:bottom="1134" w:left="1701" w:header="794" w:footer="919" w:gutter="0"/>
              <w:cols w:space="1296"/>
              <w:formProt w:val="0"/>
              <w:titlePg/>
              <w:docGrid w:linePitch="360"/>
            </w:sectPr>
          </w:pPr>
          <w:r>
            <w:br w:type="page"/>
          </w:r>
        </w:p>
        <w:p>
          <w:pPr>
            <w:tabs>
              <w:tab w:val="center" w:pos="4986"/>
              <w:tab w:val="right" w:pos="9972"/>
            </w:tabs>
          </w:pPr>
        </w:p>
      </w:sdtContent>
    </w:sdt>
    <w:sdt>
      <w:sdtPr>
        <w:alias w:val="3 pr."/>
        <w:tag w:val="part_26c438fce7be4144bf010374cb9d95d3"/>
        <w:lock w:val="sdtLocked"/>
        <w:richText/>
      </w:sdtPr>
      <w:sdtContent>
        <w:p>
          <w:pPr>
            <w:jc w:val="right"/>
          </w:pPr>
          <w:r>
            <w:t xml:space="preserve">Atliekų deginimo ir bendro atliekų deginimo </w:t>
          </w:r>
        </w:p>
        <w:p>
          <w:pPr>
            <w:ind w:left="5040" w:firstLine="372"/>
          </w:pPr>
          <w:r>
            <w:t xml:space="preserve">pelenų ir šlako tvarkymo </w:t>
          </w:r>
        </w:p>
        <w:p>
          <w:pPr>
            <w:ind w:firstLine="3348"/>
            <w:jc w:val="center"/>
          </w:pPr>
          <w:r>
            <w:t>ir naudojimo taisyklių</w:t>
          </w:r>
        </w:p>
        <w:p>
          <w:pPr>
            <w:ind w:firstLine="2046"/>
            <w:jc w:val="center"/>
          </w:pPr>
          <w:sdt>
            <w:sdtPr>
              <w:alias w:val="Numeris"/>
              <w:tag w:val="nr_26c438fce7be4144bf010374cb9d95d3"/>
              <w:lock w:val="sdtLocked"/>
              <w:richText/>
            </w:sdtPr>
            <w:sdtContent>
              <w:r>
                <w:t>3</w:t>
              </w:r>
            </w:sdtContent>
          </w:sdt>
          <w:r>
            <w:t xml:space="preserve"> priedas</w:t>
          </w:r>
        </w:p>
        <w:p>
          <w:pPr>
            <w:jc w:val="right"/>
            <w:rPr>
              <w:b/>
            </w:rPr>
          </w:pPr>
        </w:p>
        <w:p>
          <w:pPr>
            <w:jc w:val="center"/>
            <w:rPr>
              <w:b/>
            </w:rPr>
          </w:pPr>
        </w:p>
        <w:p>
          <w:pPr>
            <w:jc w:val="center"/>
            <w:rPr>
              <w:b/>
            </w:rPr>
          </w:pPr>
          <w:sdt>
            <w:sdtPr>
              <w:alias w:val="Pavadinimas"/>
              <w:tag w:val="title_26c438fce7be4144bf010374cb9d95d3"/>
              <w:lock w:val="sdtLocked"/>
              <w:richText/>
            </w:sdtPr>
            <w:sdtContent>
              <w:r>
                <w:rPr>
                  <w:b/>
                </w:rPr>
                <w:t>PELENŲ IR ŠLAKO TYRIMO ŽURNALAS 20__ m.</w:t>
              </w:r>
            </w:sdtContent>
          </w:sdt>
        </w:p>
        <w:p/>
        <w:tbl>
          <w:tblPr>
            <w:tblW w:w="485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8"/>
            <w:gridCol w:w="4992"/>
            <w:gridCol w:w="3675"/>
          </w:tblGrid>
          <w:tr>
            <w:tc>
              <w:tcPr>
                <w:tcW w:w="353" w:type="pct"/>
                <w:tcBorders>
                  <w:top w:val="single" w:sz="4" w:space="0" w:color="auto"/>
                  <w:left w:val="single" w:sz="4" w:space="0" w:color="auto"/>
                  <w:bottom w:val="single" w:sz="4" w:space="0" w:color="auto"/>
                  <w:right w:val="single" w:sz="4" w:space="0" w:color="auto"/>
                </w:tcBorders>
              </w:tcPr>
              <w:p>
                <w:pPr>
                  <w:widowControl w:val="0"/>
                  <w:spacing w:line="360" w:lineRule="auto"/>
                  <w:ind w:left="720" w:hanging="578"/>
                </w:pPr>
                <w:r>
                  <w:t>1.</w:t>
                  <w:tab/>
                </w:r>
              </w:p>
            </w:tc>
            <w:tc>
              <w:tcPr>
                <w:tcW w:w="2668"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hAnsi="Arial" w:cs="Arial"/>
                    <w:szCs w:val="24"/>
                    <w:lang w:eastAsia="lt-LT"/>
                  </w:rPr>
                </w:pPr>
                <w:r>
                  <w:t>Data</w:t>
                </w:r>
              </w:p>
            </w:tc>
            <w:tc>
              <w:tcPr>
                <w:tcW w:w="1980"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hAnsi="Arial" w:cs="Arial"/>
                    <w:szCs w:val="24"/>
                    <w:lang w:eastAsia="lt-LT"/>
                  </w:rPr>
                </w:pPr>
              </w:p>
            </w:tc>
          </w:tr>
          <w:tr>
            <w:tc>
              <w:tcPr>
                <w:tcW w:w="353" w:type="pct"/>
                <w:tcBorders>
                  <w:top w:val="single" w:sz="4" w:space="0" w:color="auto"/>
                  <w:left w:val="single" w:sz="4" w:space="0" w:color="auto"/>
                  <w:bottom w:val="single" w:sz="4" w:space="0" w:color="auto"/>
                  <w:right w:val="single" w:sz="4" w:space="0" w:color="auto"/>
                </w:tcBorders>
              </w:tcPr>
              <w:p>
                <w:pPr>
                  <w:widowControl w:val="0"/>
                  <w:spacing w:line="360" w:lineRule="auto"/>
                  <w:ind w:left="720" w:hanging="578"/>
                </w:pPr>
                <w:r>
                  <w:t>2.</w:t>
                  <w:tab/>
                </w:r>
              </w:p>
            </w:tc>
            <w:tc>
              <w:tcPr>
                <w:tcW w:w="2668"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hAnsi="Arial" w:cs="Arial"/>
                    <w:szCs w:val="24"/>
                    <w:lang w:eastAsia="lt-LT"/>
                  </w:rPr>
                </w:pPr>
                <w:r>
                  <w:t>Ėminio paėmimo data ir valanda</w:t>
                </w:r>
              </w:p>
            </w:tc>
            <w:tc>
              <w:tcPr>
                <w:tcW w:w="1980" w:type="pct"/>
                <w:tcBorders>
                  <w:top w:val="single" w:sz="4" w:space="0" w:color="auto"/>
                  <w:left w:val="single" w:sz="4" w:space="0" w:color="auto"/>
                  <w:bottom w:val="single" w:sz="4" w:space="0" w:color="auto"/>
                  <w:right w:val="single" w:sz="4" w:space="0" w:color="auto"/>
                </w:tcBorders>
              </w:tcPr>
              <w:p>
                <w:pPr>
                  <w:widowControl w:val="0"/>
                  <w:spacing w:line="360" w:lineRule="auto"/>
                  <w:rPr>
                    <w:rFonts w:ascii="Arial" w:hAnsi="Arial" w:cs="Arial"/>
                    <w:szCs w:val="24"/>
                    <w:lang w:eastAsia="lt-LT"/>
                  </w:rPr>
                </w:pPr>
              </w:p>
            </w:tc>
          </w:tr>
          <w:tr>
            <w:tc>
              <w:tcPr>
                <w:tcW w:w="353" w:type="pct"/>
                <w:tcBorders>
                  <w:top w:val="single" w:sz="4" w:space="0" w:color="auto"/>
                  <w:left w:val="single" w:sz="4" w:space="0" w:color="auto"/>
                  <w:bottom w:val="single" w:sz="4" w:space="0" w:color="auto"/>
                  <w:right w:val="single" w:sz="4" w:space="0" w:color="auto"/>
                </w:tcBorders>
              </w:tcPr>
              <w:p>
                <w:pPr>
                  <w:widowControl w:val="0"/>
                  <w:spacing w:line="360" w:lineRule="auto"/>
                  <w:ind w:left="720" w:hanging="578"/>
                </w:pPr>
                <w:r>
                  <w:t>3.</w:t>
                  <w:tab/>
                </w:r>
              </w:p>
            </w:tc>
            <w:tc>
              <w:tcPr>
                <w:tcW w:w="2668"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hAnsi="Arial" w:cs="Arial"/>
                    <w:szCs w:val="24"/>
                    <w:lang w:eastAsia="lt-LT"/>
                  </w:rPr>
                </w:pPr>
                <w:r>
                  <w:t>Ėminio paėmimo vieta (įmonės pavadinimas, adresas, įrenginys ar vieta aikštelėje)</w:t>
                </w:r>
              </w:p>
            </w:tc>
            <w:tc>
              <w:tcPr>
                <w:tcW w:w="1980" w:type="pct"/>
                <w:tcBorders>
                  <w:top w:val="single" w:sz="4" w:space="0" w:color="auto"/>
                  <w:left w:val="single" w:sz="4" w:space="0" w:color="auto"/>
                  <w:bottom w:val="single" w:sz="4" w:space="0" w:color="auto"/>
                  <w:right w:val="single" w:sz="4" w:space="0" w:color="auto"/>
                </w:tcBorders>
              </w:tcPr>
              <w:p>
                <w:pPr>
                  <w:widowControl w:val="0"/>
                  <w:spacing w:line="360" w:lineRule="auto"/>
                  <w:rPr>
                    <w:rFonts w:ascii="Arial" w:hAnsi="Arial" w:cs="Arial"/>
                    <w:szCs w:val="24"/>
                    <w:lang w:eastAsia="lt-LT"/>
                  </w:rPr>
                </w:pPr>
              </w:p>
            </w:tc>
          </w:tr>
          <w:tr>
            <w:tc>
              <w:tcPr>
                <w:tcW w:w="353" w:type="pct"/>
                <w:tcBorders>
                  <w:top w:val="single" w:sz="4" w:space="0" w:color="auto"/>
                  <w:left w:val="single" w:sz="4" w:space="0" w:color="auto"/>
                  <w:bottom w:val="single" w:sz="4" w:space="0" w:color="auto"/>
                  <w:right w:val="single" w:sz="4" w:space="0" w:color="auto"/>
                </w:tcBorders>
              </w:tcPr>
              <w:p>
                <w:pPr>
                  <w:widowControl w:val="0"/>
                  <w:spacing w:line="360" w:lineRule="auto"/>
                  <w:ind w:left="720" w:hanging="578"/>
                </w:pPr>
                <w:r>
                  <w:t>4.</w:t>
                  <w:tab/>
                </w:r>
              </w:p>
            </w:tc>
            <w:tc>
              <w:tcPr>
                <w:tcW w:w="2668"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hAnsi="Arial" w:cs="Arial"/>
                    <w:szCs w:val="24"/>
                    <w:lang w:eastAsia="lt-LT"/>
                  </w:rPr>
                </w:pPr>
                <w:r>
                  <w:t>Ėminį paėmusio asmens vardas, pavardė ir pareigos, įmonės pavadinimas</w:t>
                </w:r>
              </w:p>
            </w:tc>
            <w:tc>
              <w:tcPr>
                <w:tcW w:w="1980" w:type="pct"/>
                <w:tcBorders>
                  <w:top w:val="single" w:sz="4" w:space="0" w:color="auto"/>
                  <w:left w:val="single" w:sz="4" w:space="0" w:color="auto"/>
                  <w:bottom w:val="single" w:sz="4" w:space="0" w:color="auto"/>
                  <w:right w:val="single" w:sz="4" w:space="0" w:color="auto"/>
                </w:tcBorders>
              </w:tcPr>
              <w:p>
                <w:pPr>
                  <w:widowControl w:val="0"/>
                  <w:spacing w:line="360" w:lineRule="auto"/>
                  <w:rPr>
                    <w:rFonts w:ascii="Arial" w:hAnsi="Arial" w:cs="Arial"/>
                    <w:szCs w:val="24"/>
                    <w:lang w:eastAsia="lt-LT"/>
                  </w:rPr>
                </w:pPr>
              </w:p>
            </w:tc>
          </w:tr>
          <w:tr>
            <w:tc>
              <w:tcPr>
                <w:tcW w:w="353" w:type="pct"/>
                <w:tcBorders>
                  <w:top w:val="single" w:sz="4" w:space="0" w:color="auto"/>
                  <w:left w:val="single" w:sz="4" w:space="0" w:color="auto"/>
                  <w:bottom w:val="single" w:sz="4" w:space="0" w:color="auto"/>
                  <w:right w:val="single" w:sz="4" w:space="0" w:color="auto"/>
                </w:tcBorders>
              </w:tcPr>
              <w:p>
                <w:pPr>
                  <w:widowControl w:val="0"/>
                  <w:spacing w:line="360" w:lineRule="auto"/>
                  <w:ind w:left="720" w:hanging="578"/>
                </w:pPr>
                <w:r>
                  <w:t>5.</w:t>
                  <w:tab/>
                </w:r>
              </w:p>
            </w:tc>
            <w:tc>
              <w:tcPr>
                <w:tcW w:w="2668"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hAnsi="Arial" w:cs="Arial"/>
                    <w:szCs w:val="24"/>
                    <w:lang w:eastAsia="lt-LT"/>
                  </w:rPr>
                </w:pPr>
                <w:r>
                  <w:t xml:space="preserve">Ėminio svoris, kg </w:t>
                </w:r>
              </w:p>
            </w:tc>
            <w:tc>
              <w:tcPr>
                <w:tcW w:w="1980" w:type="pct"/>
                <w:tcBorders>
                  <w:top w:val="single" w:sz="4" w:space="0" w:color="auto"/>
                  <w:left w:val="single" w:sz="4" w:space="0" w:color="auto"/>
                  <w:bottom w:val="single" w:sz="4" w:space="0" w:color="auto"/>
                  <w:right w:val="single" w:sz="4" w:space="0" w:color="auto"/>
                </w:tcBorders>
              </w:tcPr>
              <w:p>
                <w:pPr>
                  <w:widowControl w:val="0"/>
                  <w:spacing w:line="360" w:lineRule="auto"/>
                  <w:rPr>
                    <w:rFonts w:ascii="Arial" w:hAnsi="Arial" w:cs="Arial"/>
                    <w:szCs w:val="24"/>
                    <w:lang w:eastAsia="lt-LT"/>
                  </w:rPr>
                </w:pPr>
              </w:p>
            </w:tc>
          </w:tr>
          <w:tr>
            <w:tc>
              <w:tcPr>
                <w:tcW w:w="353" w:type="pct"/>
                <w:tcBorders>
                  <w:top w:val="single" w:sz="4" w:space="0" w:color="auto"/>
                  <w:left w:val="single" w:sz="4" w:space="0" w:color="auto"/>
                  <w:bottom w:val="single" w:sz="4" w:space="0" w:color="auto"/>
                  <w:right w:val="single" w:sz="4" w:space="0" w:color="auto"/>
                </w:tcBorders>
              </w:tcPr>
              <w:p>
                <w:pPr>
                  <w:widowControl w:val="0"/>
                  <w:spacing w:line="360" w:lineRule="auto"/>
                  <w:ind w:left="720" w:hanging="578"/>
                </w:pPr>
                <w:r>
                  <w:t>6.</w:t>
                  <w:tab/>
                </w:r>
              </w:p>
            </w:tc>
            <w:tc>
              <w:tcPr>
                <w:tcW w:w="2668"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hAnsi="Arial" w:cs="Arial"/>
                    <w:szCs w:val="24"/>
                    <w:lang w:eastAsia="lt-LT"/>
                  </w:rPr>
                </w:pPr>
                <w:r>
                  <w:t>Pelenų/šlako tūris, iš kurio paimtas ėminys, m</w:t>
                </w:r>
                <w:r>
                  <w:rPr>
                    <w:vertAlign w:val="superscript"/>
                  </w:rPr>
                  <w:t>3</w:t>
                </w:r>
              </w:p>
            </w:tc>
            <w:tc>
              <w:tcPr>
                <w:tcW w:w="1980" w:type="pct"/>
                <w:tcBorders>
                  <w:top w:val="single" w:sz="4" w:space="0" w:color="auto"/>
                  <w:left w:val="single" w:sz="4" w:space="0" w:color="auto"/>
                  <w:bottom w:val="single" w:sz="4" w:space="0" w:color="auto"/>
                  <w:right w:val="single" w:sz="4" w:space="0" w:color="auto"/>
                </w:tcBorders>
              </w:tcPr>
              <w:p>
                <w:pPr>
                  <w:widowControl w:val="0"/>
                  <w:spacing w:line="360" w:lineRule="auto"/>
                  <w:rPr>
                    <w:rFonts w:ascii="Arial" w:hAnsi="Arial" w:cs="Arial"/>
                    <w:szCs w:val="24"/>
                    <w:lang w:eastAsia="lt-LT"/>
                  </w:rPr>
                </w:pPr>
              </w:p>
            </w:tc>
          </w:tr>
          <w:tr>
            <w:tc>
              <w:tcPr>
                <w:tcW w:w="353" w:type="pct"/>
                <w:tcBorders>
                  <w:top w:val="single" w:sz="4" w:space="0" w:color="auto"/>
                  <w:left w:val="single" w:sz="4" w:space="0" w:color="auto"/>
                  <w:bottom w:val="single" w:sz="4" w:space="0" w:color="auto"/>
                  <w:right w:val="single" w:sz="4" w:space="0" w:color="auto"/>
                </w:tcBorders>
              </w:tcPr>
              <w:p>
                <w:pPr>
                  <w:widowControl w:val="0"/>
                  <w:spacing w:line="360" w:lineRule="auto"/>
                  <w:ind w:left="720" w:hanging="578"/>
                </w:pPr>
                <w:r>
                  <w:t>7.</w:t>
                  <w:tab/>
                </w:r>
              </w:p>
            </w:tc>
            <w:tc>
              <w:tcPr>
                <w:tcW w:w="2668"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hAnsi="Arial" w:cs="Arial"/>
                    <w:szCs w:val="24"/>
                    <w:lang w:eastAsia="lt-LT"/>
                  </w:rPr>
                </w:pPr>
                <w:r>
                  <w:t>Pelenų/šlako frakcija, mm</w:t>
                </w:r>
              </w:p>
            </w:tc>
            <w:tc>
              <w:tcPr>
                <w:tcW w:w="1980" w:type="pct"/>
                <w:tcBorders>
                  <w:top w:val="single" w:sz="4" w:space="0" w:color="auto"/>
                  <w:left w:val="single" w:sz="4" w:space="0" w:color="auto"/>
                  <w:bottom w:val="single" w:sz="4" w:space="0" w:color="auto"/>
                  <w:right w:val="single" w:sz="4" w:space="0" w:color="auto"/>
                </w:tcBorders>
              </w:tcPr>
              <w:p>
                <w:pPr>
                  <w:widowControl w:val="0"/>
                  <w:spacing w:line="360" w:lineRule="auto"/>
                  <w:rPr>
                    <w:rFonts w:ascii="Arial" w:hAnsi="Arial" w:cs="Arial"/>
                    <w:szCs w:val="24"/>
                    <w:lang w:eastAsia="lt-LT"/>
                  </w:rPr>
                </w:pPr>
              </w:p>
            </w:tc>
          </w:tr>
          <w:tr>
            <w:tc>
              <w:tcPr>
                <w:tcW w:w="353" w:type="pct"/>
                <w:tcBorders>
                  <w:top w:val="single" w:sz="4" w:space="0" w:color="auto"/>
                  <w:left w:val="single" w:sz="4" w:space="0" w:color="auto"/>
                  <w:bottom w:val="single" w:sz="4" w:space="0" w:color="auto"/>
                  <w:right w:val="single" w:sz="4" w:space="0" w:color="auto"/>
                </w:tcBorders>
              </w:tcPr>
              <w:p>
                <w:pPr>
                  <w:widowControl w:val="0"/>
                  <w:spacing w:line="360" w:lineRule="auto"/>
                  <w:ind w:left="720" w:hanging="578"/>
                </w:pPr>
                <w:r>
                  <w:t>8.</w:t>
                  <w:tab/>
                </w:r>
              </w:p>
            </w:tc>
            <w:tc>
              <w:tcPr>
                <w:tcW w:w="2668"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hAnsi="Arial" w:cs="Arial"/>
                    <w:szCs w:val="24"/>
                    <w:lang w:eastAsia="lt-LT"/>
                  </w:rPr>
                </w:pPr>
                <w:r>
                  <w:t xml:space="preserve">Pelenų/šlako apdorojimo būdas (sendintas, sijotas, plautas ar pan.) </w:t>
                </w:r>
              </w:p>
            </w:tc>
            <w:tc>
              <w:tcPr>
                <w:tcW w:w="1980" w:type="pct"/>
                <w:tcBorders>
                  <w:top w:val="single" w:sz="4" w:space="0" w:color="auto"/>
                  <w:left w:val="single" w:sz="4" w:space="0" w:color="auto"/>
                  <w:bottom w:val="single" w:sz="4" w:space="0" w:color="auto"/>
                  <w:right w:val="single" w:sz="4" w:space="0" w:color="auto"/>
                </w:tcBorders>
              </w:tcPr>
              <w:p>
                <w:pPr>
                  <w:widowControl w:val="0"/>
                  <w:spacing w:line="360" w:lineRule="auto"/>
                  <w:rPr>
                    <w:rFonts w:ascii="Arial" w:hAnsi="Arial" w:cs="Arial"/>
                    <w:szCs w:val="24"/>
                    <w:lang w:eastAsia="lt-LT"/>
                  </w:rPr>
                </w:pPr>
              </w:p>
            </w:tc>
          </w:tr>
          <w:tr>
            <w:tc>
              <w:tcPr>
                <w:tcW w:w="353" w:type="pct"/>
                <w:tcBorders>
                  <w:top w:val="single" w:sz="4" w:space="0" w:color="auto"/>
                  <w:left w:val="single" w:sz="4" w:space="0" w:color="auto"/>
                  <w:bottom w:val="single" w:sz="4" w:space="0" w:color="auto"/>
                  <w:right w:val="single" w:sz="4" w:space="0" w:color="auto"/>
                </w:tcBorders>
              </w:tcPr>
              <w:p>
                <w:pPr>
                  <w:widowControl w:val="0"/>
                  <w:spacing w:line="360" w:lineRule="auto"/>
                  <w:ind w:left="720" w:hanging="578"/>
                </w:pPr>
                <w:r>
                  <w:t>9.</w:t>
                  <w:tab/>
                </w:r>
              </w:p>
            </w:tc>
            <w:tc>
              <w:tcPr>
                <w:tcW w:w="2668"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hAnsi="Arial" w:cs="Arial"/>
                    <w:szCs w:val="24"/>
                    <w:lang w:eastAsia="lt-LT"/>
                  </w:rPr>
                </w:pPr>
                <w:r>
                  <w:t xml:space="preserve">Ėminio išsiuntimo į laboratoriją data ir valanda, lydraščio Nr. </w:t>
                </w:r>
              </w:p>
            </w:tc>
            <w:tc>
              <w:tcPr>
                <w:tcW w:w="1980" w:type="pct"/>
                <w:tcBorders>
                  <w:top w:val="single" w:sz="4" w:space="0" w:color="auto"/>
                  <w:left w:val="single" w:sz="4" w:space="0" w:color="auto"/>
                  <w:bottom w:val="single" w:sz="4" w:space="0" w:color="auto"/>
                  <w:right w:val="single" w:sz="4" w:space="0" w:color="auto"/>
                </w:tcBorders>
              </w:tcPr>
              <w:p>
                <w:pPr>
                  <w:widowControl w:val="0"/>
                  <w:spacing w:line="360" w:lineRule="auto"/>
                  <w:rPr>
                    <w:rFonts w:ascii="Arial" w:hAnsi="Arial" w:cs="Arial"/>
                    <w:szCs w:val="24"/>
                    <w:lang w:eastAsia="lt-LT"/>
                  </w:rPr>
                </w:pPr>
              </w:p>
            </w:tc>
          </w:tr>
          <w:tr>
            <w:tc>
              <w:tcPr>
                <w:tcW w:w="353" w:type="pct"/>
                <w:tcBorders>
                  <w:top w:val="single" w:sz="4" w:space="0" w:color="auto"/>
                  <w:left w:val="single" w:sz="4" w:space="0" w:color="auto"/>
                  <w:bottom w:val="single" w:sz="4" w:space="0" w:color="auto"/>
                  <w:right w:val="single" w:sz="4" w:space="0" w:color="auto"/>
                </w:tcBorders>
              </w:tcPr>
              <w:p>
                <w:pPr>
                  <w:widowControl w:val="0"/>
                  <w:spacing w:line="360" w:lineRule="auto"/>
                  <w:ind w:left="720" w:hanging="578"/>
                </w:pPr>
                <w:r>
                  <w:t>10.</w:t>
                  <w:tab/>
                </w:r>
              </w:p>
            </w:tc>
            <w:tc>
              <w:tcPr>
                <w:tcW w:w="2668"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hAnsi="Arial" w:cs="Arial"/>
                    <w:szCs w:val="24"/>
                    <w:lang w:eastAsia="lt-LT"/>
                  </w:rPr>
                </w:pPr>
                <w:r>
                  <w:t>Laboratorijos pavadinimas ir adresas</w:t>
                </w:r>
              </w:p>
            </w:tc>
            <w:tc>
              <w:tcPr>
                <w:tcW w:w="1980" w:type="pct"/>
                <w:tcBorders>
                  <w:top w:val="single" w:sz="4" w:space="0" w:color="auto"/>
                  <w:left w:val="single" w:sz="4" w:space="0" w:color="auto"/>
                  <w:bottom w:val="single" w:sz="4" w:space="0" w:color="auto"/>
                  <w:right w:val="single" w:sz="4" w:space="0" w:color="auto"/>
                </w:tcBorders>
              </w:tcPr>
              <w:p>
                <w:pPr>
                  <w:widowControl w:val="0"/>
                  <w:spacing w:line="360" w:lineRule="auto"/>
                  <w:rPr>
                    <w:rFonts w:ascii="Arial" w:hAnsi="Arial" w:cs="Arial"/>
                    <w:szCs w:val="24"/>
                    <w:lang w:eastAsia="lt-LT"/>
                  </w:rPr>
                </w:pPr>
              </w:p>
            </w:tc>
          </w:tr>
          <w:tr>
            <w:tc>
              <w:tcPr>
                <w:tcW w:w="353" w:type="pct"/>
                <w:tcBorders>
                  <w:top w:val="single" w:sz="4" w:space="0" w:color="auto"/>
                  <w:left w:val="single" w:sz="4" w:space="0" w:color="auto"/>
                  <w:bottom w:val="single" w:sz="4" w:space="0" w:color="auto"/>
                  <w:right w:val="single" w:sz="4" w:space="0" w:color="auto"/>
                </w:tcBorders>
              </w:tcPr>
              <w:p>
                <w:pPr>
                  <w:widowControl w:val="0"/>
                  <w:spacing w:line="360" w:lineRule="auto"/>
                  <w:ind w:left="720" w:hanging="578"/>
                </w:pPr>
                <w:r>
                  <w:t>11.</w:t>
                  <w:tab/>
                </w:r>
              </w:p>
            </w:tc>
            <w:tc>
              <w:tcPr>
                <w:tcW w:w="2668"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hAnsi="Arial" w:cs="Arial"/>
                    <w:szCs w:val="24"/>
                    <w:lang w:eastAsia="lt-LT"/>
                  </w:rPr>
                </w:pPr>
                <w:r>
                  <w:t xml:space="preserve">Tyrimo tikslas (nurodyti pelenų tvarkymo būdą) </w:t>
                </w:r>
              </w:p>
            </w:tc>
            <w:tc>
              <w:tcPr>
                <w:tcW w:w="1980" w:type="pct"/>
                <w:tcBorders>
                  <w:top w:val="single" w:sz="4" w:space="0" w:color="auto"/>
                  <w:left w:val="single" w:sz="4" w:space="0" w:color="auto"/>
                  <w:bottom w:val="single" w:sz="4" w:space="0" w:color="auto"/>
                  <w:right w:val="single" w:sz="4" w:space="0" w:color="auto"/>
                </w:tcBorders>
              </w:tcPr>
              <w:p>
                <w:pPr>
                  <w:widowControl w:val="0"/>
                  <w:spacing w:line="360" w:lineRule="auto"/>
                  <w:rPr>
                    <w:rFonts w:ascii="Arial" w:hAnsi="Arial" w:cs="Arial"/>
                    <w:szCs w:val="24"/>
                    <w:lang w:eastAsia="lt-LT"/>
                  </w:rPr>
                </w:pPr>
              </w:p>
            </w:tc>
          </w:tr>
          <w:tr>
            <w:tc>
              <w:tcPr>
                <w:tcW w:w="353" w:type="pct"/>
                <w:tcBorders>
                  <w:top w:val="single" w:sz="4" w:space="0" w:color="auto"/>
                  <w:left w:val="single" w:sz="4" w:space="0" w:color="auto"/>
                  <w:bottom w:val="single" w:sz="4" w:space="0" w:color="auto"/>
                  <w:right w:val="single" w:sz="4" w:space="0" w:color="auto"/>
                </w:tcBorders>
              </w:tcPr>
              <w:p>
                <w:pPr>
                  <w:widowControl w:val="0"/>
                  <w:spacing w:line="360" w:lineRule="auto"/>
                  <w:ind w:left="720" w:hanging="578"/>
                </w:pPr>
                <w:r>
                  <w:t>12.</w:t>
                  <w:tab/>
                </w:r>
              </w:p>
            </w:tc>
            <w:tc>
              <w:tcPr>
                <w:tcW w:w="2668"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hAnsi="Arial" w:cs="Arial"/>
                    <w:szCs w:val="24"/>
                    <w:lang w:eastAsia="lt-LT"/>
                  </w:rPr>
                </w:pPr>
                <w:r>
                  <w:t xml:space="preserve">Ėminio pakuotė (nurodyti ėminio pakuotės dydį ir tipą) </w:t>
                </w:r>
              </w:p>
            </w:tc>
            <w:tc>
              <w:tcPr>
                <w:tcW w:w="1980" w:type="pct"/>
                <w:tcBorders>
                  <w:top w:val="single" w:sz="4" w:space="0" w:color="auto"/>
                  <w:left w:val="single" w:sz="4" w:space="0" w:color="auto"/>
                  <w:bottom w:val="single" w:sz="4" w:space="0" w:color="auto"/>
                  <w:right w:val="single" w:sz="4" w:space="0" w:color="auto"/>
                </w:tcBorders>
              </w:tcPr>
              <w:p>
                <w:pPr>
                  <w:widowControl w:val="0"/>
                  <w:spacing w:line="360" w:lineRule="auto"/>
                  <w:rPr>
                    <w:rFonts w:ascii="Arial" w:hAnsi="Arial" w:cs="Arial"/>
                    <w:szCs w:val="24"/>
                    <w:lang w:eastAsia="lt-LT"/>
                  </w:rPr>
                </w:pPr>
              </w:p>
            </w:tc>
          </w:tr>
        </w:tbl>
        <w:p>
          <w:pPr>
            <w:rPr>
              <w:rFonts w:ascii="Arial" w:hAnsi="Arial" w:cs="Arial"/>
              <w:sz w:val="20"/>
              <w:lang w:eastAsia="lt-LT"/>
            </w:rPr>
          </w:pPr>
        </w:p>
        <w:p/>
        <w:p>
          <w:pPr>
            <w:tabs>
              <w:tab w:val="center" w:pos="4680"/>
              <w:tab w:val="right" w:pos="9360"/>
            </w:tabs>
            <w:rPr>
              <w:sz w:val="22"/>
              <w:szCs w:val="22"/>
              <w:lang w:eastAsia="ja-JP"/>
            </w:rPr>
          </w:pPr>
        </w:p>
        <w:p>
          <w:pPr>
            <w:sectPr>
              <w:footnotePr>
                <w:pos w:val="beneathText"/>
              </w:footnotePr>
              <w:pgSz w:w="11905" w:h="16837" w:code="9"/>
              <w:pgMar w:top="1134" w:right="567" w:bottom="1134" w:left="1701" w:header="794" w:footer="919" w:gutter="0"/>
              <w:cols w:space="1296"/>
              <w:formProt w:val="0"/>
              <w:titlePg/>
              <w:docGrid w:linePitch="360"/>
            </w:sectPr>
          </w:pPr>
          <w:r>
            <w:br w:type="page"/>
          </w:r>
        </w:p>
        <w:p>
          <w:pPr>
            <w:tabs>
              <w:tab w:val="center" w:pos="4986"/>
              <w:tab w:val="right" w:pos="9972"/>
            </w:tabs>
          </w:pPr>
        </w:p>
      </w:sdtContent>
    </w:sdt>
    <w:sdt>
      <w:sdtPr>
        <w:alias w:val="4 pr."/>
        <w:tag w:val="part_8f555d78aee04b9b83e60731ce54cb69"/>
        <w:lock w:val="sdtLocked"/>
        <w:richText/>
      </w:sdtPr>
      <w:sdtContent>
        <w:p>
          <w:pPr>
            <w:jc w:val="right"/>
          </w:pPr>
          <w:r>
            <w:t xml:space="preserve">Atliekų deginimo ir bendro atliekų deginimo </w:t>
          </w:r>
        </w:p>
        <w:p>
          <w:pPr>
            <w:ind w:firstLine="3596"/>
            <w:jc w:val="center"/>
          </w:pPr>
          <w:r>
            <w:t xml:space="preserve">pelenų ir šlako tvarkymo </w:t>
          </w:r>
        </w:p>
        <w:p>
          <w:pPr>
            <w:ind w:firstLine="3286"/>
            <w:jc w:val="center"/>
          </w:pPr>
          <w:r>
            <w:t>ir naudojimo taisyklių</w:t>
          </w:r>
        </w:p>
        <w:p>
          <w:pPr>
            <w:ind w:firstLine="1922"/>
            <w:jc w:val="center"/>
          </w:pPr>
          <w:sdt>
            <w:sdtPr>
              <w:alias w:val="Numeris"/>
              <w:tag w:val="nr_8f555d78aee04b9b83e60731ce54cb69"/>
              <w:lock w:val="sdtLocked"/>
              <w:richText/>
            </w:sdtPr>
            <w:sdtContent>
              <w:r>
                <w:t>4</w:t>
              </w:r>
            </w:sdtContent>
          </w:sdt>
          <w:r>
            <w:t xml:space="preserve"> priedas</w:t>
          </w:r>
        </w:p>
        <w:p>
          <w:pPr>
            <w:jc w:val="right"/>
          </w:pPr>
        </w:p>
        <w:p>
          <w:pPr>
            <w:jc w:val="center"/>
            <w:rPr>
              <w:b/>
            </w:rPr>
          </w:pPr>
          <w:sdt>
            <w:sdtPr>
              <w:alias w:val="Pavadinimas"/>
              <w:tag w:val="title_8f555d78aee04b9b83e60731ce54cb69"/>
              <w:lock w:val="sdtLocked"/>
              <w:richText/>
            </w:sdtPr>
            <w:sdtContent>
              <w:r>
                <w:rPr>
                  <w:b/>
                </w:rPr>
                <w:t>PELENŲ IR ŠLAKO ELIUATŲ PARAMETRŲ NUSTATYMO METODAI</w:t>
              </w:r>
            </w:sdtContent>
          </w:sdt>
        </w:p>
        <w:p>
          <w:pPr>
            <w:rPr>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02"/>
            <w:gridCol w:w="2408"/>
            <w:gridCol w:w="2268"/>
            <w:gridCol w:w="4075"/>
          </w:tblGrid>
          <w:tr>
            <w:trPr>
              <w:trHeight w:val="253"/>
              <w:tblHeader/>
            </w:trPr>
            <w:tc>
              <w:tcPr>
                <w:tcW w:w="559" w:type="pct"/>
                <w:tcBorders>
                  <w:top w:val="single" w:sz="4" w:space="0" w:color="auto"/>
                  <w:left w:val="single" w:sz="4" w:space="0" w:color="auto"/>
                  <w:bottom w:val="single" w:sz="4" w:space="0" w:color="auto"/>
                  <w:right w:val="single" w:sz="4" w:space="0" w:color="auto"/>
                </w:tcBorders>
              </w:tcPr>
              <w:p>
                <w:pPr>
                  <w:widowControl w:val="0"/>
                  <w:tabs>
                    <w:tab w:val="left" w:pos="284"/>
                  </w:tabs>
                  <w:spacing w:line="360" w:lineRule="auto"/>
                  <w:ind w:left="142" w:right="81" w:hanging="142"/>
                  <w:rPr>
                    <w:rFonts w:eastAsia="Calibri"/>
                    <w:b/>
                    <w:bCs/>
                  </w:rPr>
                </w:pPr>
                <w:r>
                  <w:rPr>
                    <w:rFonts w:eastAsia="Calibri"/>
                    <w:b/>
                    <w:bCs/>
                  </w:rPr>
                  <w:t>I.</w:t>
                  <w:tab/>
                  <w:t>Eil. Nr.</w:t>
                </w:r>
              </w:p>
            </w:tc>
            <w:tc>
              <w:tcPr>
                <w:tcW w:w="1222" w:type="pct"/>
                <w:tcBorders>
                  <w:top w:val="single" w:sz="4" w:space="0" w:color="auto"/>
                  <w:left w:val="single" w:sz="4" w:space="0" w:color="auto"/>
                  <w:bottom w:val="single" w:sz="4" w:space="0" w:color="auto"/>
                  <w:right w:val="single" w:sz="4" w:space="0" w:color="auto"/>
                </w:tcBorders>
                <w:hideMark/>
              </w:tcPr>
              <w:p>
                <w:pPr>
                  <w:widowControl w:val="0"/>
                  <w:spacing w:line="360" w:lineRule="auto"/>
                  <w:ind w:left="741" w:hanging="283"/>
                  <w:jc w:val="center"/>
                  <w:rPr>
                    <w:rFonts w:ascii="Arial" w:eastAsia="Calibri" w:hAnsi="Arial" w:cs="Arial"/>
                    <w:b/>
                    <w:bCs/>
                    <w:lang w:eastAsia="lt-LT"/>
                  </w:rPr>
                </w:pPr>
                <w:r>
                  <w:rPr>
                    <w:rFonts w:eastAsia="Calibri"/>
                    <w:b/>
                    <w:bCs/>
                    <w:lang w:eastAsia="lt-LT"/>
                  </w:rPr>
                  <w:t>II.</w:t>
                  <w:tab/>
                </w:r>
                <w:r>
                  <w:rPr>
                    <w:rFonts w:eastAsia="Calibri"/>
                    <w:b/>
                    <w:bCs/>
                  </w:rPr>
                  <w:t>Elementas</w:t>
                </w:r>
              </w:p>
            </w:tc>
            <w:tc>
              <w:tcPr>
                <w:tcW w:w="1151" w:type="pct"/>
                <w:tcBorders>
                  <w:top w:val="single" w:sz="4" w:space="0" w:color="auto"/>
                  <w:left w:val="single" w:sz="4" w:space="0" w:color="auto"/>
                  <w:bottom w:val="single" w:sz="4" w:space="0" w:color="auto"/>
                  <w:right w:val="single" w:sz="4" w:space="0" w:color="auto"/>
                </w:tcBorders>
                <w:hideMark/>
              </w:tcPr>
              <w:p>
                <w:pPr>
                  <w:widowControl w:val="0"/>
                  <w:tabs>
                    <w:tab w:val="left" w:pos="885"/>
                  </w:tabs>
                  <w:spacing w:line="360" w:lineRule="auto"/>
                  <w:ind w:left="741" w:hanging="283"/>
                  <w:jc w:val="center"/>
                  <w:rPr>
                    <w:rFonts w:ascii="Arial" w:eastAsia="Calibri" w:hAnsi="Arial" w:cs="Arial"/>
                    <w:b/>
                    <w:bCs/>
                    <w:lang w:eastAsia="lt-LT"/>
                  </w:rPr>
                </w:pPr>
                <w:r>
                  <w:rPr>
                    <w:rFonts w:eastAsia="Calibri"/>
                    <w:b/>
                    <w:bCs/>
                    <w:lang w:eastAsia="lt-LT"/>
                  </w:rPr>
                  <w:t>III.</w:t>
                  <w:tab/>
                </w:r>
                <w:r>
                  <w:rPr>
                    <w:rFonts w:eastAsia="Calibri"/>
                    <w:b/>
                    <w:bCs/>
                  </w:rPr>
                  <w:t>Žymuo</w:t>
                </w:r>
              </w:p>
            </w:tc>
            <w:tc>
              <w:tcPr>
                <w:tcW w:w="2068" w:type="pct"/>
                <w:tcBorders>
                  <w:top w:val="single" w:sz="4" w:space="0" w:color="auto"/>
                  <w:left w:val="single" w:sz="4" w:space="0" w:color="auto"/>
                  <w:bottom w:val="single" w:sz="4" w:space="0" w:color="auto"/>
                  <w:right w:val="single" w:sz="4" w:space="0" w:color="auto"/>
                </w:tcBorders>
                <w:hideMark/>
              </w:tcPr>
              <w:p>
                <w:pPr>
                  <w:widowControl w:val="0"/>
                  <w:tabs>
                    <w:tab w:val="left" w:pos="1452"/>
                  </w:tabs>
                  <w:spacing w:line="360" w:lineRule="auto"/>
                  <w:ind w:left="1080" w:hanging="337"/>
                  <w:rPr>
                    <w:rFonts w:ascii="Arial" w:eastAsia="Calibri" w:hAnsi="Arial" w:cs="Arial"/>
                    <w:b/>
                    <w:bCs/>
                    <w:lang w:eastAsia="lt-LT"/>
                  </w:rPr>
                </w:pPr>
                <w:r>
                  <w:rPr>
                    <w:rFonts w:eastAsia="Calibri"/>
                    <w:b/>
                    <w:bCs/>
                    <w:lang w:eastAsia="lt-LT"/>
                  </w:rPr>
                  <w:t>IV.</w:t>
                  <w:tab/>
                </w:r>
                <w:r>
                  <w:rPr>
                    <w:rFonts w:eastAsia="Calibri"/>
                    <w:b/>
                    <w:bCs/>
                  </w:rPr>
                  <w:t>Metodas</w:t>
                </w:r>
              </w:p>
            </w:tc>
          </w:tr>
          <w:tr>
            <w:tc>
              <w:tcPr>
                <w:tcW w:w="559" w:type="pct"/>
                <w:tcBorders>
                  <w:top w:val="single" w:sz="4" w:space="0" w:color="auto"/>
                  <w:left w:val="single" w:sz="4" w:space="0" w:color="auto"/>
                  <w:bottom w:val="single" w:sz="4" w:space="0" w:color="auto"/>
                  <w:right w:val="single" w:sz="4" w:space="0" w:color="auto"/>
                </w:tcBorders>
              </w:tcPr>
              <w:p>
                <w:pPr>
                  <w:widowControl w:val="0"/>
                  <w:spacing w:line="360" w:lineRule="auto"/>
                  <w:ind w:left="720" w:hanging="360"/>
                  <w:rPr>
                    <w:rFonts w:eastAsia="Calibri"/>
                    <w:bCs/>
                  </w:rPr>
                </w:pPr>
                <w:r>
                  <w:rPr>
                    <w:rFonts w:eastAsia="Calibri"/>
                    <w:bCs/>
                  </w:rPr>
                  <w:t>1.</w:t>
                  <w:tab/>
                </w:r>
              </w:p>
            </w:tc>
            <w:tc>
              <w:tcPr>
                <w:tcW w:w="1222"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eastAsia="Calibri" w:hAnsi="Arial" w:cs="Arial"/>
                    <w:bCs/>
                    <w:lang w:eastAsia="lt-LT"/>
                  </w:rPr>
                </w:pPr>
                <w:r>
                  <w:rPr>
                    <w:rFonts w:eastAsia="Calibri"/>
                    <w:bCs/>
                  </w:rPr>
                  <w:t>Arsenas</w:t>
                </w:r>
              </w:p>
            </w:tc>
            <w:tc>
              <w:tcPr>
                <w:tcW w:w="1151"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eastAsia="Calibri" w:hAnsi="Arial" w:cs="Arial"/>
                    <w:lang w:eastAsia="lt-LT"/>
                  </w:rPr>
                </w:pPr>
                <w:r>
                  <w:rPr>
                    <w:rFonts w:eastAsia="Calibri"/>
                  </w:rPr>
                  <w:t>As</w:t>
                </w:r>
              </w:p>
            </w:tc>
            <w:tc>
              <w:tcPr>
                <w:tcW w:w="2068"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eastAsia="Calibri" w:hAnsi="Arial" w:cs="Arial"/>
                    <w:lang w:eastAsia="lt-LT"/>
                  </w:rPr>
                </w:pPr>
                <w:r>
                  <w:rPr>
                    <w:rFonts w:eastAsia="Calibri"/>
                  </w:rPr>
                  <w:t>ISO 15586:2003; EPA Method 282.2:1978; EPA Method 7010:2007</w:t>
                </w:r>
              </w:p>
            </w:tc>
          </w:tr>
          <w:tr>
            <w:tc>
              <w:tcPr>
                <w:tcW w:w="559" w:type="pct"/>
                <w:tcBorders>
                  <w:top w:val="single" w:sz="4" w:space="0" w:color="auto"/>
                  <w:left w:val="single" w:sz="4" w:space="0" w:color="auto"/>
                  <w:bottom w:val="single" w:sz="4" w:space="0" w:color="auto"/>
                  <w:right w:val="single" w:sz="4" w:space="0" w:color="auto"/>
                </w:tcBorders>
              </w:tcPr>
              <w:p>
                <w:pPr>
                  <w:widowControl w:val="0"/>
                  <w:spacing w:line="360" w:lineRule="auto"/>
                  <w:ind w:left="720" w:hanging="360"/>
                  <w:rPr>
                    <w:rFonts w:eastAsia="Calibri"/>
                    <w:bCs/>
                  </w:rPr>
                </w:pPr>
                <w:r>
                  <w:rPr>
                    <w:rFonts w:eastAsia="Calibri"/>
                    <w:bCs/>
                  </w:rPr>
                  <w:t>2.</w:t>
                  <w:tab/>
                </w:r>
              </w:p>
            </w:tc>
            <w:tc>
              <w:tcPr>
                <w:tcW w:w="1222"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eastAsia="Calibri" w:hAnsi="Arial" w:cs="Arial"/>
                    <w:bCs/>
                    <w:lang w:eastAsia="lt-LT"/>
                  </w:rPr>
                </w:pPr>
                <w:r>
                  <w:rPr>
                    <w:rFonts w:eastAsia="Calibri"/>
                    <w:bCs/>
                  </w:rPr>
                  <w:t>Baris</w:t>
                </w:r>
              </w:p>
            </w:tc>
            <w:tc>
              <w:tcPr>
                <w:tcW w:w="1151"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eastAsia="Calibri" w:hAnsi="Arial" w:cs="Arial"/>
                    <w:lang w:eastAsia="lt-LT"/>
                  </w:rPr>
                </w:pPr>
                <w:r>
                  <w:rPr>
                    <w:rFonts w:eastAsia="Calibri"/>
                  </w:rPr>
                  <w:t>Ba</w:t>
                </w:r>
              </w:p>
            </w:tc>
            <w:tc>
              <w:tcPr>
                <w:tcW w:w="2068"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eastAsia="Calibri" w:hAnsi="Arial" w:cs="Arial"/>
                    <w:lang w:eastAsia="lt-LT"/>
                  </w:rPr>
                </w:pPr>
                <w:r>
                  <w:rPr>
                    <w:rFonts w:eastAsia="Calibri"/>
                  </w:rPr>
                  <w:t>ISO 15586:2003; EPA Method 282.2:1978; EPA Method 7010:2007</w:t>
                </w:r>
              </w:p>
            </w:tc>
          </w:tr>
          <w:tr>
            <w:tc>
              <w:tcPr>
                <w:tcW w:w="559" w:type="pct"/>
                <w:tcBorders>
                  <w:top w:val="single" w:sz="4" w:space="0" w:color="auto"/>
                  <w:left w:val="single" w:sz="4" w:space="0" w:color="auto"/>
                  <w:bottom w:val="single" w:sz="4" w:space="0" w:color="auto"/>
                  <w:right w:val="single" w:sz="4" w:space="0" w:color="auto"/>
                </w:tcBorders>
              </w:tcPr>
              <w:p>
                <w:pPr>
                  <w:widowControl w:val="0"/>
                  <w:spacing w:line="360" w:lineRule="auto"/>
                  <w:ind w:left="720" w:hanging="360"/>
                  <w:rPr>
                    <w:rFonts w:eastAsia="Calibri"/>
                    <w:bCs/>
                  </w:rPr>
                </w:pPr>
                <w:r>
                  <w:rPr>
                    <w:rFonts w:eastAsia="Calibri"/>
                    <w:bCs/>
                  </w:rPr>
                  <w:t>3.</w:t>
                  <w:tab/>
                </w:r>
              </w:p>
            </w:tc>
            <w:tc>
              <w:tcPr>
                <w:tcW w:w="1222"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eastAsia="Calibri" w:hAnsi="Arial" w:cs="Arial"/>
                    <w:bCs/>
                    <w:lang w:eastAsia="lt-LT"/>
                  </w:rPr>
                </w:pPr>
                <w:r>
                  <w:rPr>
                    <w:rFonts w:eastAsia="Calibri"/>
                    <w:bCs/>
                  </w:rPr>
                  <w:t>Kadmis</w:t>
                </w:r>
              </w:p>
            </w:tc>
            <w:tc>
              <w:tcPr>
                <w:tcW w:w="1151"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eastAsia="Calibri" w:hAnsi="Arial" w:cs="Arial"/>
                    <w:lang w:eastAsia="lt-LT"/>
                  </w:rPr>
                </w:pPr>
                <w:r>
                  <w:rPr>
                    <w:rFonts w:eastAsia="Calibri"/>
                  </w:rPr>
                  <w:t>Cd</w:t>
                </w:r>
              </w:p>
            </w:tc>
            <w:tc>
              <w:tcPr>
                <w:tcW w:w="2068"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eastAsia="Calibri" w:hAnsi="Arial" w:cs="Arial"/>
                    <w:lang w:eastAsia="lt-LT"/>
                  </w:rPr>
                </w:pPr>
                <w:r>
                  <w:rPr>
                    <w:rFonts w:eastAsia="Calibri"/>
                  </w:rPr>
                  <w:t>ISO 15586:2003; EPA Method 282.2:1978; EPA Method 7010:2007</w:t>
                </w:r>
              </w:p>
            </w:tc>
          </w:tr>
          <w:tr>
            <w:tc>
              <w:tcPr>
                <w:tcW w:w="559" w:type="pct"/>
                <w:tcBorders>
                  <w:top w:val="single" w:sz="4" w:space="0" w:color="auto"/>
                  <w:left w:val="single" w:sz="4" w:space="0" w:color="auto"/>
                  <w:bottom w:val="single" w:sz="4" w:space="0" w:color="auto"/>
                  <w:right w:val="single" w:sz="4" w:space="0" w:color="auto"/>
                </w:tcBorders>
              </w:tcPr>
              <w:p>
                <w:pPr>
                  <w:widowControl w:val="0"/>
                  <w:spacing w:line="360" w:lineRule="auto"/>
                  <w:ind w:left="720" w:hanging="360"/>
                  <w:rPr>
                    <w:rFonts w:eastAsia="Calibri"/>
                    <w:bCs/>
                  </w:rPr>
                </w:pPr>
                <w:r>
                  <w:rPr>
                    <w:rFonts w:eastAsia="Calibri"/>
                    <w:bCs/>
                  </w:rPr>
                  <w:t>4.</w:t>
                  <w:tab/>
                </w:r>
              </w:p>
            </w:tc>
            <w:tc>
              <w:tcPr>
                <w:tcW w:w="1222"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eastAsia="Calibri" w:hAnsi="Arial" w:cs="Arial"/>
                    <w:bCs/>
                    <w:lang w:eastAsia="lt-LT"/>
                  </w:rPr>
                </w:pPr>
                <w:r>
                  <w:rPr>
                    <w:rFonts w:eastAsia="Calibri"/>
                    <w:bCs/>
                  </w:rPr>
                  <w:t>Chromas</w:t>
                </w:r>
                <w:r>
                  <w:rPr>
                    <w:rFonts w:eastAsia="Calibri"/>
                    <w:bCs/>
                    <w:vertAlign w:val="subscript"/>
                  </w:rPr>
                  <w:t>bend.</w:t>
                </w:r>
              </w:p>
            </w:tc>
            <w:tc>
              <w:tcPr>
                <w:tcW w:w="1151"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eastAsia="Calibri" w:hAnsi="Arial" w:cs="Arial"/>
                    <w:lang w:eastAsia="lt-LT"/>
                  </w:rPr>
                </w:pPr>
                <w:r>
                  <w:rPr>
                    <w:rFonts w:eastAsia="Calibri"/>
                  </w:rPr>
                  <w:t>Cr</w:t>
                </w:r>
                <w:r>
                  <w:rPr>
                    <w:rFonts w:eastAsia="Calibri"/>
                    <w:vertAlign w:val="subscript"/>
                  </w:rPr>
                  <w:t>b</w:t>
                </w:r>
              </w:p>
            </w:tc>
            <w:tc>
              <w:tcPr>
                <w:tcW w:w="2068"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eastAsia="Calibri" w:hAnsi="Arial" w:cs="Arial"/>
                    <w:lang w:eastAsia="lt-LT"/>
                  </w:rPr>
                </w:pPr>
                <w:r>
                  <w:rPr>
                    <w:rFonts w:eastAsia="Calibri"/>
                  </w:rPr>
                  <w:t>ISO 15586:2003; EPA Method 282.2:1978; EPA Method 7010:2007</w:t>
                </w:r>
              </w:p>
            </w:tc>
          </w:tr>
          <w:tr>
            <w:tc>
              <w:tcPr>
                <w:tcW w:w="559" w:type="pct"/>
                <w:tcBorders>
                  <w:top w:val="single" w:sz="4" w:space="0" w:color="auto"/>
                  <w:left w:val="single" w:sz="4" w:space="0" w:color="auto"/>
                  <w:bottom w:val="single" w:sz="4" w:space="0" w:color="auto"/>
                  <w:right w:val="single" w:sz="4" w:space="0" w:color="auto"/>
                </w:tcBorders>
              </w:tcPr>
              <w:p>
                <w:pPr>
                  <w:widowControl w:val="0"/>
                  <w:spacing w:line="360" w:lineRule="auto"/>
                  <w:ind w:left="720" w:hanging="360"/>
                  <w:rPr>
                    <w:rFonts w:eastAsia="Calibri"/>
                    <w:bCs/>
                  </w:rPr>
                </w:pPr>
                <w:r>
                  <w:rPr>
                    <w:rFonts w:eastAsia="Calibri"/>
                    <w:bCs/>
                  </w:rPr>
                  <w:t>5.</w:t>
                  <w:tab/>
                </w:r>
              </w:p>
            </w:tc>
            <w:tc>
              <w:tcPr>
                <w:tcW w:w="1222"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eastAsia="Calibri" w:hAnsi="Arial" w:cs="Arial"/>
                    <w:bCs/>
                    <w:lang w:eastAsia="lt-LT"/>
                  </w:rPr>
                </w:pPr>
                <w:r>
                  <w:rPr>
                    <w:rFonts w:eastAsia="Calibri"/>
                    <w:bCs/>
                  </w:rPr>
                  <w:t>Varis</w:t>
                </w:r>
              </w:p>
            </w:tc>
            <w:tc>
              <w:tcPr>
                <w:tcW w:w="1151"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eastAsia="Calibri" w:hAnsi="Arial" w:cs="Arial"/>
                    <w:lang w:eastAsia="lt-LT"/>
                  </w:rPr>
                </w:pPr>
                <w:r>
                  <w:rPr>
                    <w:rFonts w:eastAsia="Calibri"/>
                  </w:rPr>
                  <w:t>Cu</w:t>
                </w:r>
              </w:p>
            </w:tc>
            <w:tc>
              <w:tcPr>
                <w:tcW w:w="2068"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eastAsia="Calibri" w:hAnsi="Arial" w:cs="Arial"/>
                    <w:lang w:eastAsia="lt-LT"/>
                  </w:rPr>
                </w:pPr>
                <w:r>
                  <w:rPr>
                    <w:rFonts w:eastAsia="Calibri"/>
                  </w:rPr>
                  <w:t>ISO 15586:2003; EPA Method 282.2:1978; EPA Method 7010:2007</w:t>
                </w:r>
              </w:p>
            </w:tc>
          </w:tr>
          <w:tr>
            <w:tc>
              <w:tcPr>
                <w:tcW w:w="559" w:type="pct"/>
                <w:tcBorders>
                  <w:top w:val="single" w:sz="4" w:space="0" w:color="auto"/>
                  <w:left w:val="single" w:sz="4" w:space="0" w:color="auto"/>
                  <w:bottom w:val="single" w:sz="4" w:space="0" w:color="auto"/>
                  <w:right w:val="single" w:sz="4" w:space="0" w:color="auto"/>
                </w:tcBorders>
              </w:tcPr>
              <w:p>
                <w:pPr>
                  <w:widowControl w:val="0"/>
                  <w:spacing w:line="360" w:lineRule="auto"/>
                  <w:ind w:left="720" w:hanging="360"/>
                  <w:rPr>
                    <w:rFonts w:eastAsia="Calibri"/>
                    <w:bCs/>
                  </w:rPr>
                </w:pPr>
                <w:r>
                  <w:rPr>
                    <w:rFonts w:eastAsia="Calibri"/>
                    <w:bCs/>
                  </w:rPr>
                  <w:t>6.</w:t>
                  <w:tab/>
                </w:r>
              </w:p>
            </w:tc>
            <w:tc>
              <w:tcPr>
                <w:tcW w:w="1222"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eastAsia="Calibri" w:hAnsi="Arial" w:cs="Arial"/>
                    <w:bCs/>
                    <w:lang w:eastAsia="lt-LT"/>
                  </w:rPr>
                </w:pPr>
                <w:r>
                  <w:rPr>
                    <w:rFonts w:eastAsia="Calibri"/>
                    <w:bCs/>
                  </w:rPr>
                  <w:t>Gyvsidabris</w:t>
                </w:r>
              </w:p>
            </w:tc>
            <w:tc>
              <w:tcPr>
                <w:tcW w:w="1151"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eastAsia="Calibri" w:hAnsi="Arial" w:cs="Arial"/>
                    <w:lang w:eastAsia="lt-LT"/>
                  </w:rPr>
                </w:pPr>
                <w:r>
                  <w:rPr>
                    <w:rFonts w:eastAsia="Calibri"/>
                  </w:rPr>
                  <w:t>Hg</w:t>
                </w:r>
              </w:p>
            </w:tc>
            <w:tc>
              <w:tcPr>
                <w:tcW w:w="2068"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eastAsia="Calibri" w:hAnsi="Arial" w:cs="Arial"/>
                    <w:lang w:eastAsia="lt-LT"/>
                  </w:rPr>
                </w:pPr>
                <w:r>
                  <w:rPr>
                    <w:rFonts w:eastAsia="Calibri"/>
                  </w:rPr>
                  <w:t>ISO 12846:2012</w:t>
                </w:r>
              </w:p>
            </w:tc>
          </w:tr>
          <w:tr>
            <w:tc>
              <w:tcPr>
                <w:tcW w:w="559" w:type="pct"/>
                <w:tcBorders>
                  <w:top w:val="single" w:sz="4" w:space="0" w:color="auto"/>
                  <w:left w:val="single" w:sz="4" w:space="0" w:color="auto"/>
                  <w:bottom w:val="single" w:sz="4" w:space="0" w:color="auto"/>
                  <w:right w:val="single" w:sz="4" w:space="0" w:color="auto"/>
                </w:tcBorders>
              </w:tcPr>
              <w:p>
                <w:pPr>
                  <w:widowControl w:val="0"/>
                  <w:spacing w:line="360" w:lineRule="auto"/>
                  <w:ind w:left="720" w:hanging="360"/>
                  <w:rPr>
                    <w:rFonts w:eastAsia="Calibri"/>
                    <w:bCs/>
                  </w:rPr>
                </w:pPr>
                <w:r>
                  <w:rPr>
                    <w:rFonts w:eastAsia="Calibri"/>
                    <w:bCs/>
                  </w:rPr>
                  <w:t>7.</w:t>
                  <w:tab/>
                </w:r>
              </w:p>
            </w:tc>
            <w:tc>
              <w:tcPr>
                <w:tcW w:w="1222"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eastAsia="Calibri" w:hAnsi="Arial" w:cs="Arial"/>
                    <w:bCs/>
                    <w:lang w:eastAsia="lt-LT"/>
                  </w:rPr>
                </w:pPr>
                <w:r>
                  <w:rPr>
                    <w:rFonts w:eastAsia="Calibri"/>
                    <w:bCs/>
                  </w:rPr>
                  <w:t>Molibdenas</w:t>
                </w:r>
              </w:p>
            </w:tc>
            <w:tc>
              <w:tcPr>
                <w:tcW w:w="1151"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eastAsia="Calibri" w:hAnsi="Arial" w:cs="Arial"/>
                    <w:lang w:eastAsia="lt-LT"/>
                  </w:rPr>
                </w:pPr>
                <w:r>
                  <w:rPr>
                    <w:rFonts w:eastAsia="Calibri"/>
                  </w:rPr>
                  <w:t>Mo</w:t>
                </w:r>
              </w:p>
            </w:tc>
            <w:tc>
              <w:tcPr>
                <w:tcW w:w="2068"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eastAsia="Calibri" w:hAnsi="Arial" w:cs="Arial"/>
                    <w:lang w:eastAsia="lt-LT"/>
                  </w:rPr>
                </w:pPr>
                <w:r>
                  <w:rPr>
                    <w:rFonts w:eastAsia="Calibri"/>
                  </w:rPr>
                  <w:t>ISO 15586:2003; EPA Method 282.2:1978; EPA Method 7010:2007</w:t>
                </w:r>
              </w:p>
            </w:tc>
          </w:tr>
          <w:tr>
            <w:tc>
              <w:tcPr>
                <w:tcW w:w="559" w:type="pct"/>
                <w:tcBorders>
                  <w:top w:val="single" w:sz="4" w:space="0" w:color="auto"/>
                  <w:left w:val="single" w:sz="4" w:space="0" w:color="auto"/>
                  <w:bottom w:val="single" w:sz="4" w:space="0" w:color="auto"/>
                  <w:right w:val="single" w:sz="4" w:space="0" w:color="auto"/>
                </w:tcBorders>
              </w:tcPr>
              <w:p>
                <w:pPr>
                  <w:widowControl w:val="0"/>
                  <w:spacing w:line="360" w:lineRule="auto"/>
                  <w:ind w:left="720" w:hanging="360"/>
                  <w:rPr>
                    <w:rFonts w:eastAsia="Calibri"/>
                    <w:bCs/>
                  </w:rPr>
                </w:pPr>
                <w:r>
                  <w:rPr>
                    <w:rFonts w:eastAsia="Calibri"/>
                    <w:bCs/>
                  </w:rPr>
                  <w:t>8.</w:t>
                  <w:tab/>
                </w:r>
              </w:p>
            </w:tc>
            <w:tc>
              <w:tcPr>
                <w:tcW w:w="1222"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eastAsia="Calibri" w:hAnsi="Arial" w:cs="Arial"/>
                    <w:bCs/>
                    <w:lang w:eastAsia="lt-LT"/>
                  </w:rPr>
                </w:pPr>
                <w:r>
                  <w:rPr>
                    <w:rFonts w:eastAsia="Calibri"/>
                    <w:bCs/>
                  </w:rPr>
                  <w:t>Nikelis</w:t>
                </w:r>
              </w:p>
            </w:tc>
            <w:tc>
              <w:tcPr>
                <w:tcW w:w="1151"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eastAsia="Calibri" w:hAnsi="Arial" w:cs="Arial"/>
                    <w:lang w:eastAsia="lt-LT"/>
                  </w:rPr>
                </w:pPr>
                <w:r>
                  <w:rPr>
                    <w:rFonts w:eastAsia="Calibri"/>
                  </w:rPr>
                  <w:t>Ni</w:t>
                </w:r>
              </w:p>
            </w:tc>
            <w:tc>
              <w:tcPr>
                <w:tcW w:w="2068"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eastAsia="Calibri" w:hAnsi="Arial" w:cs="Arial"/>
                    <w:lang w:eastAsia="lt-LT"/>
                  </w:rPr>
                </w:pPr>
                <w:r>
                  <w:rPr>
                    <w:rFonts w:eastAsia="Calibri"/>
                  </w:rPr>
                  <w:t>ISO 15586:2003; EPA Method 282.2:1978; EPA Method 7010:2007</w:t>
                </w:r>
              </w:p>
            </w:tc>
          </w:tr>
          <w:tr>
            <w:tc>
              <w:tcPr>
                <w:tcW w:w="559" w:type="pct"/>
                <w:tcBorders>
                  <w:top w:val="single" w:sz="4" w:space="0" w:color="auto"/>
                  <w:left w:val="single" w:sz="4" w:space="0" w:color="auto"/>
                  <w:bottom w:val="single" w:sz="4" w:space="0" w:color="auto"/>
                  <w:right w:val="single" w:sz="4" w:space="0" w:color="auto"/>
                </w:tcBorders>
              </w:tcPr>
              <w:p>
                <w:pPr>
                  <w:widowControl w:val="0"/>
                  <w:spacing w:line="360" w:lineRule="auto"/>
                  <w:ind w:left="720" w:hanging="360"/>
                  <w:rPr>
                    <w:rFonts w:eastAsia="Calibri"/>
                    <w:bCs/>
                  </w:rPr>
                </w:pPr>
                <w:r>
                  <w:rPr>
                    <w:rFonts w:eastAsia="Calibri"/>
                    <w:bCs/>
                  </w:rPr>
                  <w:t>9.</w:t>
                  <w:tab/>
                </w:r>
              </w:p>
            </w:tc>
            <w:tc>
              <w:tcPr>
                <w:tcW w:w="1222"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eastAsia="Calibri" w:hAnsi="Arial" w:cs="Arial"/>
                    <w:bCs/>
                    <w:lang w:eastAsia="lt-LT"/>
                  </w:rPr>
                </w:pPr>
                <w:r>
                  <w:rPr>
                    <w:rFonts w:eastAsia="Calibri"/>
                    <w:bCs/>
                  </w:rPr>
                  <w:t>Švinas</w:t>
                </w:r>
              </w:p>
            </w:tc>
            <w:tc>
              <w:tcPr>
                <w:tcW w:w="1151"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eastAsia="Calibri" w:hAnsi="Arial" w:cs="Arial"/>
                    <w:lang w:eastAsia="lt-LT"/>
                  </w:rPr>
                </w:pPr>
                <w:r>
                  <w:rPr>
                    <w:rFonts w:eastAsia="Calibri"/>
                  </w:rPr>
                  <w:t>Pb</w:t>
                </w:r>
              </w:p>
            </w:tc>
            <w:tc>
              <w:tcPr>
                <w:tcW w:w="2068"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eastAsia="Calibri" w:hAnsi="Arial" w:cs="Arial"/>
                    <w:lang w:eastAsia="lt-LT"/>
                  </w:rPr>
                </w:pPr>
                <w:r>
                  <w:rPr>
                    <w:rFonts w:eastAsia="Calibri"/>
                  </w:rPr>
                  <w:t>ISO 15586:2003; EPA Method 282.2:1978; EPA Method 7010:2007</w:t>
                </w:r>
              </w:p>
            </w:tc>
          </w:tr>
          <w:tr>
            <w:tc>
              <w:tcPr>
                <w:tcW w:w="559" w:type="pct"/>
                <w:tcBorders>
                  <w:top w:val="single" w:sz="4" w:space="0" w:color="auto"/>
                  <w:left w:val="single" w:sz="4" w:space="0" w:color="auto"/>
                  <w:bottom w:val="single" w:sz="4" w:space="0" w:color="auto"/>
                  <w:right w:val="single" w:sz="4" w:space="0" w:color="auto"/>
                </w:tcBorders>
              </w:tcPr>
              <w:p>
                <w:pPr>
                  <w:widowControl w:val="0"/>
                  <w:spacing w:line="360" w:lineRule="auto"/>
                  <w:ind w:left="720" w:hanging="360"/>
                  <w:rPr>
                    <w:rFonts w:eastAsia="Calibri"/>
                    <w:bCs/>
                  </w:rPr>
                </w:pPr>
                <w:r>
                  <w:rPr>
                    <w:rFonts w:eastAsia="Calibri"/>
                    <w:bCs/>
                  </w:rPr>
                  <w:t>10.</w:t>
                  <w:tab/>
                </w:r>
              </w:p>
            </w:tc>
            <w:tc>
              <w:tcPr>
                <w:tcW w:w="1222"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eastAsia="Calibri" w:hAnsi="Arial" w:cs="Arial"/>
                    <w:bCs/>
                    <w:lang w:eastAsia="lt-LT"/>
                  </w:rPr>
                </w:pPr>
                <w:r>
                  <w:rPr>
                    <w:rFonts w:eastAsia="Calibri"/>
                    <w:bCs/>
                  </w:rPr>
                  <w:t>Stibis</w:t>
                </w:r>
              </w:p>
            </w:tc>
            <w:tc>
              <w:tcPr>
                <w:tcW w:w="1151"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eastAsia="Calibri" w:hAnsi="Arial" w:cs="Arial"/>
                    <w:lang w:eastAsia="lt-LT"/>
                  </w:rPr>
                </w:pPr>
                <w:r>
                  <w:rPr>
                    <w:rFonts w:eastAsia="Calibri"/>
                  </w:rPr>
                  <w:t>Sb</w:t>
                </w:r>
              </w:p>
            </w:tc>
            <w:tc>
              <w:tcPr>
                <w:tcW w:w="2068"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eastAsia="Calibri" w:hAnsi="Arial" w:cs="Arial"/>
                    <w:lang w:eastAsia="lt-LT"/>
                  </w:rPr>
                </w:pPr>
                <w:r>
                  <w:rPr>
                    <w:rFonts w:eastAsia="Calibri"/>
                  </w:rPr>
                  <w:t>ISO 15586:2003; EPA Method 282.2:1978; EPA Method 7010:2007</w:t>
                </w:r>
              </w:p>
            </w:tc>
          </w:tr>
          <w:tr>
            <w:tc>
              <w:tcPr>
                <w:tcW w:w="559" w:type="pct"/>
                <w:tcBorders>
                  <w:top w:val="single" w:sz="4" w:space="0" w:color="auto"/>
                  <w:left w:val="single" w:sz="4" w:space="0" w:color="auto"/>
                  <w:bottom w:val="single" w:sz="4" w:space="0" w:color="auto"/>
                  <w:right w:val="single" w:sz="4" w:space="0" w:color="auto"/>
                </w:tcBorders>
              </w:tcPr>
              <w:p>
                <w:pPr>
                  <w:widowControl w:val="0"/>
                  <w:spacing w:line="360" w:lineRule="auto"/>
                  <w:ind w:left="720" w:hanging="360"/>
                  <w:rPr>
                    <w:rFonts w:eastAsia="Calibri"/>
                    <w:bCs/>
                  </w:rPr>
                </w:pPr>
                <w:r>
                  <w:rPr>
                    <w:rFonts w:eastAsia="Calibri"/>
                    <w:bCs/>
                  </w:rPr>
                  <w:t>11.</w:t>
                  <w:tab/>
                </w:r>
              </w:p>
            </w:tc>
            <w:tc>
              <w:tcPr>
                <w:tcW w:w="1222"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eastAsia="Calibri" w:hAnsi="Arial" w:cs="Arial"/>
                    <w:bCs/>
                    <w:lang w:eastAsia="lt-LT"/>
                  </w:rPr>
                </w:pPr>
                <w:r>
                  <w:rPr>
                    <w:rFonts w:eastAsia="Calibri"/>
                    <w:bCs/>
                  </w:rPr>
                  <w:t>Selenas</w:t>
                </w:r>
              </w:p>
            </w:tc>
            <w:tc>
              <w:tcPr>
                <w:tcW w:w="1151"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eastAsia="Calibri" w:hAnsi="Arial" w:cs="Arial"/>
                    <w:lang w:eastAsia="lt-LT"/>
                  </w:rPr>
                </w:pPr>
                <w:r>
                  <w:rPr>
                    <w:rFonts w:eastAsia="Calibri"/>
                  </w:rPr>
                  <w:t>Se</w:t>
                </w:r>
              </w:p>
            </w:tc>
            <w:tc>
              <w:tcPr>
                <w:tcW w:w="2068"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eastAsia="Calibri" w:hAnsi="Arial" w:cs="Arial"/>
                    <w:lang w:eastAsia="lt-LT"/>
                  </w:rPr>
                </w:pPr>
                <w:r>
                  <w:rPr>
                    <w:rFonts w:eastAsia="Calibri"/>
                  </w:rPr>
                  <w:t>ISO 15586:2003; EPA Method 282.2:1978; EPA Method 7010:2007</w:t>
                </w:r>
              </w:p>
            </w:tc>
          </w:tr>
          <w:tr>
            <w:tc>
              <w:tcPr>
                <w:tcW w:w="559" w:type="pct"/>
                <w:tcBorders>
                  <w:top w:val="single" w:sz="4" w:space="0" w:color="auto"/>
                  <w:left w:val="single" w:sz="4" w:space="0" w:color="auto"/>
                  <w:bottom w:val="single" w:sz="4" w:space="0" w:color="auto"/>
                  <w:right w:val="single" w:sz="4" w:space="0" w:color="auto"/>
                </w:tcBorders>
              </w:tcPr>
              <w:p>
                <w:pPr>
                  <w:widowControl w:val="0"/>
                  <w:spacing w:line="360" w:lineRule="auto"/>
                  <w:ind w:left="720" w:hanging="360"/>
                  <w:rPr>
                    <w:rFonts w:eastAsia="Calibri"/>
                    <w:bCs/>
                  </w:rPr>
                </w:pPr>
                <w:r>
                  <w:rPr>
                    <w:rFonts w:eastAsia="Calibri"/>
                    <w:bCs/>
                  </w:rPr>
                  <w:t>12.</w:t>
                  <w:tab/>
                </w:r>
              </w:p>
            </w:tc>
            <w:tc>
              <w:tcPr>
                <w:tcW w:w="1222"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eastAsia="Calibri" w:hAnsi="Arial" w:cs="Arial"/>
                    <w:bCs/>
                    <w:lang w:eastAsia="lt-LT"/>
                  </w:rPr>
                </w:pPr>
                <w:r>
                  <w:rPr>
                    <w:rFonts w:eastAsia="Calibri"/>
                    <w:bCs/>
                  </w:rPr>
                  <w:t>Cinkas</w:t>
                </w:r>
              </w:p>
            </w:tc>
            <w:tc>
              <w:tcPr>
                <w:tcW w:w="1151"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eastAsia="Calibri" w:hAnsi="Arial" w:cs="Arial"/>
                    <w:lang w:eastAsia="lt-LT"/>
                  </w:rPr>
                </w:pPr>
                <w:r>
                  <w:rPr>
                    <w:rFonts w:eastAsia="Calibri"/>
                  </w:rPr>
                  <w:t>Zn</w:t>
                </w:r>
              </w:p>
            </w:tc>
            <w:tc>
              <w:tcPr>
                <w:tcW w:w="2068"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eastAsia="Calibri" w:hAnsi="Arial" w:cs="Arial"/>
                    <w:lang w:eastAsia="lt-LT"/>
                  </w:rPr>
                </w:pPr>
                <w:r>
                  <w:rPr>
                    <w:rFonts w:eastAsia="Calibri"/>
                  </w:rPr>
                  <w:t>ISO 15586:2003; EPA Method 282.2:1978; EPA Method 7010:2007</w:t>
                </w:r>
              </w:p>
            </w:tc>
          </w:tr>
          <w:tr>
            <w:trPr>
              <w:trHeight w:val="70"/>
            </w:trPr>
            <w:tc>
              <w:tcPr>
                <w:tcW w:w="559" w:type="pct"/>
                <w:tcBorders>
                  <w:top w:val="single" w:sz="4" w:space="0" w:color="auto"/>
                  <w:left w:val="single" w:sz="4" w:space="0" w:color="auto"/>
                  <w:bottom w:val="single" w:sz="4" w:space="0" w:color="auto"/>
                  <w:right w:val="single" w:sz="4" w:space="0" w:color="auto"/>
                </w:tcBorders>
              </w:tcPr>
              <w:p>
                <w:pPr>
                  <w:widowControl w:val="0"/>
                  <w:spacing w:line="360" w:lineRule="auto"/>
                  <w:ind w:left="720" w:hanging="360"/>
                  <w:rPr>
                    <w:rFonts w:eastAsia="Calibri"/>
                    <w:bCs/>
                  </w:rPr>
                </w:pPr>
                <w:r>
                  <w:rPr>
                    <w:rFonts w:eastAsia="Calibri"/>
                    <w:bCs/>
                  </w:rPr>
                  <w:t>13.</w:t>
                  <w:tab/>
                </w:r>
              </w:p>
            </w:tc>
            <w:tc>
              <w:tcPr>
                <w:tcW w:w="1222"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eastAsia="Calibri" w:hAnsi="Arial" w:cs="Arial"/>
                    <w:bCs/>
                    <w:lang w:eastAsia="lt-LT"/>
                  </w:rPr>
                </w:pPr>
                <w:r>
                  <w:rPr>
                    <w:rFonts w:eastAsia="Calibri"/>
                    <w:bCs/>
                  </w:rPr>
                  <w:t>Aliuminis</w:t>
                </w:r>
              </w:p>
            </w:tc>
            <w:tc>
              <w:tcPr>
                <w:tcW w:w="1151"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eastAsia="Calibri" w:hAnsi="Arial" w:cs="Arial"/>
                    <w:lang w:eastAsia="lt-LT"/>
                  </w:rPr>
                </w:pPr>
                <w:r>
                  <w:rPr>
                    <w:rFonts w:eastAsia="Calibri"/>
                  </w:rPr>
                  <w:t>Al</w:t>
                </w:r>
              </w:p>
            </w:tc>
            <w:tc>
              <w:tcPr>
                <w:tcW w:w="2068"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eastAsia="Calibri" w:hAnsi="Arial" w:cs="Arial"/>
                    <w:lang w:eastAsia="lt-LT"/>
                  </w:rPr>
                </w:pPr>
                <w:r>
                  <w:rPr>
                    <w:rFonts w:eastAsia="Calibri"/>
                  </w:rPr>
                  <w:t>ISO 15586:2003; EPA Method 282.2:1978; EPA Method 7010:2007</w:t>
                </w:r>
              </w:p>
            </w:tc>
          </w:tr>
          <w:tr>
            <w:tc>
              <w:tcPr>
                <w:tcW w:w="559" w:type="pct"/>
                <w:tcBorders>
                  <w:top w:val="single" w:sz="4" w:space="0" w:color="auto"/>
                  <w:left w:val="single" w:sz="4" w:space="0" w:color="auto"/>
                  <w:bottom w:val="single" w:sz="4" w:space="0" w:color="auto"/>
                  <w:right w:val="single" w:sz="4" w:space="0" w:color="auto"/>
                </w:tcBorders>
              </w:tcPr>
              <w:p>
                <w:pPr>
                  <w:widowControl w:val="0"/>
                  <w:spacing w:line="360" w:lineRule="auto"/>
                  <w:ind w:left="720" w:hanging="360"/>
                  <w:rPr>
                    <w:rFonts w:eastAsia="Calibri"/>
                    <w:bCs/>
                    <w:iCs/>
                    <w:color w:val="000000"/>
                  </w:rPr>
                </w:pPr>
                <w:r>
                  <w:rPr>
                    <w:rFonts w:eastAsia="Calibri"/>
                    <w:bCs/>
                    <w:iCs/>
                    <w:color w:val="000000"/>
                  </w:rPr>
                  <w:t>14.</w:t>
                  <w:tab/>
                </w:r>
              </w:p>
            </w:tc>
            <w:tc>
              <w:tcPr>
                <w:tcW w:w="1222"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eastAsia="Calibri" w:hAnsi="Arial" w:cs="Arial"/>
                    <w:bCs/>
                    <w:iCs/>
                    <w:color w:val="000000"/>
                    <w:lang w:eastAsia="lt-LT"/>
                  </w:rPr>
                </w:pPr>
                <w:r>
                  <w:rPr>
                    <w:rFonts w:eastAsia="Calibri"/>
                    <w:bCs/>
                    <w:iCs/>
                    <w:color w:val="000000"/>
                  </w:rPr>
                  <w:t>Kobaltas</w:t>
                </w:r>
              </w:p>
            </w:tc>
            <w:tc>
              <w:tcPr>
                <w:tcW w:w="1151"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eastAsia="Calibri" w:hAnsi="Arial" w:cs="Arial"/>
                    <w:lang w:eastAsia="lt-LT"/>
                  </w:rPr>
                </w:pPr>
                <w:r>
                  <w:rPr>
                    <w:rFonts w:eastAsia="Calibri"/>
                  </w:rPr>
                  <w:t>Co</w:t>
                </w:r>
              </w:p>
            </w:tc>
            <w:tc>
              <w:tcPr>
                <w:tcW w:w="2068"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eastAsia="Calibri" w:hAnsi="Arial" w:cs="Arial"/>
                    <w:lang w:eastAsia="lt-LT"/>
                  </w:rPr>
                </w:pPr>
                <w:r>
                  <w:rPr>
                    <w:rFonts w:eastAsia="Calibri"/>
                  </w:rPr>
                  <w:t>ISO 15586:2003; EPA Method 282.2:1978; EPA Method 7010:2007</w:t>
                </w:r>
              </w:p>
            </w:tc>
          </w:tr>
          <w:tr>
            <w:tc>
              <w:tcPr>
                <w:tcW w:w="559" w:type="pct"/>
                <w:tcBorders>
                  <w:top w:val="single" w:sz="4" w:space="0" w:color="auto"/>
                  <w:left w:val="single" w:sz="4" w:space="0" w:color="auto"/>
                  <w:bottom w:val="single" w:sz="4" w:space="0" w:color="auto"/>
                  <w:right w:val="single" w:sz="4" w:space="0" w:color="auto"/>
                </w:tcBorders>
              </w:tcPr>
              <w:p>
                <w:pPr>
                  <w:widowControl w:val="0"/>
                  <w:spacing w:line="360" w:lineRule="auto"/>
                  <w:ind w:left="720" w:hanging="360"/>
                  <w:rPr>
                    <w:rFonts w:eastAsia="Calibri"/>
                    <w:bCs/>
                    <w:iCs/>
                    <w:color w:val="000000"/>
                  </w:rPr>
                </w:pPr>
                <w:r>
                  <w:rPr>
                    <w:rFonts w:eastAsia="Calibri"/>
                    <w:bCs/>
                    <w:iCs/>
                    <w:color w:val="000000"/>
                  </w:rPr>
                  <w:t>15.</w:t>
                  <w:tab/>
                </w:r>
              </w:p>
            </w:tc>
            <w:tc>
              <w:tcPr>
                <w:tcW w:w="1222"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eastAsia="Calibri" w:hAnsi="Arial" w:cs="Arial"/>
                    <w:bCs/>
                    <w:iCs/>
                    <w:color w:val="000000"/>
                    <w:lang w:eastAsia="lt-LT"/>
                  </w:rPr>
                </w:pPr>
                <w:r>
                  <w:rPr>
                    <w:rFonts w:eastAsia="Calibri"/>
                    <w:bCs/>
                    <w:iCs/>
                    <w:color w:val="000000"/>
                  </w:rPr>
                  <w:t>Manganas</w:t>
                </w:r>
              </w:p>
            </w:tc>
            <w:tc>
              <w:tcPr>
                <w:tcW w:w="1151"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eastAsia="Calibri" w:hAnsi="Arial" w:cs="Arial"/>
                    <w:lang w:eastAsia="lt-LT"/>
                  </w:rPr>
                </w:pPr>
                <w:r>
                  <w:rPr>
                    <w:rFonts w:eastAsia="Calibri"/>
                  </w:rPr>
                  <w:t>Mn</w:t>
                </w:r>
              </w:p>
            </w:tc>
            <w:tc>
              <w:tcPr>
                <w:tcW w:w="2068"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eastAsia="Calibri" w:hAnsi="Arial" w:cs="Arial"/>
                    <w:lang w:eastAsia="lt-LT"/>
                  </w:rPr>
                </w:pPr>
                <w:r>
                  <w:rPr>
                    <w:rFonts w:eastAsia="Calibri"/>
                  </w:rPr>
                  <w:t>ISO 15586:2003; EPA Method 282.2:1978; EPA Method 7010:2007</w:t>
                </w:r>
              </w:p>
            </w:tc>
          </w:tr>
          <w:tr>
            <w:tc>
              <w:tcPr>
                <w:tcW w:w="559" w:type="pct"/>
                <w:tcBorders>
                  <w:top w:val="single" w:sz="4" w:space="0" w:color="auto"/>
                  <w:left w:val="single" w:sz="4" w:space="0" w:color="auto"/>
                  <w:bottom w:val="single" w:sz="4" w:space="0" w:color="auto"/>
                  <w:right w:val="single" w:sz="4" w:space="0" w:color="auto"/>
                </w:tcBorders>
              </w:tcPr>
              <w:p>
                <w:pPr>
                  <w:widowControl w:val="0"/>
                  <w:spacing w:line="360" w:lineRule="auto"/>
                  <w:ind w:left="720" w:hanging="360"/>
                  <w:rPr>
                    <w:rFonts w:eastAsia="Calibri"/>
                    <w:bCs/>
                    <w:iCs/>
                    <w:color w:val="000000"/>
                  </w:rPr>
                </w:pPr>
                <w:r>
                  <w:rPr>
                    <w:rFonts w:eastAsia="Calibri"/>
                    <w:bCs/>
                    <w:iCs/>
                    <w:color w:val="000000"/>
                  </w:rPr>
                  <w:t>16.</w:t>
                  <w:tab/>
                </w:r>
              </w:p>
            </w:tc>
            <w:tc>
              <w:tcPr>
                <w:tcW w:w="1222"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eastAsia="Calibri" w:hAnsi="Arial" w:cs="Arial"/>
                    <w:bCs/>
                    <w:iCs/>
                    <w:color w:val="000000"/>
                    <w:lang w:eastAsia="lt-LT"/>
                  </w:rPr>
                </w:pPr>
                <w:r>
                  <w:rPr>
                    <w:rFonts w:eastAsia="Calibri"/>
                    <w:bCs/>
                    <w:iCs/>
                    <w:color w:val="000000"/>
                  </w:rPr>
                  <w:t>Alavas</w:t>
                </w:r>
              </w:p>
            </w:tc>
            <w:tc>
              <w:tcPr>
                <w:tcW w:w="1151"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eastAsia="Calibri" w:hAnsi="Arial" w:cs="Arial"/>
                    <w:lang w:eastAsia="lt-LT"/>
                  </w:rPr>
                </w:pPr>
                <w:r>
                  <w:rPr>
                    <w:rFonts w:eastAsia="Calibri"/>
                  </w:rPr>
                  <w:t>Sn</w:t>
                </w:r>
              </w:p>
            </w:tc>
            <w:tc>
              <w:tcPr>
                <w:tcW w:w="2068"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eastAsia="Calibri" w:hAnsi="Arial" w:cs="Arial"/>
                    <w:lang w:eastAsia="lt-LT"/>
                  </w:rPr>
                </w:pPr>
                <w:r>
                  <w:rPr>
                    <w:rFonts w:eastAsia="Calibri"/>
                  </w:rPr>
                  <w:t>ISO 15586:2003; EPA Method 282.2:1978; EPA Method 7010:2007</w:t>
                </w:r>
              </w:p>
            </w:tc>
          </w:tr>
          <w:tr>
            <w:tc>
              <w:tcPr>
                <w:tcW w:w="559" w:type="pct"/>
                <w:tcBorders>
                  <w:top w:val="single" w:sz="4" w:space="0" w:color="auto"/>
                  <w:left w:val="single" w:sz="4" w:space="0" w:color="auto"/>
                  <w:bottom w:val="single" w:sz="4" w:space="0" w:color="auto"/>
                  <w:right w:val="single" w:sz="4" w:space="0" w:color="auto"/>
                </w:tcBorders>
              </w:tcPr>
              <w:p>
                <w:pPr>
                  <w:widowControl w:val="0"/>
                  <w:spacing w:line="360" w:lineRule="auto"/>
                  <w:ind w:left="720" w:hanging="360"/>
                  <w:rPr>
                    <w:rFonts w:eastAsia="Calibri"/>
                    <w:bCs/>
                    <w:iCs/>
                    <w:color w:val="000000"/>
                  </w:rPr>
                </w:pPr>
                <w:r>
                  <w:rPr>
                    <w:rFonts w:eastAsia="Calibri"/>
                    <w:bCs/>
                    <w:iCs/>
                    <w:color w:val="000000"/>
                  </w:rPr>
                  <w:t>17.</w:t>
                  <w:tab/>
                </w:r>
              </w:p>
            </w:tc>
            <w:tc>
              <w:tcPr>
                <w:tcW w:w="1222"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eastAsia="Calibri" w:hAnsi="Arial" w:cs="Arial"/>
                    <w:bCs/>
                    <w:iCs/>
                    <w:color w:val="000000"/>
                    <w:lang w:eastAsia="lt-LT"/>
                  </w:rPr>
                </w:pPr>
                <w:r>
                  <w:rPr>
                    <w:rFonts w:eastAsia="Calibri"/>
                    <w:bCs/>
                    <w:iCs/>
                    <w:color w:val="000000"/>
                  </w:rPr>
                  <w:t>Vanadis</w:t>
                </w:r>
              </w:p>
            </w:tc>
            <w:tc>
              <w:tcPr>
                <w:tcW w:w="1151"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eastAsia="Calibri" w:hAnsi="Arial" w:cs="Arial"/>
                    <w:lang w:eastAsia="lt-LT"/>
                  </w:rPr>
                </w:pPr>
                <w:r>
                  <w:rPr>
                    <w:rFonts w:eastAsia="Calibri"/>
                  </w:rPr>
                  <w:t>V</w:t>
                </w:r>
              </w:p>
            </w:tc>
            <w:tc>
              <w:tcPr>
                <w:tcW w:w="2068"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eastAsia="Calibri" w:hAnsi="Arial" w:cs="Arial"/>
                    <w:lang w:eastAsia="lt-LT"/>
                  </w:rPr>
                </w:pPr>
                <w:r>
                  <w:rPr>
                    <w:rFonts w:eastAsia="Calibri"/>
                  </w:rPr>
                  <w:t>ISO 15586:2003; EPA Method 282.2:1978; EPA Method 7010:2007</w:t>
                </w:r>
              </w:p>
            </w:tc>
          </w:tr>
          <w:tr>
            <w:tc>
              <w:tcPr>
                <w:tcW w:w="559" w:type="pct"/>
                <w:tcBorders>
                  <w:top w:val="single" w:sz="4" w:space="0" w:color="auto"/>
                  <w:left w:val="single" w:sz="4" w:space="0" w:color="auto"/>
                  <w:bottom w:val="single" w:sz="4" w:space="0" w:color="auto"/>
                  <w:right w:val="single" w:sz="4" w:space="0" w:color="auto"/>
                </w:tcBorders>
              </w:tcPr>
              <w:p>
                <w:pPr>
                  <w:widowControl w:val="0"/>
                  <w:spacing w:line="360" w:lineRule="auto"/>
                  <w:ind w:left="720" w:hanging="360"/>
                  <w:rPr>
                    <w:rFonts w:eastAsia="Calibri"/>
                    <w:bCs/>
                    <w:iCs/>
                    <w:color w:val="000000"/>
                  </w:rPr>
                </w:pPr>
                <w:r>
                  <w:rPr>
                    <w:rFonts w:eastAsia="Calibri"/>
                    <w:bCs/>
                    <w:iCs/>
                    <w:color w:val="000000"/>
                  </w:rPr>
                  <w:t>18.</w:t>
                  <w:tab/>
                </w:r>
              </w:p>
            </w:tc>
            <w:tc>
              <w:tcPr>
                <w:tcW w:w="1222"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eastAsia="Calibri" w:hAnsi="Arial" w:cs="Arial"/>
                    <w:bCs/>
                    <w:iCs/>
                    <w:color w:val="000000"/>
                    <w:lang w:eastAsia="lt-LT"/>
                  </w:rPr>
                </w:pPr>
                <w:r>
                  <w:rPr>
                    <w:rFonts w:eastAsia="Calibri"/>
                    <w:bCs/>
                    <w:iCs/>
                    <w:color w:val="000000"/>
                  </w:rPr>
                  <w:t>Natris</w:t>
                </w:r>
              </w:p>
            </w:tc>
            <w:tc>
              <w:tcPr>
                <w:tcW w:w="1151"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eastAsia="Calibri" w:hAnsi="Arial" w:cs="Arial"/>
                    <w:lang w:eastAsia="lt-LT"/>
                  </w:rPr>
                </w:pPr>
                <w:r>
                  <w:rPr>
                    <w:rFonts w:eastAsia="Calibri"/>
                  </w:rPr>
                  <w:t>Na</w:t>
                </w:r>
              </w:p>
            </w:tc>
            <w:tc>
              <w:tcPr>
                <w:tcW w:w="2068"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eastAsia="Calibri" w:hAnsi="Arial" w:cs="Arial"/>
                    <w:lang w:eastAsia="lt-LT"/>
                  </w:rPr>
                </w:pPr>
                <w:r>
                  <w:rPr>
                    <w:rFonts w:eastAsia="Calibri"/>
                  </w:rPr>
                  <w:t>LST EN ISO 14911</w:t>
                </w:r>
              </w:p>
            </w:tc>
          </w:tr>
          <w:tr>
            <w:tc>
              <w:tcPr>
                <w:tcW w:w="559" w:type="pct"/>
                <w:tcBorders>
                  <w:top w:val="single" w:sz="4" w:space="0" w:color="auto"/>
                  <w:left w:val="single" w:sz="4" w:space="0" w:color="auto"/>
                  <w:bottom w:val="single" w:sz="4" w:space="0" w:color="auto"/>
                  <w:right w:val="single" w:sz="4" w:space="0" w:color="auto"/>
                </w:tcBorders>
              </w:tcPr>
              <w:p>
                <w:pPr>
                  <w:widowControl w:val="0"/>
                  <w:spacing w:line="360" w:lineRule="auto"/>
                  <w:ind w:left="720" w:hanging="360"/>
                  <w:rPr>
                    <w:rFonts w:eastAsia="Calibri"/>
                    <w:bCs/>
                  </w:rPr>
                </w:pPr>
                <w:r>
                  <w:rPr>
                    <w:rFonts w:eastAsia="Calibri"/>
                    <w:bCs/>
                  </w:rPr>
                  <w:t>19.</w:t>
                  <w:tab/>
                </w:r>
              </w:p>
            </w:tc>
            <w:tc>
              <w:tcPr>
                <w:tcW w:w="1222"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eastAsia="Calibri" w:hAnsi="Arial" w:cs="Arial"/>
                    <w:bCs/>
                    <w:lang w:eastAsia="lt-LT"/>
                  </w:rPr>
                </w:pPr>
                <w:r>
                  <w:rPr>
                    <w:rFonts w:eastAsia="Calibri"/>
                    <w:bCs/>
                  </w:rPr>
                  <w:t>Chloridai</w:t>
                </w:r>
              </w:p>
            </w:tc>
            <w:tc>
              <w:tcPr>
                <w:tcW w:w="1151"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eastAsia="Calibri" w:hAnsi="Arial" w:cs="Arial"/>
                    <w:lang w:eastAsia="lt-LT"/>
                  </w:rPr>
                </w:pPr>
                <w:r>
                  <w:rPr>
                    <w:rFonts w:eastAsia="Calibri"/>
                  </w:rPr>
                  <w:t>Cl</w:t>
                </w:r>
              </w:p>
            </w:tc>
            <w:tc>
              <w:tcPr>
                <w:tcW w:w="2068"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eastAsia="Calibri" w:hAnsi="Arial" w:cs="Arial"/>
                    <w:lang w:eastAsia="lt-LT"/>
                  </w:rPr>
                </w:pPr>
                <w:r>
                  <w:rPr>
                    <w:rFonts w:eastAsia="Calibri"/>
                  </w:rPr>
                  <w:t>LST EN ISO 10304</w:t>
                </w:r>
              </w:p>
            </w:tc>
          </w:tr>
          <w:tr>
            <w:tc>
              <w:tcPr>
                <w:tcW w:w="559" w:type="pct"/>
                <w:tcBorders>
                  <w:top w:val="single" w:sz="4" w:space="0" w:color="auto"/>
                  <w:left w:val="single" w:sz="4" w:space="0" w:color="auto"/>
                  <w:bottom w:val="single" w:sz="4" w:space="0" w:color="auto"/>
                  <w:right w:val="single" w:sz="4" w:space="0" w:color="auto"/>
                </w:tcBorders>
              </w:tcPr>
              <w:p>
                <w:pPr>
                  <w:widowControl w:val="0"/>
                  <w:spacing w:line="360" w:lineRule="auto"/>
                  <w:ind w:left="720" w:hanging="360"/>
                  <w:rPr>
                    <w:rFonts w:eastAsia="Calibri"/>
                    <w:bCs/>
                  </w:rPr>
                </w:pPr>
                <w:r>
                  <w:rPr>
                    <w:rFonts w:eastAsia="Calibri"/>
                    <w:bCs/>
                  </w:rPr>
                  <w:t>20.</w:t>
                  <w:tab/>
                </w:r>
              </w:p>
            </w:tc>
            <w:tc>
              <w:tcPr>
                <w:tcW w:w="1222"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eastAsia="Calibri" w:hAnsi="Arial" w:cs="Arial"/>
                    <w:bCs/>
                    <w:lang w:eastAsia="lt-LT"/>
                  </w:rPr>
                </w:pPr>
                <w:r>
                  <w:rPr>
                    <w:rFonts w:eastAsia="Calibri"/>
                    <w:bCs/>
                  </w:rPr>
                  <w:t>Fluoridai</w:t>
                </w:r>
              </w:p>
            </w:tc>
            <w:tc>
              <w:tcPr>
                <w:tcW w:w="1151"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eastAsia="Calibri" w:hAnsi="Arial" w:cs="Arial"/>
                    <w:lang w:eastAsia="lt-LT"/>
                  </w:rPr>
                </w:pPr>
                <w:r>
                  <w:rPr>
                    <w:rFonts w:eastAsia="Calibri"/>
                  </w:rPr>
                  <w:t>F</w:t>
                </w:r>
              </w:p>
            </w:tc>
            <w:tc>
              <w:tcPr>
                <w:tcW w:w="2068"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eastAsia="Calibri" w:hAnsi="Arial" w:cs="Arial"/>
                    <w:lang w:eastAsia="lt-LT"/>
                  </w:rPr>
                </w:pPr>
                <w:r>
                  <w:rPr>
                    <w:rFonts w:eastAsia="Calibri"/>
                  </w:rPr>
                  <w:t>LST EN ISO 10304</w:t>
                </w:r>
              </w:p>
            </w:tc>
          </w:tr>
          <w:tr>
            <w:tc>
              <w:tcPr>
                <w:tcW w:w="559" w:type="pct"/>
                <w:tcBorders>
                  <w:top w:val="single" w:sz="4" w:space="0" w:color="auto"/>
                  <w:left w:val="single" w:sz="4" w:space="0" w:color="auto"/>
                  <w:bottom w:val="single" w:sz="4" w:space="0" w:color="auto"/>
                  <w:right w:val="single" w:sz="4" w:space="0" w:color="auto"/>
                </w:tcBorders>
              </w:tcPr>
              <w:p>
                <w:pPr>
                  <w:widowControl w:val="0"/>
                  <w:spacing w:line="360" w:lineRule="auto"/>
                  <w:ind w:left="720" w:hanging="360"/>
                  <w:rPr>
                    <w:rFonts w:eastAsia="Calibri"/>
                    <w:bCs/>
                  </w:rPr>
                </w:pPr>
                <w:r>
                  <w:rPr>
                    <w:rFonts w:eastAsia="Calibri"/>
                    <w:bCs/>
                  </w:rPr>
                  <w:t>21.</w:t>
                  <w:tab/>
                </w:r>
              </w:p>
            </w:tc>
            <w:tc>
              <w:tcPr>
                <w:tcW w:w="1222"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eastAsia="Calibri" w:hAnsi="Arial" w:cs="Arial"/>
                    <w:bCs/>
                    <w:lang w:eastAsia="lt-LT"/>
                  </w:rPr>
                </w:pPr>
                <w:r>
                  <w:rPr>
                    <w:rFonts w:eastAsia="Calibri"/>
                    <w:bCs/>
                  </w:rPr>
                  <w:t>Bromidai</w:t>
                </w:r>
              </w:p>
            </w:tc>
            <w:tc>
              <w:tcPr>
                <w:tcW w:w="1151"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eastAsia="Calibri" w:hAnsi="Arial" w:cs="Arial"/>
                    <w:lang w:eastAsia="lt-LT"/>
                  </w:rPr>
                </w:pPr>
                <w:r>
                  <w:rPr>
                    <w:rFonts w:eastAsia="Calibri"/>
                  </w:rPr>
                  <w:t>Br</w:t>
                </w:r>
              </w:p>
            </w:tc>
            <w:tc>
              <w:tcPr>
                <w:tcW w:w="2068"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eastAsia="Calibri" w:hAnsi="Arial" w:cs="Arial"/>
                    <w:lang w:eastAsia="lt-LT"/>
                  </w:rPr>
                </w:pPr>
                <w:r>
                  <w:rPr>
                    <w:rFonts w:eastAsia="Calibri"/>
                  </w:rPr>
                  <w:t>LST EN ISO 10304</w:t>
                </w:r>
              </w:p>
            </w:tc>
          </w:tr>
          <w:tr>
            <w:tc>
              <w:tcPr>
                <w:tcW w:w="559" w:type="pct"/>
                <w:tcBorders>
                  <w:top w:val="single" w:sz="4" w:space="0" w:color="auto"/>
                  <w:left w:val="single" w:sz="4" w:space="0" w:color="auto"/>
                  <w:bottom w:val="single" w:sz="4" w:space="0" w:color="auto"/>
                  <w:right w:val="single" w:sz="4" w:space="0" w:color="auto"/>
                </w:tcBorders>
              </w:tcPr>
              <w:p>
                <w:pPr>
                  <w:widowControl w:val="0"/>
                  <w:spacing w:line="360" w:lineRule="auto"/>
                  <w:ind w:left="720" w:hanging="360"/>
                  <w:rPr>
                    <w:rFonts w:eastAsia="Calibri"/>
                    <w:bCs/>
                  </w:rPr>
                </w:pPr>
                <w:r>
                  <w:rPr>
                    <w:rFonts w:eastAsia="Calibri"/>
                    <w:bCs/>
                  </w:rPr>
                  <w:t>22.</w:t>
                  <w:tab/>
                </w:r>
              </w:p>
            </w:tc>
            <w:tc>
              <w:tcPr>
                <w:tcW w:w="1222"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eastAsia="Calibri" w:hAnsi="Arial" w:cs="Arial"/>
                    <w:bCs/>
                    <w:lang w:eastAsia="lt-LT"/>
                  </w:rPr>
                </w:pPr>
                <w:r>
                  <w:rPr>
                    <w:rFonts w:eastAsia="Calibri"/>
                    <w:bCs/>
                  </w:rPr>
                  <w:t>Sulfatai</w:t>
                </w:r>
              </w:p>
            </w:tc>
            <w:tc>
              <w:tcPr>
                <w:tcW w:w="1151"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eastAsia="Calibri" w:hAnsi="Arial" w:cs="Arial"/>
                    <w:lang w:eastAsia="lt-LT"/>
                  </w:rPr>
                </w:pPr>
                <w:r>
                  <w:rPr>
                    <w:rFonts w:eastAsia="Calibri"/>
                  </w:rPr>
                  <w:t>SO4</w:t>
                </w:r>
              </w:p>
            </w:tc>
            <w:tc>
              <w:tcPr>
                <w:tcW w:w="2068"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eastAsia="Calibri" w:hAnsi="Arial" w:cs="Arial"/>
                    <w:lang w:eastAsia="lt-LT"/>
                  </w:rPr>
                </w:pPr>
                <w:r>
                  <w:rPr>
                    <w:rFonts w:eastAsia="Calibri"/>
                  </w:rPr>
                  <w:t>LST EN ISO 10304</w:t>
                </w:r>
              </w:p>
            </w:tc>
          </w:tr>
          <w:tr>
            <w:tc>
              <w:tcPr>
                <w:tcW w:w="559" w:type="pct"/>
                <w:tcBorders>
                  <w:top w:val="single" w:sz="4" w:space="0" w:color="auto"/>
                  <w:left w:val="single" w:sz="4" w:space="0" w:color="auto"/>
                  <w:bottom w:val="single" w:sz="4" w:space="0" w:color="auto"/>
                  <w:right w:val="single" w:sz="4" w:space="0" w:color="auto"/>
                </w:tcBorders>
              </w:tcPr>
              <w:p>
                <w:pPr>
                  <w:widowControl w:val="0"/>
                  <w:spacing w:line="360" w:lineRule="auto"/>
                  <w:ind w:left="720" w:hanging="360"/>
                  <w:rPr>
                    <w:rFonts w:eastAsia="Calibri"/>
                    <w:bCs/>
                  </w:rPr>
                </w:pPr>
                <w:r>
                  <w:rPr>
                    <w:rFonts w:eastAsia="Calibri"/>
                    <w:bCs/>
                  </w:rPr>
                  <w:t>23.</w:t>
                  <w:tab/>
                </w:r>
              </w:p>
            </w:tc>
            <w:tc>
              <w:tcPr>
                <w:tcW w:w="1222"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eastAsia="Calibri" w:hAnsi="Arial" w:cs="Arial"/>
                    <w:bCs/>
                    <w:lang w:eastAsia="lt-LT"/>
                  </w:rPr>
                </w:pPr>
                <w:r>
                  <w:rPr>
                    <w:rFonts w:eastAsia="Calibri"/>
                    <w:bCs/>
                  </w:rPr>
                  <w:t>Sausa liekana</w:t>
                </w:r>
              </w:p>
            </w:tc>
            <w:tc>
              <w:tcPr>
                <w:tcW w:w="1151"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eastAsia="Calibri" w:hAnsi="Arial" w:cs="Arial"/>
                    <w:lang w:eastAsia="lt-LT"/>
                  </w:rPr>
                </w:pPr>
                <w:r>
                  <w:rPr>
                    <w:rFonts w:eastAsia="Calibri"/>
                  </w:rPr>
                  <w:t>BIK (TDS)</w:t>
                </w:r>
              </w:p>
            </w:tc>
            <w:tc>
              <w:tcPr>
                <w:tcW w:w="2068"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eastAsia="Calibri" w:hAnsi="Arial" w:cs="Arial"/>
                    <w:lang w:eastAsia="lt-LT"/>
                  </w:rPr>
                </w:pPr>
                <w:r>
                  <w:rPr>
                    <w:rFonts w:eastAsia="Calibri"/>
                  </w:rPr>
                  <w:t>LST EN 12880:2002</w:t>
                </w:r>
              </w:p>
            </w:tc>
          </w:tr>
          <w:tr>
            <w:tc>
              <w:tcPr>
                <w:tcW w:w="559" w:type="pct"/>
                <w:tcBorders>
                  <w:top w:val="single" w:sz="4" w:space="0" w:color="auto"/>
                  <w:left w:val="single" w:sz="4" w:space="0" w:color="auto"/>
                  <w:bottom w:val="single" w:sz="4" w:space="0" w:color="auto"/>
                  <w:right w:val="single" w:sz="4" w:space="0" w:color="auto"/>
                </w:tcBorders>
              </w:tcPr>
              <w:p>
                <w:pPr>
                  <w:widowControl w:val="0"/>
                  <w:spacing w:line="360" w:lineRule="auto"/>
                  <w:ind w:left="720" w:hanging="360"/>
                  <w:rPr>
                    <w:rFonts w:eastAsia="Calibri"/>
                    <w:bCs/>
                  </w:rPr>
                </w:pPr>
                <w:r>
                  <w:rPr>
                    <w:rFonts w:eastAsia="Calibri"/>
                    <w:bCs/>
                  </w:rPr>
                  <w:t>24.</w:t>
                  <w:tab/>
                </w:r>
              </w:p>
            </w:tc>
            <w:tc>
              <w:tcPr>
                <w:tcW w:w="1222"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eastAsia="Calibri" w:hAnsi="Arial" w:cs="Arial"/>
                    <w:bCs/>
                    <w:lang w:eastAsia="lt-LT"/>
                  </w:rPr>
                </w:pPr>
                <w:r>
                  <w:rPr>
                    <w:rFonts w:eastAsia="Calibri"/>
                    <w:bCs/>
                  </w:rPr>
                  <w:t>Ištirpusi organinė anglis</w:t>
                </w:r>
              </w:p>
            </w:tc>
            <w:tc>
              <w:tcPr>
                <w:tcW w:w="1151"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eastAsia="Calibri" w:hAnsi="Arial" w:cs="Arial"/>
                    <w:lang w:eastAsia="lt-LT"/>
                  </w:rPr>
                </w:pPr>
                <w:r>
                  <w:rPr>
                    <w:rFonts w:eastAsia="Calibri"/>
                  </w:rPr>
                  <w:t>IOB (DOC)</w:t>
                </w:r>
              </w:p>
            </w:tc>
            <w:tc>
              <w:tcPr>
                <w:tcW w:w="2068"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eastAsia="Calibri" w:hAnsi="Arial" w:cs="Arial"/>
                    <w:lang w:eastAsia="lt-LT"/>
                  </w:rPr>
                </w:pPr>
                <w:r>
                  <w:rPr>
                    <w:rFonts w:eastAsia="Calibri"/>
                  </w:rPr>
                  <w:t>ISO 8245:2003</w:t>
                </w:r>
              </w:p>
            </w:tc>
          </w:tr>
          <w:tr>
            <w:tc>
              <w:tcPr>
                <w:tcW w:w="559" w:type="pct"/>
                <w:tcBorders>
                  <w:top w:val="single" w:sz="4" w:space="0" w:color="auto"/>
                  <w:left w:val="single" w:sz="4" w:space="0" w:color="auto"/>
                  <w:bottom w:val="single" w:sz="4" w:space="0" w:color="auto"/>
                  <w:right w:val="single" w:sz="4" w:space="0" w:color="auto"/>
                </w:tcBorders>
              </w:tcPr>
              <w:p>
                <w:pPr>
                  <w:widowControl w:val="0"/>
                  <w:spacing w:line="360" w:lineRule="auto"/>
                  <w:ind w:left="720" w:hanging="360"/>
                  <w:rPr>
                    <w:rFonts w:eastAsia="Calibri"/>
                    <w:bCs/>
                  </w:rPr>
                </w:pPr>
                <w:r>
                  <w:rPr>
                    <w:rFonts w:eastAsia="Calibri"/>
                    <w:bCs/>
                  </w:rPr>
                  <w:t>25.</w:t>
                  <w:tab/>
                </w:r>
              </w:p>
            </w:tc>
            <w:tc>
              <w:tcPr>
                <w:tcW w:w="1222"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eastAsia="Calibri" w:hAnsi="Arial" w:cs="Arial"/>
                    <w:bCs/>
                    <w:lang w:eastAsia="lt-LT"/>
                  </w:rPr>
                </w:pPr>
                <w:r>
                  <w:rPr>
                    <w:rFonts w:eastAsia="Calibri"/>
                    <w:bCs/>
                  </w:rPr>
                  <w:t>Bendroji organinė anglis</w:t>
                </w:r>
              </w:p>
            </w:tc>
            <w:tc>
              <w:tcPr>
                <w:tcW w:w="1151"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eastAsia="Calibri" w:hAnsi="Arial" w:cs="Arial"/>
                    <w:lang w:eastAsia="lt-LT"/>
                  </w:rPr>
                </w:pPr>
                <w:r>
                  <w:rPr>
                    <w:rFonts w:eastAsia="Calibri"/>
                  </w:rPr>
                  <w:t>BOA (TOC)</w:t>
                </w:r>
              </w:p>
            </w:tc>
            <w:tc>
              <w:tcPr>
                <w:tcW w:w="2068"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eastAsia="Calibri" w:hAnsi="Arial" w:cs="Arial"/>
                    <w:lang w:eastAsia="lt-LT"/>
                  </w:rPr>
                </w:pPr>
                <w:r>
                  <w:rPr>
                    <w:rFonts w:eastAsia="Calibri"/>
                  </w:rPr>
                  <w:t>LST EN 13137:2002</w:t>
                </w:r>
              </w:p>
            </w:tc>
          </w:tr>
          <w:tr>
            <w:tc>
              <w:tcPr>
                <w:tcW w:w="559" w:type="pct"/>
                <w:tcBorders>
                  <w:top w:val="single" w:sz="4" w:space="0" w:color="auto"/>
                  <w:left w:val="single" w:sz="4" w:space="0" w:color="auto"/>
                  <w:bottom w:val="single" w:sz="4" w:space="0" w:color="auto"/>
                  <w:right w:val="single" w:sz="4" w:space="0" w:color="auto"/>
                </w:tcBorders>
              </w:tcPr>
              <w:p>
                <w:pPr>
                  <w:widowControl w:val="0"/>
                  <w:spacing w:line="360" w:lineRule="auto"/>
                  <w:ind w:left="720" w:hanging="360"/>
                  <w:rPr>
                    <w:rFonts w:eastAsia="Calibri"/>
                    <w:bCs/>
                  </w:rPr>
                </w:pPr>
                <w:r>
                  <w:rPr>
                    <w:rFonts w:eastAsia="Calibri"/>
                    <w:bCs/>
                  </w:rPr>
                  <w:t>26.</w:t>
                  <w:tab/>
                </w:r>
              </w:p>
            </w:tc>
            <w:tc>
              <w:tcPr>
                <w:tcW w:w="1222"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eastAsia="Calibri" w:hAnsi="Arial" w:cs="Arial"/>
                    <w:bCs/>
                    <w:lang w:eastAsia="lt-LT"/>
                  </w:rPr>
                </w:pPr>
                <w:r>
                  <w:rPr>
                    <w:rFonts w:eastAsia="Calibri"/>
                    <w:bCs/>
                  </w:rPr>
                  <w:t>pH</w:t>
                </w:r>
              </w:p>
            </w:tc>
            <w:tc>
              <w:tcPr>
                <w:tcW w:w="1151" w:type="pct"/>
                <w:tcBorders>
                  <w:top w:val="single" w:sz="4" w:space="0" w:color="auto"/>
                  <w:left w:val="single" w:sz="4" w:space="0" w:color="auto"/>
                  <w:bottom w:val="single" w:sz="4" w:space="0" w:color="auto"/>
                  <w:right w:val="single" w:sz="4" w:space="0" w:color="auto"/>
                </w:tcBorders>
              </w:tcPr>
              <w:p>
                <w:pPr>
                  <w:widowControl w:val="0"/>
                  <w:spacing w:line="360" w:lineRule="auto"/>
                  <w:rPr>
                    <w:rFonts w:ascii="Arial" w:eastAsia="Calibri" w:hAnsi="Arial" w:cs="Arial"/>
                    <w:lang w:eastAsia="lt-LT"/>
                  </w:rPr>
                </w:pPr>
              </w:p>
            </w:tc>
            <w:tc>
              <w:tcPr>
                <w:tcW w:w="2068"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eastAsia="Calibri" w:hAnsi="Arial" w:cs="Arial"/>
                    <w:lang w:eastAsia="lt-LT"/>
                  </w:rPr>
                </w:pPr>
                <w:r>
                  <w:rPr>
                    <w:rFonts w:eastAsia="Calibri"/>
                  </w:rPr>
                  <w:t>ISO 10523:2008</w:t>
                </w:r>
              </w:p>
            </w:tc>
          </w:tr>
          <w:tr>
            <w:tc>
              <w:tcPr>
                <w:tcW w:w="559" w:type="pct"/>
                <w:tcBorders>
                  <w:top w:val="single" w:sz="4" w:space="0" w:color="auto"/>
                  <w:left w:val="single" w:sz="4" w:space="0" w:color="auto"/>
                  <w:bottom w:val="single" w:sz="4" w:space="0" w:color="auto"/>
                  <w:right w:val="single" w:sz="4" w:space="0" w:color="auto"/>
                </w:tcBorders>
              </w:tcPr>
              <w:p>
                <w:pPr>
                  <w:widowControl w:val="0"/>
                  <w:spacing w:line="360" w:lineRule="auto"/>
                  <w:ind w:left="720" w:hanging="360"/>
                  <w:rPr>
                    <w:rFonts w:eastAsia="Calibri"/>
                    <w:bCs/>
                  </w:rPr>
                </w:pPr>
                <w:r>
                  <w:rPr>
                    <w:rFonts w:eastAsia="Calibri"/>
                    <w:bCs/>
                  </w:rPr>
                  <w:t>27.</w:t>
                  <w:tab/>
                </w:r>
              </w:p>
            </w:tc>
            <w:tc>
              <w:tcPr>
                <w:tcW w:w="1222"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eastAsia="Calibri" w:hAnsi="Arial" w:cs="Arial"/>
                    <w:bCs/>
                    <w:lang w:eastAsia="lt-LT"/>
                  </w:rPr>
                </w:pPr>
                <w:r>
                  <w:rPr>
                    <w:rFonts w:eastAsia="Calibri"/>
                    <w:bCs/>
                  </w:rPr>
                  <w:t>Rūgščių neutralizavimo geba</w:t>
                </w:r>
              </w:p>
            </w:tc>
            <w:tc>
              <w:tcPr>
                <w:tcW w:w="1151"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eastAsia="Calibri" w:hAnsi="Arial" w:cs="Arial"/>
                    <w:lang w:eastAsia="lt-LT"/>
                  </w:rPr>
                </w:pPr>
                <w:r>
                  <w:rPr>
                    <w:rFonts w:eastAsia="Calibri"/>
                  </w:rPr>
                  <w:t>RNG (ANC)</w:t>
                </w:r>
              </w:p>
            </w:tc>
            <w:tc>
              <w:tcPr>
                <w:tcW w:w="2068"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eastAsia="Calibri" w:hAnsi="Arial" w:cs="Arial"/>
                    <w:lang w:eastAsia="lt-LT"/>
                  </w:rPr>
                </w:pPr>
                <w:r>
                  <w:rPr>
                    <w:rFonts w:eastAsia="Calibri"/>
                  </w:rPr>
                  <w:t>LST CEN/TS 15364:2006</w:t>
                </w:r>
              </w:p>
            </w:tc>
          </w:tr>
          <w:tr>
            <w:tc>
              <w:tcPr>
                <w:tcW w:w="559" w:type="pct"/>
                <w:tcBorders>
                  <w:top w:val="single" w:sz="4" w:space="0" w:color="auto"/>
                  <w:left w:val="single" w:sz="4" w:space="0" w:color="auto"/>
                  <w:bottom w:val="single" w:sz="4" w:space="0" w:color="auto"/>
                  <w:right w:val="single" w:sz="4" w:space="0" w:color="auto"/>
                </w:tcBorders>
              </w:tcPr>
              <w:p>
                <w:pPr>
                  <w:widowControl w:val="0"/>
                  <w:spacing w:line="360" w:lineRule="auto"/>
                  <w:ind w:left="720" w:hanging="360"/>
                  <w:rPr>
                    <w:rFonts w:eastAsia="Calibri"/>
                    <w:bCs/>
                  </w:rPr>
                </w:pPr>
                <w:r>
                  <w:rPr>
                    <w:rFonts w:eastAsia="Calibri"/>
                    <w:bCs/>
                  </w:rPr>
                  <w:t>28.</w:t>
                  <w:tab/>
                </w:r>
              </w:p>
            </w:tc>
            <w:tc>
              <w:tcPr>
                <w:tcW w:w="1222"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eastAsia="Calibri" w:hAnsi="Arial" w:cs="Arial"/>
                    <w:bCs/>
                    <w:lang w:eastAsia="lt-LT"/>
                  </w:rPr>
                </w:pPr>
                <w:r>
                  <w:rPr>
                    <w:rFonts w:eastAsia="Calibri"/>
                    <w:bCs/>
                  </w:rPr>
                  <w:t>Savitasis elektrinis laidis</w:t>
                </w:r>
              </w:p>
            </w:tc>
            <w:tc>
              <w:tcPr>
                <w:tcW w:w="1151"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eastAsia="Calibri" w:hAnsi="Arial" w:cs="Arial"/>
                    <w:lang w:eastAsia="lt-LT"/>
                  </w:rPr>
                </w:pPr>
                <w:r>
                  <w:rPr>
                    <w:rFonts w:eastAsia="Calibri"/>
                  </w:rPr>
                  <w:t>SEL</w:t>
                </w:r>
              </w:p>
            </w:tc>
            <w:tc>
              <w:tcPr>
                <w:tcW w:w="2068"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eastAsia="Calibri" w:hAnsi="Arial" w:cs="Arial"/>
                    <w:lang w:eastAsia="lt-LT"/>
                  </w:rPr>
                </w:pPr>
                <w:r>
                  <w:rPr>
                    <w:rFonts w:eastAsia="Calibri"/>
                  </w:rPr>
                  <w:t>LST EN 27888</w:t>
                </w:r>
              </w:p>
            </w:tc>
          </w:tr>
          <w:tr>
            <w:tc>
              <w:tcPr>
                <w:tcW w:w="559" w:type="pct"/>
                <w:tcBorders>
                  <w:top w:val="single" w:sz="4" w:space="0" w:color="auto"/>
                  <w:left w:val="single" w:sz="4" w:space="0" w:color="auto"/>
                  <w:bottom w:val="single" w:sz="4" w:space="0" w:color="auto"/>
                  <w:right w:val="single" w:sz="4" w:space="0" w:color="auto"/>
                </w:tcBorders>
              </w:tcPr>
              <w:p>
                <w:pPr>
                  <w:widowControl w:val="0"/>
                  <w:spacing w:line="360" w:lineRule="auto"/>
                  <w:ind w:left="720" w:hanging="360"/>
                  <w:rPr>
                    <w:rFonts w:eastAsia="Calibri"/>
                    <w:bCs/>
                  </w:rPr>
                </w:pPr>
                <w:r>
                  <w:rPr>
                    <w:rFonts w:eastAsia="Calibri"/>
                    <w:bCs/>
                  </w:rPr>
                  <w:t>29.</w:t>
                  <w:tab/>
                </w:r>
              </w:p>
            </w:tc>
            <w:tc>
              <w:tcPr>
                <w:tcW w:w="1222"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eastAsia="Calibri" w:hAnsi="Arial" w:cs="Arial"/>
                    <w:bCs/>
                    <w:lang w:eastAsia="lt-LT"/>
                  </w:rPr>
                </w:pPr>
                <w:r>
                  <w:rPr>
                    <w:rFonts w:eastAsia="Calibri"/>
                    <w:bCs/>
                  </w:rPr>
                  <w:t>Drėgmė</w:t>
                </w:r>
              </w:p>
            </w:tc>
            <w:tc>
              <w:tcPr>
                <w:tcW w:w="1151" w:type="pct"/>
                <w:tcBorders>
                  <w:top w:val="single" w:sz="4" w:space="0" w:color="auto"/>
                  <w:left w:val="single" w:sz="4" w:space="0" w:color="auto"/>
                  <w:bottom w:val="single" w:sz="4" w:space="0" w:color="auto"/>
                  <w:right w:val="single" w:sz="4" w:space="0" w:color="auto"/>
                </w:tcBorders>
              </w:tcPr>
              <w:p>
                <w:pPr>
                  <w:widowControl w:val="0"/>
                  <w:spacing w:line="360" w:lineRule="auto"/>
                  <w:rPr>
                    <w:rFonts w:ascii="Arial" w:eastAsia="Calibri" w:hAnsi="Arial" w:cs="Arial"/>
                    <w:lang w:eastAsia="lt-LT"/>
                  </w:rPr>
                </w:pPr>
              </w:p>
            </w:tc>
            <w:tc>
              <w:tcPr>
                <w:tcW w:w="2068" w:type="pct"/>
                <w:tcBorders>
                  <w:top w:val="single" w:sz="4" w:space="0" w:color="auto"/>
                  <w:left w:val="single" w:sz="4" w:space="0" w:color="auto"/>
                  <w:bottom w:val="single" w:sz="4" w:space="0" w:color="auto"/>
                  <w:right w:val="single" w:sz="4" w:space="0" w:color="auto"/>
                </w:tcBorders>
                <w:hideMark/>
              </w:tcPr>
              <w:p>
                <w:pPr>
                  <w:widowControl w:val="0"/>
                  <w:spacing w:line="360" w:lineRule="auto"/>
                  <w:rPr>
                    <w:rFonts w:ascii="Arial" w:eastAsia="Calibri" w:hAnsi="Arial" w:cs="Arial"/>
                    <w:lang w:eastAsia="lt-LT"/>
                  </w:rPr>
                </w:pPr>
                <w:r>
                  <w:rPr>
                    <w:rFonts w:eastAsia="Calibri"/>
                  </w:rPr>
                  <w:t>LST EN 14346:2007</w:t>
                </w:r>
              </w:p>
            </w:tc>
          </w:tr>
        </w:tbl>
        <w:p/>
        <w:p/>
        <w:p>
          <w:pPr>
            <w:tabs>
              <w:tab w:val="center" w:pos="4680"/>
              <w:tab w:val="right" w:pos="9360"/>
            </w:tabs>
            <w:rPr>
              <w:sz w:val="22"/>
              <w:szCs w:val="22"/>
              <w:lang w:val="en-US" w:eastAsia="ja-JP"/>
            </w:rPr>
          </w:pPr>
        </w:p>
        <w:p>
          <w:pPr>
            <w:ind w:firstLine="567"/>
            <w:jc w:val="both"/>
            <w:rPr>
              <w:color w:val="000000"/>
              <w:szCs w:val="24"/>
            </w:rPr>
          </w:pPr>
        </w:p>
        <w:p>
          <w:pPr>
            <w:ind w:firstLine="567"/>
            <w:jc w:val="both"/>
            <w:rPr>
              <w:color w:val="000000"/>
              <w:szCs w:val="24"/>
            </w:rPr>
          </w:pPr>
        </w:p>
        <w:p>
          <w:pPr>
            <w:ind w:firstLine="567"/>
            <w:jc w:val="both"/>
            <w:rPr>
              <w:color w:val="000000"/>
              <w:szCs w:val="24"/>
            </w:rPr>
          </w:pPr>
        </w:p>
        <w:p>
          <w:pPr>
            <w:ind w:firstLine="567"/>
            <w:jc w:val="both"/>
            <w:rPr>
              <w:color w:val="000000"/>
              <w:szCs w:val="24"/>
            </w:rPr>
          </w:pPr>
        </w:p>
        <w:p>
          <w:pPr>
            <w:ind w:firstLine="567"/>
            <w:jc w:val="both"/>
            <w:rPr>
              <w:color w:val="000000"/>
              <w:szCs w:val="24"/>
            </w:rPr>
          </w:pPr>
        </w:p>
        <w:p>
          <w:pPr>
            <w:ind w:firstLine="567"/>
            <w:jc w:val="both"/>
            <w:rPr>
              <w:color w:val="000000"/>
              <w:szCs w:val="24"/>
            </w:rPr>
          </w:pPr>
        </w:p>
        <w:p>
          <w:pPr>
            <w:ind w:firstLine="567"/>
            <w:jc w:val="both"/>
            <w:rPr>
              <w:color w:val="000000"/>
              <w:szCs w:val="24"/>
            </w:rPr>
          </w:pPr>
        </w:p>
        <w:p>
          <w:pPr>
            <w:ind w:firstLine="567"/>
            <w:jc w:val="both"/>
            <w:rPr>
              <w:color w:val="000000"/>
              <w:szCs w:val="24"/>
            </w:rPr>
            <w:sectPr>
              <w:footnotePr>
                <w:pos w:val="beneathText"/>
              </w:footnotePr>
              <w:pgSz w:w="11905" w:h="16837" w:code="9"/>
              <w:pgMar w:top="1134" w:right="567" w:bottom="1134" w:left="1701" w:header="794" w:footer="919" w:gutter="0"/>
              <w:cols w:space="1296"/>
              <w:formProt w:val="0"/>
              <w:titlePg/>
              <w:docGrid w:linePitch="360"/>
            </w:sectPr>
          </w:pPr>
        </w:p>
        <w:p>
          <w:pPr>
            <w:tabs>
              <w:tab w:val="center" w:pos="4986"/>
              <w:tab w:val="right" w:pos="9972"/>
            </w:tabs>
          </w:pPr>
        </w:p>
      </w:sdtContent>
    </w:sdt>
    <w:sdt>
      <w:sdtPr>
        <w:alias w:val="5 pr."/>
        <w:tag w:val="part_71dd061f6397425ea256d48a62ecf0af"/>
        <w:lock w:val="sdtLocked"/>
        <w:richText/>
      </w:sdtPr>
      <w:sdtContent>
        <w:p>
          <w:pPr>
            <w:tabs>
              <w:tab w:val="left" w:pos="8821"/>
            </w:tabs>
            <w:ind w:left="6237"/>
            <w:rPr>
              <w:szCs w:val="24"/>
            </w:rPr>
          </w:pPr>
          <w:r>
            <w:rPr>
              <w:szCs w:val="24"/>
            </w:rPr>
            <w:t xml:space="preserve">Atliekų deginimo ir bendro atliekų deginimo pelenų ir šlako tvarkymo </w:t>
          </w:r>
        </w:p>
        <w:p>
          <w:pPr>
            <w:tabs>
              <w:tab w:val="left" w:pos="8821"/>
            </w:tabs>
            <w:ind w:left="6237"/>
            <w:rPr>
              <w:color w:val="414142"/>
              <w:szCs w:val="24"/>
            </w:rPr>
          </w:pPr>
          <w:r>
            <w:rPr>
              <w:szCs w:val="24"/>
            </w:rPr>
            <w:t>ir naudojimo taisyklių</w:t>
          </w:r>
        </w:p>
        <w:p>
          <w:pPr>
            <w:tabs>
              <w:tab w:val="left" w:pos="8821"/>
            </w:tabs>
            <w:ind w:left="6237"/>
            <w:rPr>
              <w:color w:val="414142"/>
              <w:szCs w:val="24"/>
            </w:rPr>
          </w:pPr>
          <w:sdt>
            <w:sdtPr>
              <w:alias w:val="Numeris"/>
              <w:tag w:val="nr_71dd061f6397425ea256d48a62ecf0af"/>
              <w:lock w:val="sdtLocked"/>
              <w:richText/>
            </w:sdtPr>
            <w:sdtContent>
              <w:r>
                <w:rPr>
                  <w:color w:val="414142"/>
                  <w:szCs w:val="24"/>
                </w:rPr>
                <w:t>5</w:t>
              </w:r>
            </w:sdtContent>
          </w:sdt>
          <w:r>
            <w:rPr>
              <w:color w:val="414142"/>
              <w:szCs w:val="24"/>
            </w:rPr>
            <w:t xml:space="preserve"> priedas</w:t>
          </w:r>
        </w:p>
        <w:p>
          <w:pPr>
            <w:tabs>
              <w:tab w:val="left" w:pos="8821"/>
            </w:tabs>
            <w:ind w:left="6237"/>
            <w:rPr>
              <w:color w:val="414142"/>
              <w:szCs w:val="24"/>
            </w:rPr>
          </w:pPr>
        </w:p>
        <w:p>
          <w:pPr>
            <w:tabs>
              <w:tab w:val="left" w:pos="8821"/>
            </w:tabs>
            <w:ind w:left="6237"/>
            <w:rPr>
              <w:color w:val="414142"/>
              <w:szCs w:val="24"/>
            </w:rPr>
          </w:pPr>
        </w:p>
        <w:p>
          <w:pPr>
            <w:ind w:firstLine="629"/>
            <w:jc w:val="center"/>
            <w:rPr>
              <w:b/>
              <w:color w:val="000000"/>
              <w:szCs w:val="24"/>
            </w:rPr>
          </w:pPr>
          <w:sdt>
            <w:sdtPr>
              <w:alias w:val="Pavadinimas"/>
              <w:tag w:val="title_71dd061f6397425ea256d48a62ecf0af"/>
              <w:lock w:val="sdtLocked"/>
              <w:richText/>
            </w:sdtPr>
            <w:sdtContent>
              <w:r>
                <w:rPr>
                  <w:b/>
                  <w:color w:val="000000"/>
                  <w:szCs w:val="24"/>
                </w:rPr>
                <w:t>IŠPLOVIMO RIBINĖS VERTĖS, KAI PELENAI IR ŠLAKAS GALI BŪTI PANAUDOTI STATINIŲ STATYBOJE</w:t>
              </w:r>
            </w:sdtContent>
          </w:sdt>
        </w:p>
        <w:p>
          <w:pPr>
            <w:ind w:firstLine="567"/>
            <w:jc w:val="center"/>
            <w:rPr>
              <w:b/>
              <w:color w:val="000000"/>
              <w:szCs w:val="24"/>
            </w:rPr>
          </w:pPr>
        </w:p>
        <w:tbl>
          <w:tblPr>
            <w:tblW w:w="489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left w:w="57" w:type="dxa"/>
              <w:bottom w:w="57" w:type="dxa"/>
              <w:right w:w="57" w:type="dxa"/>
            </w:tblCellMar>
            <w:tblLook w:val="04A0" w:firstRow="1" w:lastRow="0" w:firstColumn="1" w:lastColumn="0" w:noHBand="0" w:noVBand="1"/>
          </w:tblPr>
          <w:tblGrid>
            <w:gridCol w:w="908"/>
            <w:gridCol w:w="2866"/>
            <w:gridCol w:w="1811"/>
            <w:gridCol w:w="3969"/>
          </w:tblGrid>
          <w:tr>
            <w:trPr>
              <w:trHeight w:val="181"/>
              <w:tblHeader/>
            </w:trPr>
            <w:tc>
              <w:tcPr>
                <w:tcW w:w="475" w:type="pct"/>
                <w:shd w:val="clear" w:color="auto" w:fill="FFFFFF"/>
              </w:tcPr>
              <w:p>
                <w:pPr>
                  <w:tabs>
                    <w:tab w:val="left" w:pos="426"/>
                    <w:tab w:val="left" w:pos="1134"/>
                  </w:tabs>
                  <w:ind w:left="284" w:hanging="142"/>
                  <w:jc w:val="center"/>
                  <w:rPr>
                    <w:b/>
                    <w:color w:val="000000"/>
                    <w:szCs w:val="24"/>
                    <w:lang w:bidi="de-DE"/>
                  </w:rPr>
                </w:pPr>
                <w:r>
                  <w:rPr>
                    <w:b/>
                    <w:color w:val="000000"/>
                    <w:szCs w:val="24"/>
                    <w:lang w:bidi="de-DE"/>
                  </w:rPr>
                  <w:t>I.</w:t>
                  <w:tab/>
                  <w:t>Eil.</w:t>
                </w:r>
              </w:p>
              <w:p>
                <w:pPr>
                  <w:tabs>
                    <w:tab w:val="left" w:pos="426"/>
                    <w:tab w:val="left" w:pos="1134"/>
                  </w:tabs>
                  <w:ind w:left="284" w:hanging="80"/>
                  <w:rPr>
                    <w:b/>
                    <w:color w:val="000000"/>
                    <w:szCs w:val="24"/>
                    <w:lang w:bidi="de-DE"/>
                  </w:rPr>
                </w:pPr>
                <w:r>
                  <w:rPr>
                    <w:b/>
                    <w:color w:val="000000"/>
                    <w:szCs w:val="24"/>
                    <w:lang w:bidi="de-DE"/>
                  </w:rPr>
                  <w:t>Nr.</w:t>
                </w:r>
              </w:p>
            </w:tc>
            <w:tc>
              <w:tcPr>
                <w:tcW w:w="1500" w:type="pct"/>
                <w:shd w:val="clear" w:color="auto" w:fill="FFFFFF"/>
                <w:vAlign w:val="center"/>
                <w:hideMark/>
              </w:tcPr>
              <w:p>
                <w:pPr>
                  <w:tabs>
                    <w:tab w:val="left" w:pos="993"/>
                    <w:tab w:val="left" w:pos="1134"/>
                  </w:tabs>
                  <w:ind w:left="1080" w:hanging="938"/>
                  <w:jc w:val="center"/>
                  <w:rPr>
                    <w:b/>
                    <w:color w:val="000000"/>
                    <w:szCs w:val="24"/>
                  </w:rPr>
                </w:pPr>
                <w:r>
                  <w:rPr>
                    <w:b/>
                    <w:color w:val="000000"/>
                    <w:szCs w:val="24"/>
                    <w:lang w:bidi="de-DE"/>
                  </w:rPr>
                  <w:t>II. Parametras</w:t>
                </w:r>
              </w:p>
            </w:tc>
            <w:tc>
              <w:tcPr>
                <w:tcW w:w="948" w:type="pct"/>
                <w:shd w:val="clear" w:color="auto" w:fill="FFFFFF"/>
                <w:vAlign w:val="center"/>
                <w:hideMark/>
              </w:tcPr>
              <w:p>
                <w:pPr>
                  <w:jc w:val="center"/>
                  <w:rPr>
                    <w:b/>
                    <w:color w:val="000000"/>
                    <w:szCs w:val="24"/>
                  </w:rPr>
                </w:pPr>
                <w:r>
                  <w:rPr>
                    <w:b/>
                    <w:color w:val="000000"/>
                    <w:szCs w:val="24"/>
                    <w:lang w:bidi="de-DE"/>
                  </w:rPr>
                  <w:t>III. Matavimo vienetas</w:t>
                </w:r>
              </w:p>
            </w:tc>
            <w:tc>
              <w:tcPr>
                <w:tcW w:w="2077" w:type="pct"/>
                <w:shd w:val="clear" w:color="auto" w:fill="FFFFFF"/>
                <w:vAlign w:val="center"/>
                <w:hideMark/>
              </w:tcPr>
              <w:p>
                <w:pPr>
                  <w:ind w:left="1080"/>
                  <w:rPr>
                    <w:b/>
                    <w:color w:val="000000"/>
                    <w:szCs w:val="24"/>
                  </w:rPr>
                </w:pPr>
                <w:r>
                  <w:rPr>
                    <w:b/>
                    <w:color w:val="000000"/>
                    <w:szCs w:val="24"/>
                    <w:lang w:bidi="de-DE"/>
                  </w:rPr>
                  <w:t>IV. Vertė</w:t>
                </w:r>
              </w:p>
            </w:tc>
          </w:tr>
          <w:tr>
            <w:trPr>
              <w:trHeight w:val="201"/>
            </w:trPr>
            <w:tc>
              <w:tcPr>
                <w:tcW w:w="475" w:type="pct"/>
                <w:shd w:val="clear" w:color="auto" w:fill="FFFFFF"/>
              </w:tcPr>
              <w:p>
                <w:pPr>
                  <w:ind w:left="1080" w:hanging="720"/>
                  <w:rPr>
                    <w:color w:val="000000"/>
                    <w:szCs w:val="24"/>
                    <w:lang w:bidi="de-DE"/>
                  </w:rPr>
                </w:pPr>
                <w:r>
                  <w:rPr>
                    <w:color w:val="000000"/>
                    <w:szCs w:val="24"/>
                    <w:lang w:bidi="de-DE"/>
                  </w:rPr>
                  <w:t>1.</w:t>
                  <w:tab/>
                </w:r>
              </w:p>
            </w:tc>
            <w:tc>
              <w:tcPr>
                <w:tcW w:w="1500" w:type="pct"/>
                <w:shd w:val="clear" w:color="auto" w:fill="FFFFFF"/>
                <w:vAlign w:val="center"/>
                <w:hideMark/>
              </w:tcPr>
              <w:p>
                <w:pPr>
                  <w:rPr>
                    <w:color w:val="000000"/>
                    <w:szCs w:val="24"/>
                  </w:rPr>
                </w:pPr>
                <w:r>
                  <w:rPr>
                    <w:color w:val="000000"/>
                    <w:szCs w:val="24"/>
                    <w:lang w:bidi="de-DE"/>
                  </w:rPr>
                  <w:t>Spalva</w:t>
                </w:r>
              </w:p>
            </w:tc>
            <w:tc>
              <w:tcPr>
                <w:tcW w:w="948" w:type="pct"/>
                <w:shd w:val="clear" w:color="auto" w:fill="FFFFFF"/>
                <w:vAlign w:val="center"/>
              </w:tcPr>
              <w:p>
                <w:pPr>
                  <w:jc w:val="center"/>
                  <w:rPr>
                    <w:color w:val="000000"/>
                    <w:szCs w:val="24"/>
                    <w:lang w:bidi="de-DE"/>
                  </w:rPr>
                </w:pPr>
                <w:r>
                  <w:rPr>
                    <w:color w:val="000000"/>
                    <w:szCs w:val="24"/>
                    <w:lang w:bidi="de-DE"/>
                  </w:rPr>
                  <w:t>-</w:t>
                </w:r>
              </w:p>
            </w:tc>
            <w:tc>
              <w:tcPr>
                <w:tcW w:w="2077" w:type="pct"/>
                <w:shd w:val="clear" w:color="auto" w:fill="FFFFFF"/>
                <w:vAlign w:val="center"/>
              </w:tcPr>
              <w:p>
                <w:pPr>
                  <w:jc w:val="center"/>
                  <w:rPr>
                    <w:color w:val="000000"/>
                    <w:szCs w:val="24"/>
                  </w:rPr>
                </w:pPr>
                <w:r>
                  <w:rPr>
                    <w:color w:val="000000"/>
                    <w:szCs w:val="24"/>
                  </w:rPr>
                  <w:t>Įvertinama mėginiui apibūdinti</w:t>
                </w:r>
              </w:p>
            </w:tc>
          </w:tr>
          <w:tr>
            <w:trPr>
              <w:trHeight w:val="220"/>
            </w:trPr>
            <w:tc>
              <w:tcPr>
                <w:tcW w:w="475" w:type="pct"/>
                <w:shd w:val="clear" w:color="auto" w:fill="FFFFFF"/>
              </w:tcPr>
              <w:p>
                <w:pPr>
                  <w:ind w:left="1080" w:hanging="720"/>
                  <w:rPr>
                    <w:color w:val="000000"/>
                    <w:szCs w:val="24"/>
                    <w:lang w:bidi="de-DE"/>
                  </w:rPr>
                </w:pPr>
                <w:r>
                  <w:rPr>
                    <w:color w:val="000000"/>
                    <w:szCs w:val="24"/>
                    <w:lang w:bidi="de-DE"/>
                  </w:rPr>
                  <w:t>2.</w:t>
                  <w:tab/>
                </w:r>
              </w:p>
            </w:tc>
            <w:tc>
              <w:tcPr>
                <w:tcW w:w="1500" w:type="pct"/>
                <w:shd w:val="clear" w:color="auto" w:fill="FFFFFF"/>
                <w:vAlign w:val="center"/>
                <w:hideMark/>
              </w:tcPr>
              <w:p>
                <w:pPr>
                  <w:rPr>
                    <w:color w:val="000000"/>
                    <w:szCs w:val="24"/>
                  </w:rPr>
                </w:pPr>
                <w:r>
                  <w:rPr>
                    <w:color w:val="000000"/>
                    <w:szCs w:val="24"/>
                    <w:lang w:bidi="de-DE"/>
                  </w:rPr>
                  <w:t xml:space="preserve">Drumstumas  </w:t>
                </w:r>
              </w:p>
            </w:tc>
            <w:tc>
              <w:tcPr>
                <w:tcW w:w="948" w:type="pct"/>
                <w:shd w:val="clear" w:color="auto" w:fill="FFFFFF"/>
                <w:vAlign w:val="center"/>
              </w:tcPr>
              <w:p>
                <w:pPr>
                  <w:jc w:val="center"/>
                  <w:rPr>
                    <w:color w:val="000000"/>
                    <w:szCs w:val="24"/>
                    <w:lang w:bidi="de-DE"/>
                  </w:rPr>
                </w:pPr>
                <w:r>
                  <w:rPr>
                    <w:color w:val="000000"/>
                    <w:szCs w:val="24"/>
                    <w:lang w:bidi="de-DE"/>
                  </w:rPr>
                  <w:t>-</w:t>
                </w:r>
              </w:p>
            </w:tc>
            <w:tc>
              <w:tcPr>
                <w:tcW w:w="2077" w:type="pct"/>
                <w:shd w:val="clear" w:color="auto" w:fill="FFFFFF"/>
                <w:vAlign w:val="center"/>
              </w:tcPr>
              <w:p>
                <w:pPr>
                  <w:jc w:val="center"/>
                  <w:rPr>
                    <w:color w:val="000000"/>
                    <w:szCs w:val="24"/>
                  </w:rPr>
                </w:pPr>
                <w:r>
                  <w:rPr>
                    <w:color w:val="000000"/>
                    <w:szCs w:val="24"/>
                  </w:rPr>
                  <w:t>Įvertinama mėginiui apibūdinti</w:t>
                </w:r>
              </w:p>
            </w:tc>
          </w:tr>
          <w:tr>
            <w:trPr>
              <w:trHeight w:val="113"/>
            </w:trPr>
            <w:tc>
              <w:tcPr>
                <w:tcW w:w="475" w:type="pct"/>
                <w:shd w:val="clear" w:color="auto" w:fill="FFFFFF"/>
              </w:tcPr>
              <w:p>
                <w:pPr>
                  <w:ind w:left="1080" w:hanging="720"/>
                  <w:rPr>
                    <w:color w:val="000000"/>
                    <w:szCs w:val="24"/>
                    <w:lang w:bidi="de-DE"/>
                  </w:rPr>
                </w:pPr>
                <w:r>
                  <w:rPr>
                    <w:color w:val="000000"/>
                    <w:szCs w:val="24"/>
                    <w:lang w:bidi="de-DE"/>
                  </w:rPr>
                  <w:t>3.</w:t>
                  <w:tab/>
                </w:r>
              </w:p>
            </w:tc>
            <w:tc>
              <w:tcPr>
                <w:tcW w:w="1500" w:type="pct"/>
                <w:shd w:val="clear" w:color="auto" w:fill="FFFFFF"/>
                <w:vAlign w:val="center"/>
                <w:hideMark/>
              </w:tcPr>
              <w:p>
                <w:pPr>
                  <w:rPr>
                    <w:color w:val="000000"/>
                    <w:szCs w:val="24"/>
                  </w:rPr>
                </w:pPr>
                <w:r>
                  <w:rPr>
                    <w:color w:val="000000"/>
                    <w:szCs w:val="24"/>
                    <w:lang w:bidi="de-DE"/>
                  </w:rPr>
                  <w:t xml:space="preserve">Kvapas </w:t>
                </w:r>
              </w:p>
            </w:tc>
            <w:tc>
              <w:tcPr>
                <w:tcW w:w="948" w:type="pct"/>
                <w:shd w:val="clear" w:color="auto" w:fill="FFFFFF"/>
                <w:vAlign w:val="center"/>
              </w:tcPr>
              <w:p>
                <w:pPr>
                  <w:jc w:val="center"/>
                  <w:rPr>
                    <w:color w:val="000000"/>
                    <w:szCs w:val="24"/>
                    <w:lang w:bidi="de-DE"/>
                  </w:rPr>
                </w:pPr>
                <w:r>
                  <w:rPr>
                    <w:color w:val="000000"/>
                    <w:szCs w:val="24"/>
                    <w:lang w:bidi="de-DE"/>
                  </w:rPr>
                  <w:t>-</w:t>
                </w:r>
              </w:p>
            </w:tc>
            <w:tc>
              <w:tcPr>
                <w:tcW w:w="2077" w:type="pct"/>
                <w:shd w:val="clear" w:color="auto" w:fill="FFFFFF"/>
                <w:vAlign w:val="center"/>
              </w:tcPr>
              <w:p>
                <w:pPr>
                  <w:jc w:val="center"/>
                  <w:rPr>
                    <w:color w:val="000000"/>
                    <w:szCs w:val="24"/>
                    <w:lang w:bidi="de-DE"/>
                  </w:rPr>
                </w:pPr>
                <w:r>
                  <w:rPr>
                    <w:color w:val="000000"/>
                    <w:szCs w:val="24"/>
                  </w:rPr>
                  <w:t>Įvertinama mėginiui apibūdinti</w:t>
                </w:r>
              </w:p>
            </w:tc>
          </w:tr>
          <w:tr>
            <w:trPr>
              <w:trHeight w:val="133"/>
            </w:trPr>
            <w:tc>
              <w:tcPr>
                <w:tcW w:w="475" w:type="pct"/>
                <w:shd w:val="clear" w:color="auto" w:fill="FFFFFF"/>
              </w:tcPr>
              <w:p>
                <w:pPr>
                  <w:ind w:left="1080" w:hanging="720"/>
                  <w:rPr>
                    <w:color w:val="000000"/>
                    <w:szCs w:val="24"/>
                    <w:lang w:bidi="de-DE"/>
                  </w:rPr>
                </w:pPr>
                <w:r>
                  <w:rPr>
                    <w:color w:val="000000"/>
                    <w:szCs w:val="24"/>
                    <w:lang w:bidi="de-DE"/>
                  </w:rPr>
                  <w:t>4.</w:t>
                  <w:tab/>
                </w:r>
              </w:p>
            </w:tc>
            <w:tc>
              <w:tcPr>
                <w:tcW w:w="1500" w:type="pct"/>
                <w:shd w:val="clear" w:color="auto" w:fill="FFFFFF"/>
                <w:vAlign w:val="center"/>
                <w:hideMark/>
              </w:tcPr>
              <w:p>
                <w:pPr>
                  <w:rPr>
                    <w:color w:val="000000"/>
                    <w:szCs w:val="24"/>
                  </w:rPr>
                </w:pPr>
                <w:r>
                  <w:rPr>
                    <w:color w:val="000000"/>
                    <w:szCs w:val="24"/>
                    <w:lang w:bidi="de-DE"/>
                  </w:rPr>
                  <w:t>pH</w:t>
                </w:r>
              </w:p>
            </w:tc>
            <w:tc>
              <w:tcPr>
                <w:tcW w:w="948" w:type="pct"/>
                <w:shd w:val="clear" w:color="auto" w:fill="FFFFFF"/>
                <w:vAlign w:val="center"/>
              </w:tcPr>
              <w:p>
                <w:pPr>
                  <w:jc w:val="center"/>
                  <w:rPr>
                    <w:color w:val="000000"/>
                    <w:szCs w:val="24"/>
                    <w:lang w:bidi="de-DE"/>
                  </w:rPr>
                </w:pPr>
                <w:r>
                  <w:rPr>
                    <w:color w:val="000000"/>
                    <w:szCs w:val="24"/>
                    <w:lang w:bidi="de-DE"/>
                  </w:rPr>
                  <w:t>vnt.</w:t>
                </w:r>
              </w:p>
            </w:tc>
            <w:tc>
              <w:tcPr>
                <w:tcW w:w="2077" w:type="pct"/>
                <w:shd w:val="clear" w:color="auto" w:fill="FFFFFF"/>
                <w:vAlign w:val="center"/>
                <w:hideMark/>
              </w:tcPr>
              <w:p>
                <w:pPr>
                  <w:jc w:val="center"/>
                  <w:rPr>
                    <w:color w:val="000000"/>
                    <w:szCs w:val="24"/>
                  </w:rPr>
                </w:pPr>
                <w:r>
                  <w:rPr>
                    <w:color w:val="000000"/>
                    <w:szCs w:val="24"/>
                    <w:lang w:bidi="de-DE"/>
                  </w:rPr>
                  <w:t>7-13</w:t>
                </w:r>
              </w:p>
            </w:tc>
          </w:tr>
          <w:tr>
            <w:trPr>
              <w:trHeight w:val="152"/>
            </w:trPr>
            <w:tc>
              <w:tcPr>
                <w:tcW w:w="475" w:type="pct"/>
                <w:shd w:val="clear" w:color="auto" w:fill="FFFFFF"/>
              </w:tcPr>
              <w:p>
                <w:pPr>
                  <w:ind w:left="1080" w:hanging="720"/>
                  <w:rPr>
                    <w:color w:val="000000"/>
                    <w:szCs w:val="24"/>
                    <w:lang w:bidi="de-DE"/>
                  </w:rPr>
                </w:pPr>
                <w:r>
                  <w:rPr>
                    <w:color w:val="000000"/>
                    <w:szCs w:val="24"/>
                    <w:lang w:bidi="de-DE"/>
                  </w:rPr>
                  <w:t>5.</w:t>
                  <w:tab/>
                </w:r>
              </w:p>
            </w:tc>
            <w:tc>
              <w:tcPr>
                <w:tcW w:w="1500" w:type="pct"/>
                <w:shd w:val="clear" w:color="auto" w:fill="FFFFFF"/>
                <w:vAlign w:val="center"/>
                <w:hideMark/>
              </w:tcPr>
              <w:p>
                <w:pPr>
                  <w:rPr>
                    <w:color w:val="000000"/>
                    <w:szCs w:val="24"/>
                  </w:rPr>
                </w:pPr>
                <w:r>
                  <w:rPr>
                    <w:color w:val="000000"/>
                    <w:szCs w:val="24"/>
                    <w:lang w:bidi="de-DE"/>
                  </w:rPr>
                  <w:t>Elektros laidumas</w:t>
                </w:r>
              </w:p>
            </w:tc>
            <w:tc>
              <w:tcPr>
                <w:tcW w:w="948" w:type="pct"/>
                <w:shd w:val="clear" w:color="auto" w:fill="FFFFFF"/>
                <w:vAlign w:val="center"/>
              </w:tcPr>
              <w:p>
                <w:pPr>
                  <w:jc w:val="center"/>
                  <w:rPr>
                    <w:color w:val="000000"/>
                    <w:szCs w:val="24"/>
                    <w:lang w:bidi="de-DE"/>
                  </w:rPr>
                </w:pPr>
                <w:r>
                  <w:rPr>
                    <w:color w:val="000000"/>
                    <w:szCs w:val="24"/>
                    <w:lang w:bidi="de-DE"/>
                  </w:rPr>
                  <w:t>µS/cm</w:t>
                </w:r>
              </w:p>
            </w:tc>
            <w:tc>
              <w:tcPr>
                <w:tcW w:w="2077" w:type="pct"/>
                <w:shd w:val="clear" w:color="auto" w:fill="FFFFFF"/>
                <w:vAlign w:val="center"/>
              </w:tcPr>
              <w:p>
                <w:pPr>
                  <w:jc w:val="center"/>
                  <w:rPr>
                    <w:color w:val="000000"/>
                    <w:szCs w:val="24"/>
                    <w:lang w:bidi="de-DE"/>
                  </w:rPr>
                </w:pPr>
                <w:r>
                  <w:rPr>
                    <w:color w:val="000000"/>
                    <w:szCs w:val="24"/>
                    <w:lang w:bidi="de-DE"/>
                  </w:rPr>
                  <w:t>6000</w:t>
                </w:r>
              </w:p>
            </w:tc>
          </w:tr>
          <w:tr>
            <w:trPr>
              <w:trHeight w:val="186"/>
            </w:trPr>
            <w:tc>
              <w:tcPr>
                <w:tcW w:w="475" w:type="pct"/>
                <w:shd w:val="clear" w:color="auto" w:fill="FFFFFF"/>
              </w:tcPr>
              <w:p>
                <w:pPr>
                  <w:ind w:left="1080" w:hanging="720"/>
                  <w:rPr>
                    <w:color w:val="000000"/>
                    <w:szCs w:val="24"/>
                    <w:lang w:bidi="de-DE"/>
                  </w:rPr>
                </w:pPr>
                <w:r>
                  <w:rPr>
                    <w:color w:val="000000"/>
                    <w:szCs w:val="24"/>
                    <w:lang w:bidi="de-DE"/>
                  </w:rPr>
                  <w:t>6.</w:t>
                  <w:tab/>
                </w:r>
              </w:p>
            </w:tc>
            <w:tc>
              <w:tcPr>
                <w:tcW w:w="1500" w:type="pct"/>
                <w:shd w:val="clear" w:color="auto" w:fill="FFFFFF"/>
                <w:vAlign w:val="center"/>
                <w:hideMark/>
              </w:tcPr>
              <w:p>
                <w:pPr>
                  <w:rPr>
                    <w:color w:val="000000"/>
                    <w:szCs w:val="24"/>
                  </w:rPr>
                </w:pPr>
                <w:r>
                  <w:rPr>
                    <w:color w:val="000000"/>
                    <w:szCs w:val="24"/>
                    <w:lang w:bidi="de-DE"/>
                  </w:rPr>
                  <w:t>Ištirpusi organinė anglis</w:t>
                </w:r>
              </w:p>
            </w:tc>
            <w:tc>
              <w:tcPr>
                <w:tcW w:w="948" w:type="pct"/>
                <w:shd w:val="clear" w:color="auto" w:fill="FFFFFF"/>
                <w:vAlign w:val="center"/>
              </w:tcPr>
              <w:p>
                <w:pPr>
                  <w:jc w:val="center"/>
                  <w:rPr>
                    <w:color w:val="000000"/>
                    <w:szCs w:val="24"/>
                    <w:lang w:bidi="de-DE"/>
                  </w:rPr>
                </w:pPr>
                <w:r>
                  <w:rPr>
                    <w:color w:val="000000"/>
                    <w:szCs w:val="24"/>
                    <w:lang w:bidi="de-DE"/>
                  </w:rPr>
                  <w:t>µg/l</w:t>
                </w:r>
              </w:p>
            </w:tc>
            <w:tc>
              <w:tcPr>
                <w:tcW w:w="2077" w:type="pct"/>
                <w:shd w:val="clear" w:color="auto" w:fill="FFFFFF"/>
                <w:vAlign w:val="center"/>
                <w:hideMark/>
              </w:tcPr>
              <w:p>
                <w:pPr>
                  <w:jc w:val="center"/>
                  <w:rPr>
                    <w:color w:val="000000"/>
                    <w:szCs w:val="24"/>
                  </w:rPr>
                </w:pPr>
                <w:r>
                  <w:rPr>
                    <w:color w:val="000000"/>
                    <w:szCs w:val="24"/>
                    <w:lang w:bidi="de-DE"/>
                  </w:rPr>
                  <w:t>Įvertinama mėginiui apibūdinti</w:t>
                </w:r>
              </w:p>
            </w:tc>
          </w:tr>
          <w:tr>
            <w:trPr>
              <w:trHeight w:val="207"/>
            </w:trPr>
            <w:tc>
              <w:tcPr>
                <w:tcW w:w="475" w:type="pct"/>
                <w:shd w:val="clear" w:color="auto" w:fill="FFFFFF"/>
              </w:tcPr>
              <w:p>
                <w:pPr>
                  <w:ind w:left="1080" w:hanging="720"/>
                  <w:rPr>
                    <w:color w:val="000000"/>
                    <w:szCs w:val="24"/>
                    <w:lang w:bidi="de-DE"/>
                  </w:rPr>
                </w:pPr>
                <w:r>
                  <w:rPr>
                    <w:color w:val="000000"/>
                    <w:szCs w:val="24"/>
                    <w:lang w:bidi="de-DE"/>
                  </w:rPr>
                  <w:t>7.</w:t>
                  <w:tab/>
                </w:r>
              </w:p>
            </w:tc>
            <w:tc>
              <w:tcPr>
                <w:tcW w:w="1500" w:type="pct"/>
                <w:shd w:val="clear" w:color="auto" w:fill="FFFFFF"/>
                <w:vAlign w:val="center"/>
                <w:hideMark/>
              </w:tcPr>
              <w:p>
                <w:pPr>
                  <w:rPr>
                    <w:color w:val="000000"/>
                    <w:szCs w:val="24"/>
                  </w:rPr>
                </w:pPr>
                <w:r>
                  <w:rPr>
                    <w:color w:val="000000"/>
                    <w:szCs w:val="24"/>
                    <w:lang w:bidi="de-DE"/>
                  </w:rPr>
                  <w:t>Arsenas</w:t>
                </w:r>
              </w:p>
            </w:tc>
            <w:tc>
              <w:tcPr>
                <w:tcW w:w="948" w:type="pct"/>
                <w:shd w:val="clear" w:color="auto" w:fill="FFFFFF"/>
                <w:vAlign w:val="center"/>
                <w:hideMark/>
              </w:tcPr>
              <w:p>
                <w:pPr>
                  <w:jc w:val="center"/>
                  <w:rPr>
                    <w:color w:val="000000"/>
                    <w:szCs w:val="24"/>
                  </w:rPr>
                </w:pPr>
                <w:r>
                  <w:rPr>
                    <w:color w:val="000000"/>
                    <w:szCs w:val="24"/>
                    <w:lang w:bidi="de-DE"/>
                  </w:rPr>
                  <w:t>µg/l</w:t>
                </w:r>
              </w:p>
            </w:tc>
            <w:tc>
              <w:tcPr>
                <w:tcW w:w="2077" w:type="pct"/>
                <w:shd w:val="clear" w:color="auto" w:fill="FFFFFF"/>
                <w:vAlign w:val="center"/>
                <w:hideMark/>
              </w:tcPr>
              <w:p>
                <w:pPr>
                  <w:jc w:val="center"/>
                  <w:rPr>
                    <w:color w:val="000000"/>
                    <w:szCs w:val="24"/>
                  </w:rPr>
                </w:pPr>
                <w:r>
                  <w:rPr>
                    <w:color w:val="000000"/>
                    <w:szCs w:val="24"/>
                    <w:lang w:bidi="de-DE"/>
                  </w:rPr>
                  <w:t>Mėginiui apibūdinti</w:t>
                </w:r>
              </w:p>
            </w:tc>
          </w:tr>
          <w:tr>
            <w:trPr>
              <w:trHeight w:val="240"/>
            </w:trPr>
            <w:tc>
              <w:tcPr>
                <w:tcW w:w="475" w:type="pct"/>
                <w:shd w:val="clear" w:color="auto" w:fill="FFFFFF"/>
              </w:tcPr>
              <w:p>
                <w:pPr>
                  <w:ind w:left="1080" w:hanging="720"/>
                  <w:rPr>
                    <w:color w:val="000000"/>
                    <w:szCs w:val="24"/>
                    <w:lang w:bidi="de-DE"/>
                  </w:rPr>
                </w:pPr>
                <w:r>
                  <w:rPr>
                    <w:color w:val="000000"/>
                    <w:szCs w:val="24"/>
                    <w:lang w:bidi="de-DE"/>
                  </w:rPr>
                  <w:t>8.</w:t>
                  <w:tab/>
                </w:r>
              </w:p>
            </w:tc>
            <w:tc>
              <w:tcPr>
                <w:tcW w:w="1500" w:type="pct"/>
                <w:shd w:val="clear" w:color="auto" w:fill="FFFFFF"/>
                <w:vAlign w:val="center"/>
                <w:hideMark/>
              </w:tcPr>
              <w:p>
                <w:pPr>
                  <w:rPr>
                    <w:color w:val="000000"/>
                    <w:szCs w:val="24"/>
                  </w:rPr>
                </w:pPr>
                <w:r>
                  <w:rPr>
                    <w:color w:val="000000"/>
                    <w:szCs w:val="24"/>
                    <w:lang w:bidi="de-DE"/>
                  </w:rPr>
                  <w:t>Švinas</w:t>
                </w:r>
              </w:p>
            </w:tc>
            <w:tc>
              <w:tcPr>
                <w:tcW w:w="948" w:type="pct"/>
                <w:shd w:val="clear" w:color="auto" w:fill="FFFFFF"/>
                <w:vAlign w:val="center"/>
                <w:hideMark/>
              </w:tcPr>
              <w:p>
                <w:pPr>
                  <w:jc w:val="center"/>
                  <w:rPr>
                    <w:color w:val="000000"/>
                    <w:szCs w:val="24"/>
                  </w:rPr>
                </w:pPr>
                <w:r>
                  <w:rPr>
                    <w:color w:val="000000"/>
                    <w:szCs w:val="24"/>
                    <w:lang w:bidi="de-DE"/>
                  </w:rPr>
                  <w:t>µg/l</w:t>
                </w:r>
              </w:p>
            </w:tc>
            <w:tc>
              <w:tcPr>
                <w:tcW w:w="2077" w:type="pct"/>
                <w:shd w:val="clear" w:color="auto" w:fill="FFFFFF"/>
                <w:vAlign w:val="center"/>
                <w:hideMark/>
              </w:tcPr>
              <w:p>
                <w:pPr>
                  <w:jc w:val="center"/>
                  <w:rPr>
                    <w:szCs w:val="24"/>
                  </w:rPr>
                </w:pPr>
                <w:r>
                  <w:rPr>
                    <w:szCs w:val="24"/>
                    <w:lang w:bidi="de-DE"/>
                  </w:rPr>
                  <w:t>50</w:t>
                </w:r>
              </w:p>
            </w:tc>
          </w:tr>
          <w:tr>
            <w:trPr>
              <w:trHeight w:val="260"/>
            </w:trPr>
            <w:tc>
              <w:tcPr>
                <w:tcW w:w="475" w:type="pct"/>
                <w:shd w:val="clear" w:color="auto" w:fill="FFFFFF"/>
              </w:tcPr>
              <w:p>
                <w:pPr>
                  <w:ind w:left="1080" w:hanging="720"/>
                  <w:rPr>
                    <w:color w:val="000000"/>
                    <w:szCs w:val="24"/>
                    <w:lang w:bidi="de-DE"/>
                  </w:rPr>
                </w:pPr>
                <w:r>
                  <w:rPr>
                    <w:color w:val="000000"/>
                    <w:szCs w:val="24"/>
                    <w:lang w:bidi="de-DE"/>
                  </w:rPr>
                  <w:t>9.</w:t>
                  <w:tab/>
                </w:r>
              </w:p>
            </w:tc>
            <w:tc>
              <w:tcPr>
                <w:tcW w:w="1500" w:type="pct"/>
                <w:shd w:val="clear" w:color="auto" w:fill="FFFFFF"/>
                <w:vAlign w:val="center"/>
                <w:hideMark/>
              </w:tcPr>
              <w:p>
                <w:pPr>
                  <w:rPr>
                    <w:color w:val="000000"/>
                    <w:szCs w:val="24"/>
                  </w:rPr>
                </w:pPr>
                <w:r>
                  <w:rPr>
                    <w:color w:val="000000"/>
                    <w:szCs w:val="24"/>
                    <w:lang w:bidi="de-DE"/>
                  </w:rPr>
                  <w:t xml:space="preserve">Kadmis </w:t>
                </w:r>
              </w:p>
            </w:tc>
            <w:tc>
              <w:tcPr>
                <w:tcW w:w="948" w:type="pct"/>
                <w:shd w:val="clear" w:color="auto" w:fill="FFFFFF"/>
                <w:vAlign w:val="center"/>
                <w:hideMark/>
              </w:tcPr>
              <w:p>
                <w:pPr>
                  <w:jc w:val="center"/>
                  <w:rPr>
                    <w:color w:val="000000"/>
                    <w:szCs w:val="24"/>
                  </w:rPr>
                </w:pPr>
                <w:r>
                  <w:rPr>
                    <w:color w:val="000000"/>
                    <w:szCs w:val="24"/>
                    <w:lang w:bidi="de-DE"/>
                  </w:rPr>
                  <w:t>µg/l</w:t>
                </w:r>
              </w:p>
            </w:tc>
            <w:tc>
              <w:tcPr>
                <w:tcW w:w="2077" w:type="pct"/>
                <w:shd w:val="clear" w:color="auto" w:fill="FFFFFF"/>
                <w:vAlign w:val="center"/>
                <w:hideMark/>
              </w:tcPr>
              <w:p>
                <w:pPr>
                  <w:jc w:val="center"/>
                  <w:rPr>
                    <w:szCs w:val="24"/>
                  </w:rPr>
                </w:pPr>
                <w:r>
                  <w:rPr>
                    <w:szCs w:val="24"/>
                    <w:lang w:bidi="de-DE"/>
                  </w:rPr>
                  <w:t>3</w:t>
                </w:r>
              </w:p>
            </w:tc>
          </w:tr>
          <w:tr>
            <w:trPr>
              <w:trHeight w:val="139"/>
            </w:trPr>
            <w:tc>
              <w:tcPr>
                <w:tcW w:w="475" w:type="pct"/>
                <w:shd w:val="clear" w:color="auto" w:fill="FFFFFF"/>
              </w:tcPr>
              <w:p>
                <w:pPr>
                  <w:ind w:left="1080" w:hanging="720"/>
                  <w:rPr>
                    <w:color w:val="000000"/>
                    <w:szCs w:val="24"/>
                    <w:lang w:bidi="de-DE"/>
                  </w:rPr>
                </w:pPr>
                <w:r>
                  <w:rPr>
                    <w:color w:val="000000"/>
                    <w:szCs w:val="24"/>
                    <w:lang w:bidi="de-DE"/>
                  </w:rPr>
                  <w:t>10.</w:t>
                  <w:tab/>
                </w:r>
              </w:p>
            </w:tc>
            <w:tc>
              <w:tcPr>
                <w:tcW w:w="1500" w:type="pct"/>
                <w:shd w:val="clear" w:color="auto" w:fill="FFFFFF"/>
                <w:vAlign w:val="center"/>
                <w:hideMark/>
              </w:tcPr>
              <w:p>
                <w:pPr>
                  <w:rPr>
                    <w:color w:val="000000"/>
                    <w:szCs w:val="24"/>
                  </w:rPr>
                </w:pPr>
                <w:r>
                  <w:rPr>
                    <w:color w:val="000000"/>
                    <w:szCs w:val="24"/>
                    <w:lang w:bidi="de-DE"/>
                  </w:rPr>
                  <w:t>Chromas ges.</w:t>
                </w:r>
              </w:p>
            </w:tc>
            <w:tc>
              <w:tcPr>
                <w:tcW w:w="948" w:type="pct"/>
                <w:shd w:val="clear" w:color="auto" w:fill="FFFFFF"/>
                <w:vAlign w:val="center"/>
                <w:hideMark/>
              </w:tcPr>
              <w:p>
                <w:pPr>
                  <w:jc w:val="center"/>
                  <w:rPr>
                    <w:color w:val="000000"/>
                    <w:szCs w:val="24"/>
                  </w:rPr>
                </w:pPr>
                <w:r>
                  <w:rPr>
                    <w:color w:val="000000"/>
                    <w:szCs w:val="24"/>
                    <w:lang w:bidi="de-DE"/>
                  </w:rPr>
                  <w:t>µg/l</w:t>
                </w:r>
              </w:p>
            </w:tc>
            <w:tc>
              <w:tcPr>
                <w:tcW w:w="2077" w:type="pct"/>
                <w:shd w:val="clear" w:color="auto" w:fill="FFFFFF"/>
                <w:vAlign w:val="center"/>
                <w:hideMark/>
              </w:tcPr>
              <w:p>
                <w:pPr>
                  <w:jc w:val="center"/>
                  <w:rPr>
                    <w:szCs w:val="24"/>
                  </w:rPr>
                </w:pPr>
                <w:r>
                  <w:rPr>
                    <w:szCs w:val="24"/>
                    <w:lang w:bidi="de-DE"/>
                  </w:rPr>
                  <w:t>200</w:t>
                </w:r>
              </w:p>
            </w:tc>
          </w:tr>
          <w:tr>
            <w:trPr>
              <w:trHeight w:val="173"/>
            </w:trPr>
            <w:tc>
              <w:tcPr>
                <w:tcW w:w="475" w:type="pct"/>
                <w:shd w:val="clear" w:color="auto" w:fill="FFFFFF"/>
              </w:tcPr>
              <w:p>
                <w:pPr>
                  <w:ind w:left="1080" w:hanging="720"/>
                  <w:rPr>
                    <w:color w:val="000000"/>
                    <w:szCs w:val="24"/>
                    <w:lang w:bidi="de-DE"/>
                  </w:rPr>
                </w:pPr>
                <w:r>
                  <w:rPr>
                    <w:color w:val="000000"/>
                    <w:szCs w:val="24"/>
                    <w:lang w:bidi="de-DE"/>
                  </w:rPr>
                  <w:t>11.</w:t>
                  <w:tab/>
                </w:r>
              </w:p>
            </w:tc>
            <w:tc>
              <w:tcPr>
                <w:tcW w:w="1500" w:type="pct"/>
                <w:shd w:val="clear" w:color="auto" w:fill="FFFFFF"/>
                <w:vAlign w:val="center"/>
                <w:hideMark/>
              </w:tcPr>
              <w:p>
                <w:pPr>
                  <w:rPr>
                    <w:color w:val="000000"/>
                    <w:szCs w:val="24"/>
                  </w:rPr>
                </w:pPr>
                <w:r>
                  <w:rPr>
                    <w:color w:val="000000"/>
                    <w:szCs w:val="24"/>
                    <w:lang w:bidi="de-DE"/>
                  </w:rPr>
                  <w:t>Varis</w:t>
                </w:r>
              </w:p>
            </w:tc>
            <w:tc>
              <w:tcPr>
                <w:tcW w:w="948" w:type="pct"/>
                <w:shd w:val="clear" w:color="auto" w:fill="FFFFFF"/>
                <w:vAlign w:val="center"/>
                <w:hideMark/>
              </w:tcPr>
              <w:p>
                <w:pPr>
                  <w:jc w:val="center"/>
                  <w:rPr>
                    <w:color w:val="000000"/>
                    <w:szCs w:val="24"/>
                  </w:rPr>
                </w:pPr>
                <w:r>
                  <w:rPr>
                    <w:color w:val="000000"/>
                    <w:szCs w:val="24"/>
                    <w:lang w:bidi="de-DE"/>
                  </w:rPr>
                  <w:t>µg/l</w:t>
                </w:r>
              </w:p>
            </w:tc>
            <w:tc>
              <w:tcPr>
                <w:tcW w:w="2077" w:type="pct"/>
                <w:shd w:val="clear" w:color="auto" w:fill="FFFFFF"/>
                <w:vAlign w:val="center"/>
                <w:hideMark/>
              </w:tcPr>
              <w:p>
                <w:pPr>
                  <w:jc w:val="center"/>
                  <w:rPr>
                    <w:strike/>
                    <w:szCs w:val="24"/>
                  </w:rPr>
                </w:pPr>
                <w:r>
                  <w:rPr>
                    <w:szCs w:val="24"/>
                    <w:lang w:bidi="de-DE"/>
                  </w:rPr>
                  <w:t>150</w:t>
                </w:r>
              </w:p>
            </w:tc>
          </w:tr>
          <w:tr>
            <w:trPr>
              <w:trHeight w:val="192"/>
            </w:trPr>
            <w:tc>
              <w:tcPr>
                <w:tcW w:w="475" w:type="pct"/>
                <w:shd w:val="clear" w:color="auto" w:fill="FFFFFF"/>
              </w:tcPr>
              <w:p>
                <w:pPr>
                  <w:ind w:left="1080" w:hanging="720"/>
                  <w:rPr>
                    <w:color w:val="000000"/>
                    <w:szCs w:val="24"/>
                    <w:lang w:bidi="de-DE"/>
                  </w:rPr>
                </w:pPr>
                <w:r>
                  <w:rPr>
                    <w:color w:val="000000"/>
                    <w:szCs w:val="24"/>
                    <w:lang w:bidi="de-DE"/>
                  </w:rPr>
                  <w:t>12.</w:t>
                  <w:tab/>
                </w:r>
              </w:p>
            </w:tc>
            <w:tc>
              <w:tcPr>
                <w:tcW w:w="1500" w:type="pct"/>
                <w:shd w:val="clear" w:color="auto" w:fill="FFFFFF"/>
                <w:vAlign w:val="center"/>
                <w:hideMark/>
              </w:tcPr>
              <w:p>
                <w:pPr>
                  <w:rPr>
                    <w:color w:val="000000"/>
                    <w:szCs w:val="24"/>
                  </w:rPr>
                </w:pPr>
                <w:r>
                  <w:rPr>
                    <w:color w:val="000000"/>
                    <w:szCs w:val="24"/>
                    <w:lang w:bidi="de-DE"/>
                  </w:rPr>
                  <w:t>Nikelis</w:t>
                </w:r>
              </w:p>
            </w:tc>
            <w:tc>
              <w:tcPr>
                <w:tcW w:w="948" w:type="pct"/>
                <w:shd w:val="clear" w:color="auto" w:fill="FFFFFF"/>
                <w:vAlign w:val="center"/>
                <w:hideMark/>
              </w:tcPr>
              <w:p>
                <w:pPr>
                  <w:jc w:val="center"/>
                  <w:rPr>
                    <w:color w:val="000000"/>
                    <w:szCs w:val="24"/>
                  </w:rPr>
                </w:pPr>
                <w:r>
                  <w:rPr>
                    <w:color w:val="000000"/>
                    <w:szCs w:val="24"/>
                    <w:lang w:bidi="de-DE"/>
                  </w:rPr>
                  <w:t>µg/l</w:t>
                </w:r>
              </w:p>
            </w:tc>
            <w:tc>
              <w:tcPr>
                <w:tcW w:w="2077" w:type="pct"/>
                <w:shd w:val="clear" w:color="auto" w:fill="FFFFFF"/>
                <w:vAlign w:val="center"/>
                <w:hideMark/>
              </w:tcPr>
              <w:p>
                <w:pPr>
                  <w:jc w:val="center"/>
                  <w:rPr>
                    <w:szCs w:val="24"/>
                  </w:rPr>
                </w:pPr>
                <w:r>
                  <w:rPr>
                    <w:szCs w:val="24"/>
                    <w:lang w:bidi="de-DE"/>
                  </w:rPr>
                  <w:t>40</w:t>
                </w:r>
              </w:p>
            </w:tc>
          </w:tr>
          <w:tr>
            <w:trPr>
              <w:trHeight w:val="213"/>
            </w:trPr>
            <w:tc>
              <w:tcPr>
                <w:tcW w:w="475" w:type="pct"/>
                <w:shd w:val="clear" w:color="auto" w:fill="FFFFFF"/>
              </w:tcPr>
              <w:p>
                <w:pPr>
                  <w:ind w:left="1080" w:hanging="720"/>
                  <w:rPr>
                    <w:color w:val="000000"/>
                    <w:szCs w:val="24"/>
                    <w:lang w:bidi="de-DE"/>
                  </w:rPr>
                </w:pPr>
                <w:r>
                  <w:rPr>
                    <w:color w:val="000000"/>
                    <w:szCs w:val="24"/>
                    <w:lang w:bidi="de-DE"/>
                  </w:rPr>
                  <w:t>13.</w:t>
                  <w:tab/>
                </w:r>
              </w:p>
            </w:tc>
            <w:tc>
              <w:tcPr>
                <w:tcW w:w="1500" w:type="pct"/>
                <w:shd w:val="clear" w:color="auto" w:fill="FFFFFF"/>
                <w:vAlign w:val="center"/>
                <w:hideMark/>
              </w:tcPr>
              <w:p>
                <w:pPr>
                  <w:rPr>
                    <w:color w:val="000000"/>
                    <w:szCs w:val="24"/>
                  </w:rPr>
                </w:pPr>
                <w:r>
                  <w:rPr>
                    <w:color w:val="000000"/>
                    <w:szCs w:val="24"/>
                    <w:lang w:bidi="de-DE"/>
                  </w:rPr>
                  <w:t>Gyvsidabris</w:t>
                </w:r>
              </w:p>
            </w:tc>
            <w:tc>
              <w:tcPr>
                <w:tcW w:w="948" w:type="pct"/>
                <w:shd w:val="clear" w:color="auto" w:fill="FFFFFF"/>
                <w:vAlign w:val="center"/>
                <w:hideMark/>
              </w:tcPr>
              <w:p>
                <w:pPr>
                  <w:jc w:val="center"/>
                  <w:rPr>
                    <w:color w:val="000000"/>
                    <w:szCs w:val="24"/>
                  </w:rPr>
                </w:pPr>
                <w:r>
                  <w:rPr>
                    <w:color w:val="000000"/>
                    <w:szCs w:val="24"/>
                    <w:lang w:bidi="de-DE"/>
                  </w:rPr>
                  <w:t>µg/l</w:t>
                </w:r>
              </w:p>
            </w:tc>
            <w:tc>
              <w:tcPr>
                <w:tcW w:w="2077" w:type="pct"/>
                <w:shd w:val="clear" w:color="auto" w:fill="FFFFFF"/>
                <w:vAlign w:val="center"/>
                <w:hideMark/>
              </w:tcPr>
              <w:p>
                <w:pPr>
                  <w:jc w:val="center"/>
                  <w:rPr>
                    <w:szCs w:val="24"/>
                  </w:rPr>
                </w:pPr>
                <w:r>
                  <w:rPr>
                    <w:szCs w:val="24"/>
                    <w:lang w:bidi="de-DE"/>
                  </w:rPr>
                  <w:t>1</w:t>
                </w:r>
              </w:p>
            </w:tc>
          </w:tr>
          <w:tr>
            <w:trPr>
              <w:trHeight w:val="105"/>
            </w:trPr>
            <w:tc>
              <w:tcPr>
                <w:tcW w:w="475" w:type="pct"/>
                <w:shd w:val="clear" w:color="auto" w:fill="FFFFFF"/>
              </w:tcPr>
              <w:p>
                <w:pPr>
                  <w:ind w:left="1080" w:hanging="720"/>
                  <w:rPr>
                    <w:color w:val="000000"/>
                    <w:szCs w:val="24"/>
                    <w:lang w:bidi="de-DE"/>
                  </w:rPr>
                </w:pPr>
                <w:r>
                  <w:rPr>
                    <w:color w:val="000000"/>
                    <w:szCs w:val="24"/>
                    <w:lang w:bidi="de-DE"/>
                  </w:rPr>
                  <w:t>14.</w:t>
                  <w:tab/>
                </w:r>
              </w:p>
            </w:tc>
            <w:tc>
              <w:tcPr>
                <w:tcW w:w="1500" w:type="pct"/>
                <w:shd w:val="clear" w:color="auto" w:fill="FFFFFF"/>
                <w:vAlign w:val="center"/>
                <w:hideMark/>
              </w:tcPr>
              <w:p>
                <w:pPr>
                  <w:rPr>
                    <w:color w:val="000000"/>
                    <w:szCs w:val="24"/>
                  </w:rPr>
                </w:pPr>
                <w:r>
                  <w:rPr>
                    <w:color w:val="000000"/>
                    <w:szCs w:val="24"/>
                    <w:lang w:bidi="de-DE"/>
                  </w:rPr>
                  <w:t xml:space="preserve">Cinkas </w:t>
                </w:r>
              </w:p>
            </w:tc>
            <w:tc>
              <w:tcPr>
                <w:tcW w:w="948" w:type="pct"/>
                <w:shd w:val="clear" w:color="auto" w:fill="FFFFFF"/>
                <w:vAlign w:val="center"/>
                <w:hideMark/>
              </w:tcPr>
              <w:p>
                <w:pPr>
                  <w:jc w:val="center"/>
                  <w:rPr>
                    <w:color w:val="000000"/>
                    <w:szCs w:val="24"/>
                  </w:rPr>
                </w:pPr>
                <w:r>
                  <w:rPr>
                    <w:color w:val="000000"/>
                    <w:szCs w:val="24"/>
                    <w:lang w:bidi="de-DE"/>
                  </w:rPr>
                  <w:t>µg/l</w:t>
                </w:r>
              </w:p>
            </w:tc>
            <w:tc>
              <w:tcPr>
                <w:tcW w:w="2077" w:type="pct"/>
                <w:shd w:val="clear" w:color="auto" w:fill="FFFFFF"/>
                <w:vAlign w:val="center"/>
                <w:hideMark/>
              </w:tcPr>
              <w:p>
                <w:pPr>
                  <w:jc w:val="center"/>
                  <w:rPr>
                    <w:szCs w:val="24"/>
                  </w:rPr>
                </w:pPr>
                <w:r>
                  <w:rPr>
                    <w:szCs w:val="24"/>
                    <w:lang w:bidi="de-DE"/>
                  </w:rPr>
                  <w:t>300</w:t>
                </w:r>
              </w:p>
            </w:tc>
          </w:tr>
          <w:tr>
            <w:trPr>
              <w:trHeight w:val="124"/>
            </w:trPr>
            <w:tc>
              <w:tcPr>
                <w:tcW w:w="475" w:type="pct"/>
                <w:shd w:val="clear" w:color="auto" w:fill="FFFFFF"/>
              </w:tcPr>
              <w:p>
                <w:pPr>
                  <w:ind w:left="1080" w:hanging="720"/>
                  <w:rPr>
                    <w:color w:val="000000"/>
                    <w:szCs w:val="24"/>
                    <w:lang w:bidi="de-DE"/>
                  </w:rPr>
                </w:pPr>
                <w:r>
                  <w:rPr>
                    <w:color w:val="000000"/>
                    <w:szCs w:val="24"/>
                    <w:lang w:bidi="de-DE"/>
                  </w:rPr>
                  <w:t>15.</w:t>
                  <w:tab/>
                </w:r>
              </w:p>
            </w:tc>
            <w:tc>
              <w:tcPr>
                <w:tcW w:w="1500" w:type="pct"/>
                <w:shd w:val="clear" w:color="auto" w:fill="FFFFFF"/>
                <w:vAlign w:val="center"/>
                <w:hideMark/>
              </w:tcPr>
              <w:p>
                <w:pPr>
                  <w:rPr>
                    <w:color w:val="000000"/>
                    <w:szCs w:val="24"/>
                  </w:rPr>
                </w:pPr>
                <w:r>
                  <w:rPr>
                    <w:color w:val="000000"/>
                    <w:szCs w:val="24"/>
                    <w:lang w:bidi="de-DE"/>
                  </w:rPr>
                  <w:t>Chloridai</w:t>
                </w:r>
              </w:p>
            </w:tc>
            <w:tc>
              <w:tcPr>
                <w:tcW w:w="948" w:type="pct"/>
                <w:shd w:val="clear" w:color="auto" w:fill="FFFFFF"/>
                <w:vAlign w:val="center"/>
                <w:hideMark/>
              </w:tcPr>
              <w:p>
                <w:pPr>
                  <w:jc w:val="center"/>
                  <w:rPr>
                    <w:color w:val="000000"/>
                    <w:szCs w:val="24"/>
                  </w:rPr>
                </w:pPr>
                <w:r>
                  <w:rPr>
                    <w:color w:val="000000"/>
                    <w:szCs w:val="24"/>
                    <w:lang w:bidi="de-DE"/>
                  </w:rPr>
                  <w:t>mg/l</w:t>
                </w:r>
              </w:p>
            </w:tc>
            <w:tc>
              <w:tcPr>
                <w:tcW w:w="2077" w:type="pct"/>
                <w:shd w:val="clear" w:color="auto" w:fill="FFFFFF"/>
                <w:vAlign w:val="center"/>
                <w:hideMark/>
              </w:tcPr>
              <w:p>
                <w:pPr>
                  <w:jc w:val="center"/>
                  <w:rPr>
                    <w:szCs w:val="24"/>
                  </w:rPr>
                </w:pPr>
                <w:r>
                  <w:rPr>
                    <w:szCs w:val="24"/>
                    <w:lang w:bidi="de-DE"/>
                  </w:rPr>
                  <w:t>1000</w:t>
                </w:r>
              </w:p>
            </w:tc>
          </w:tr>
          <w:tr>
            <w:trPr>
              <w:trHeight w:val="144"/>
            </w:trPr>
            <w:tc>
              <w:tcPr>
                <w:tcW w:w="475" w:type="pct"/>
                <w:shd w:val="clear" w:color="auto" w:fill="FFFFFF"/>
              </w:tcPr>
              <w:p>
                <w:pPr>
                  <w:ind w:left="1080" w:hanging="720"/>
                  <w:rPr>
                    <w:color w:val="000000"/>
                    <w:szCs w:val="24"/>
                    <w:lang w:bidi="de-DE"/>
                  </w:rPr>
                </w:pPr>
                <w:r>
                  <w:rPr>
                    <w:color w:val="000000"/>
                    <w:szCs w:val="24"/>
                    <w:lang w:bidi="de-DE"/>
                  </w:rPr>
                  <w:t>16.</w:t>
                  <w:tab/>
                </w:r>
              </w:p>
            </w:tc>
            <w:tc>
              <w:tcPr>
                <w:tcW w:w="1500" w:type="pct"/>
                <w:shd w:val="clear" w:color="auto" w:fill="FFFFFF"/>
                <w:vAlign w:val="center"/>
                <w:hideMark/>
              </w:tcPr>
              <w:p>
                <w:pPr>
                  <w:rPr>
                    <w:color w:val="000000"/>
                    <w:szCs w:val="24"/>
                  </w:rPr>
                </w:pPr>
                <w:r>
                  <w:rPr>
                    <w:color w:val="000000"/>
                    <w:szCs w:val="24"/>
                    <w:lang w:bidi="de-DE"/>
                  </w:rPr>
                  <w:t>Sulfatai</w:t>
                </w:r>
              </w:p>
            </w:tc>
            <w:tc>
              <w:tcPr>
                <w:tcW w:w="948" w:type="pct"/>
                <w:shd w:val="clear" w:color="auto" w:fill="FFFFFF"/>
                <w:vAlign w:val="center"/>
                <w:hideMark/>
              </w:tcPr>
              <w:p>
                <w:pPr>
                  <w:jc w:val="center"/>
                  <w:rPr>
                    <w:color w:val="000000"/>
                    <w:szCs w:val="24"/>
                  </w:rPr>
                </w:pPr>
                <w:r>
                  <w:rPr>
                    <w:color w:val="000000"/>
                    <w:szCs w:val="24"/>
                    <w:lang w:bidi="de-DE"/>
                  </w:rPr>
                  <w:t>mg/l</w:t>
                </w:r>
              </w:p>
            </w:tc>
            <w:tc>
              <w:tcPr>
                <w:tcW w:w="2077" w:type="pct"/>
                <w:shd w:val="clear" w:color="auto" w:fill="FFFFFF"/>
                <w:vAlign w:val="center"/>
                <w:hideMark/>
              </w:tcPr>
              <w:p>
                <w:pPr>
                  <w:jc w:val="center"/>
                  <w:rPr>
                    <w:szCs w:val="24"/>
                  </w:rPr>
                </w:pPr>
                <w:r>
                  <w:rPr>
                    <w:szCs w:val="24"/>
                    <w:lang w:bidi="de-DE"/>
                  </w:rPr>
                  <w:t>2000</w:t>
                </w:r>
              </w:p>
            </w:tc>
          </w:tr>
          <w:tr>
            <w:trPr>
              <w:trHeight w:val="37"/>
            </w:trPr>
            <w:tc>
              <w:tcPr>
                <w:tcW w:w="475" w:type="pct"/>
                <w:shd w:val="clear" w:color="auto" w:fill="FFFFFF"/>
              </w:tcPr>
              <w:p>
                <w:pPr>
                  <w:ind w:firstLine="372"/>
                  <w:rPr>
                    <w:color w:val="000000"/>
                    <w:szCs w:val="24"/>
                    <w:lang w:bidi="de-DE"/>
                  </w:rPr>
                </w:pPr>
                <w:r>
                  <w:rPr>
                    <w:color w:val="000000"/>
                    <w:szCs w:val="24"/>
                    <w:lang w:bidi="de-DE"/>
                  </w:rPr>
                  <w:t>17.</w:t>
                </w:r>
              </w:p>
            </w:tc>
            <w:tc>
              <w:tcPr>
                <w:tcW w:w="1500" w:type="pct"/>
                <w:shd w:val="clear" w:color="auto" w:fill="FFFFFF"/>
                <w:vAlign w:val="center"/>
              </w:tcPr>
              <w:p>
                <w:pPr>
                  <w:rPr>
                    <w:color w:val="000000"/>
                    <w:szCs w:val="24"/>
                    <w:lang w:bidi="de-DE"/>
                  </w:rPr>
                </w:pPr>
                <w:r>
                  <w:rPr>
                    <w:color w:val="000000"/>
                    <w:szCs w:val="24"/>
                    <w:lang w:bidi="de-DE"/>
                  </w:rPr>
                  <w:t>Cianidai (l. fr.)</w:t>
                </w:r>
              </w:p>
            </w:tc>
            <w:tc>
              <w:tcPr>
                <w:tcW w:w="948" w:type="pct"/>
                <w:shd w:val="clear" w:color="auto" w:fill="FFFFFF"/>
                <w:vAlign w:val="center"/>
              </w:tcPr>
              <w:p>
                <w:pPr>
                  <w:jc w:val="center"/>
                  <w:rPr>
                    <w:color w:val="000000"/>
                    <w:szCs w:val="24"/>
                    <w:lang w:bidi="de-DE"/>
                  </w:rPr>
                </w:pPr>
                <w:r>
                  <w:rPr>
                    <w:color w:val="000000"/>
                    <w:szCs w:val="24"/>
                    <w:lang w:bidi="de-DE"/>
                  </w:rPr>
                  <w:t>mg/l</w:t>
                </w:r>
              </w:p>
            </w:tc>
            <w:tc>
              <w:tcPr>
                <w:tcW w:w="2077" w:type="pct"/>
                <w:shd w:val="clear" w:color="auto" w:fill="FFFFFF"/>
                <w:vAlign w:val="center"/>
              </w:tcPr>
              <w:p>
                <w:pPr>
                  <w:jc w:val="center"/>
                  <w:rPr>
                    <w:szCs w:val="24"/>
                    <w:lang w:bidi="de-DE"/>
                  </w:rPr>
                </w:pPr>
                <w:r>
                  <w:rPr>
                    <w:szCs w:val="24"/>
                    <w:lang w:bidi="de-DE"/>
                  </w:rPr>
                  <w:t>0,020</w:t>
                </w:r>
              </w:p>
            </w:tc>
          </w:tr>
        </w:tbl>
        <w:p>
          <w:pPr>
            <w:tabs>
              <w:tab w:val="left" w:pos="8821"/>
            </w:tabs>
            <w:ind w:left="6237" w:firstLine="62"/>
            <w:rPr>
              <w:color w:val="414142"/>
              <w:szCs w:val="24"/>
            </w:rPr>
          </w:pPr>
        </w:p>
        <w:p>
          <w:pPr>
            <w:tabs>
              <w:tab w:val="left" w:pos="8821"/>
            </w:tabs>
            <w:ind w:left="5670"/>
            <w:rPr>
              <w:color w:val="414142"/>
              <w:szCs w:val="24"/>
            </w:rPr>
          </w:pPr>
        </w:p>
        <w:p>
          <w:pPr>
            <w:tabs>
              <w:tab w:val="left" w:pos="8821"/>
            </w:tabs>
            <w:ind w:left="5670"/>
            <w:rPr>
              <w:color w:val="414142"/>
              <w:szCs w:val="24"/>
            </w:rPr>
          </w:pPr>
        </w:p>
        <w:p>
          <w:pPr>
            <w:tabs>
              <w:tab w:val="left" w:pos="8821"/>
            </w:tabs>
            <w:ind w:left="5670"/>
            <w:rPr>
              <w:color w:val="414142"/>
              <w:szCs w:val="24"/>
            </w:rPr>
          </w:pPr>
        </w:p>
        <w:p>
          <w:pPr>
            <w:tabs>
              <w:tab w:val="left" w:pos="8821"/>
            </w:tabs>
            <w:ind w:left="5670"/>
            <w:rPr>
              <w:color w:val="414142"/>
              <w:szCs w:val="24"/>
            </w:rPr>
          </w:pPr>
        </w:p>
        <w:p>
          <w:pPr>
            <w:tabs>
              <w:tab w:val="left" w:pos="8821"/>
            </w:tabs>
            <w:ind w:left="5670"/>
            <w:rPr>
              <w:color w:val="414142"/>
              <w:szCs w:val="24"/>
            </w:rPr>
          </w:pPr>
        </w:p>
        <w:p>
          <w:pPr>
            <w:tabs>
              <w:tab w:val="left" w:pos="8821"/>
            </w:tabs>
            <w:ind w:left="5670"/>
            <w:rPr>
              <w:color w:val="414142"/>
              <w:szCs w:val="24"/>
            </w:rPr>
          </w:pPr>
        </w:p>
        <w:p>
          <w:pPr>
            <w:tabs>
              <w:tab w:val="left" w:pos="8821"/>
            </w:tabs>
            <w:ind w:left="5670"/>
            <w:rPr>
              <w:color w:val="414142"/>
              <w:szCs w:val="24"/>
            </w:rPr>
          </w:pPr>
        </w:p>
        <w:p>
          <w:pPr>
            <w:tabs>
              <w:tab w:val="left" w:pos="8821"/>
            </w:tabs>
            <w:ind w:left="5670"/>
            <w:rPr>
              <w:color w:val="414142"/>
              <w:szCs w:val="24"/>
            </w:rPr>
          </w:pPr>
        </w:p>
        <w:p>
          <w:pPr>
            <w:tabs>
              <w:tab w:val="left" w:pos="8821"/>
            </w:tabs>
            <w:ind w:left="5670"/>
            <w:rPr>
              <w:color w:val="414142"/>
              <w:szCs w:val="24"/>
            </w:rPr>
          </w:pPr>
        </w:p>
        <w:p>
          <w:pPr>
            <w:tabs>
              <w:tab w:val="left" w:pos="8821"/>
            </w:tabs>
            <w:ind w:left="5670"/>
            <w:rPr>
              <w:color w:val="414142"/>
              <w:szCs w:val="24"/>
            </w:rPr>
          </w:pPr>
        </w:p>
        <w:p>
          <w:pPr>
            <w:tabs>
              <w:tab w:val="left" w:pos="8821"/>
            </w:tabs>
            <w:ind w:left="5670"/>
            <w:rPr>
              <w:color w:val="414142"/>
              <w:szCs w:val="24"/>
            </w:rPr>
          </w:pPr>
        </w:p>
        <w:p>
          <w:pPr>
            <w:tabs>
              <w:tab w:val="left" w:pos="8821"/>
            </w:tabs>
            <w:ind w:left="5670"/>
            <w:rPr>
              <w:color w:val="414142"/>
              <w:szCs w:val="24"/>
            </w:rPr>
          </w:pPr>
        </w:p>
        <w:p>
          <w:pPr>
            <w:tabs>
              <w:tab w:val="left" w:pos="8821"/>
            </w:tabs>
            <w:ind w:left="5670"/>
            <w:rPr>
              <w:color w:val="414142"/>
              <w:szCs w:val="24"/>
            </w:rPr>
          </w:pPr>
        </w:p>
        <w:p>
          <w:pPr>
            <w:tabs>
              <w:tab w:val="left" w:pos="8821"/>
            </w:tabs>
            <w:ind w:left="5670"/>
            <w:rPr>
              <w:color w:val="414142"/>
              <w:szCs w:val="24"/>
            </w:rPr>
          </w:pPr>
        </w:p>
        <w:p>
          <w:pPr>
            <w:tabs>
              <w:tab w:val="left" w:pos="8821"/>
            </w:tabs>
            <w:ind w:left="5670"/>
            <w:rPr>
              <w:color w:val="414142"/>
              <w:szCs w:val="24"/>
            </w:rPr>
          </w:pPr>
        </w:p>
      </w:sdtContent>
    </w:sdt>
    <w:sdt>
      <w:sdtPr>
        <w:alias w:val="6 pr."/>
        <w:tag w:val="part_0871ae35c9d848e8a197bdda35110d22"/>
        <w:lock w:val="sdtLocked"/>
        <w:richText/>
      </w:sdtPr>
      <w:sdtContent>
        <w:p>
          <w:pPr>
            <w:ind w:left="5670"/>
            <w:rPr>
              <w:color w:val="414142"/>
              <w:szCs w:val="24"/>
            </w:rPr>
          </w:pPr>
          <w:r>
            <w:rPr>
              <w:color w:val="414142"/>
              <w:szCs w:val="24"/>
            </w:rPr>
            <w:t xml:space="preserve">Atliekų deginimo ir bendro atliekų deginimo pelenų ir šlako tvarkymo </w:t>
          </w:r>
        </w:p>
        <w:p>
          <w:pPr>
            <w:ind w:left="5670"/>
            <w:rPr>
              <w:color w:val="414142"/>
              <w:szCs w:val="24"/>
            </w:rPr>
          </w:pPr>
          <w:r>
            <w:rPr>
              <w:color w:val="414142"/>
              <w:szCs w:val="24"/>
            </w:rPr>
            <w:t>ir naudojimo taisyklių</w:t>
          </w:r>
        </w:p>
        <w:p>
          <w:pPr>
            <w:tabs>
              <w:tab w:val="left" w:pos="8821"/>
            </w:tabs>
            <w:ind w:left="5670"/>
            <w:rPr>
              <w:color w:val="414142"/>
              <w:szCs w:val="24"/>
            </w:rPr>
          </w:pPr>
          <w:sdt>
            <w:sdtPr>
              <w:alias w:val="Numeris"/>
              <w:tag w:val="nr_0871ae35c9d848e8a197bdda35110d22"/>
              <w:lock w:val="sdtLocked"/>
              <w:richText/>
            </w:sdtPr>
            <w:sdtContent>
              <w:r>
                <w:rPr>
                  <w:color w:val="414142"/>
                  <w:szCs w:val="24"/>
                </w:rPr>
                <w:t>6</w:t>
              </w:r>
            </w:sdtContent>
          </w:sdt>
          <w:r>
            <w:rPr>
              <w:color w:val="414142"/>
              <w:szCs w:val="24"/>
            </w:rPr>
            <w:t xml:space="preserve"> priedas</w:t>
          </w:r>
        </w:p>
        <w:p>
          <w:pPr>
            <w:widowControl w:val="0"/>
            <w:ind w:firstLine="567"/>
            <w:rPr>
              <w:rFonts w:eastAsia="Arial"/>
              <w:szCs w:val="24"/>
            </w:rPr>
          </w:pPr>
        </w:p>
        <w:p>
          <w:pPr>
            <w:widowControl w:val="0"/>
            <w:ind w:firstLine="567"/>
            <w:jc w:val="center"/>
            <w:rPr>
              <w:rFonts w:eastAsia="Arial"/>
              <w:b/>
              <w:bCs/>
              <w:color w:val="414142"/>
              <w:szCs w:val="24"/>
            </w:rPr>
          </w:pPr>
          <w:sdt>
            <w:sdtPr>
              <w:alias w:val="Pavadinimas"/>
              <w:tag w:val="title_0871ae35c9d848e8a197bdda35110d22"/>
              <w:lock w:val="sdtLocked"/>
              <w:richText/>
            </w:sdtPr>
            <w:sdtContent>
              <w:r>
                <w:rPr>
                  <w:rFonts w:eastAsia="Arial"/>
                  <w:b/>
                  <w:bCs/>
                  <w:color w:val="414142"/>
                  <w:szCs w:val="24"/>
                </w:rPr>
                <w:t xml:space="preserve">ATITIKTIES DEKLARACIJA DĖL CHEMINĖS MEDŽIAGOS ATITIKTIES ATLIEKŲ NELAIKYMO ATLIEKOMIS KRITERIJAMS </w:t>
              </w:r>
            </w:sdtContent>
          </w:sdt>
        </w:p>
        <w:p>
          <w:pPr>
            <w:widowControl w:val="0"/>
            <w:jc w:val="center"/>
            <w:rPr>
              <w:rFonts w:eastAsia="Arial"/>
              <w:bCs/>
              <w:szCs w:val="24"/>
            </w:rPr>
          </w:pPr>
          <w:r>
            <w:rPr>
              <w:rFonts w:eastAsia="Arial"/>
              <w:bCs/>
              <w:szCs w:val="24"/>
            </w:rPr>
            <w:t>___________</w:t>
          </w:r>
        </w:p>
        <w:p>
          <w:pPr>
            <w:widowControl w:val="0"/>
            <w:jc w:val="center"/>
            <w:rPr>
              <w:rFonts w:eastAsia="Arial"/>
              <w:bCs/>
              <w:sz w:val="20"/>
            </w:rPr>
          </w:pPr>
          <w:r>
            <w:rPr>
              <w:rFonts w:eastAsia="Arial"/>
              <w:bCs/>
              <w:sz w:val="20"/>
            </w:rPr>
            <w:t>(data)</w:t>
          </w:r>
        </w:p>
        <w:p>
          <w:pPr>
            <w:widowControl w:val="0"/>
            <w:jc w:val="center"/>
            <w:rPr>
              <w:rFonts w:eastAsia="Arial"/>
              <w:bCs/>
              <w:sz w:val="20"/>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46"/>
            <w:gridCol w:w="5552"/>
            <w:gridCol w:w="2800"/>
          </w:tblGrid>
          <w:tr>
            <w:tc>
              <w:tcPr>
                <w:tcW w:w="709" w:type="dxa"/>
              </w:tcPr>
              <w:p>
                <w:pPr>
                  <w:widowControl w:val="0"/>
                  <w:ind w:left="720" w:hanging="360"/>
                  <w:rPr>
                    <w:rFonts w:eastAsia="Arial"/>
                    <w:b/>
                    <w:bCs/>
                    <w:sz w:val="20"/>
                  </w:rPr>
                </w:pPr>
                <w:r>
                  <w:rPr>
                    <w:rFonts w:eastAsia="Arial"/>
                    <w:b/>
                    <w:bCs/>
                    <w:sz w:val="20"/>
                  </w:rPr>
                  <w:t>1.</w:t>
                  <w:tab/>
                </w:r>
              </w:p>
            </w:tc>
            <w:tc>
              <w:tcPr>
                <w:tcW w:w="5812" w:type="dxa"/>
              </w:tcPr>
              <w:p>
                <w:pPr>
                  <w:widowControl w:val="0"/>
                  <w:rPr>
                    <w:rFonts w:eastAsia="Arial"/>
                    <w:b/>
                    <w:bCs/>
                    <w:szCs w:val="24"/>
                  </w:rPr>
                </w:pPr>
                <w:r>
                  <w:rPr>
                    <w:rFonts w:eastAsia="Arial"/>
                    <w:b/>
                    <w:bCs/>
                    <w:szCs w:val="24"/>
                  </w:rPr>
                  <w:t>Cheminės medžiagos gamintojo duomenys:</w:t>
                </w:r>
              </w:p>
              <w:p>
                <w:pPr>
                  <w:widowControl w:val="0"/>
                  <w:rPr>
                    <w:rFonts w:eastAsia="Arial"/>
                    <w:bCs/>
                    <w:szCs w:val="24"/>
                  </w:rPr>
                </w:pPr>
                <w:r>
                  <w:rPr>
                    <w:rFonts w:eastAsia="Arial"/>
                    <w:bCs/>
                    <w:szCs w:val="24"/>
                  </w:rPr>
                  <w:t>Įmonės pavadinimas, kodas</w:t>
                </w:r>
              </w:p>
              <w:p>
                <w:pPr>
                  <w:widowControl w:val="0"/>
                  <w:rPr>
                    <w:rFonts w:eastAsia="Arial"/>
                    <w:bCs/>
                    <w:szCs w:val="24"/>
                  </w:rPr>
                </w:pPr>
                <w:r>
                  <w:rPr>
                    <w:rFonts w:eastAsia="Arial"/>
                    <w:bCs/>
                    <w:szCs w:val="24"/>
                  </w:rPr>
                  <w:t>Veiklavietės adresas</w:t>
                </w:r>
              </w:p>
              <w:p>
                <w:pPr>
                  <w:widowControl w:val="0"/>
                  <w:tabs>
                    <w:tab w:val="left" w:pos="993"/>
                  </w:tabs>
                  <w:rPr>
                    <w:b/>
                    <w:szCs w:val="24"/>
                  </w:rPr>
                </w:pPr>
                <w:r>
                  <w:rPr>
                    <w:rFonts w:eastAsia="Arial"/>
                    <w:bCs/>
                    <w:szCs w:val="24"/>
                  </w:rPr>
                  <w:t xml:space="preserve">Kontaktinio asmens vardas, pavardė, pareigos,  telefono numeris, el. pašto adresas</w:t>
                </w:r>
              </w:p>
            </w:tc>
            <w:tc>
              <w:tcPr>
                <w:tcW w:w="2977" w:type="dxa"/>
              </w:tcPr>
              <w:p>
                <w:pPr>
                  <w:widowControl w:val="0"/>
                  <w:jc w:val="center"/>
                  <w:rPr>
                    <w:rFonts w:eastAsia="Arial"/>
                    <w:bCs/>
                    <w:sz w:val="20"/>
                  </w:rPr>
                </w:pPr>
              </w:p>
            </w:tc>
          </w:tr>
          <w:tr>
            <w:tc>
              <w:tcPr>
                <w:tcW w:w="709" w:type="dxa"/>
              </w:tcPr>
              <w:p>
                <w:pPr>
                  <w:widowControl w:val="0"/>
                  <w:ind w:left="720" w:hanging="360"/>
                  <w:rPr>
                    <w:rFonts w:eastAsia="Arial"/>
                    <w:b/>
                    <w:bCs/>
                    <w:sz w:val="20"/>
                  </w:rPr>
                </w:pPr>
                <w:r>
                  <w:rPr>
                    <w:rFonts w:eastAsia="Arial"/>
                    <w:b/>
                    <w:bCs/>
                    <w:sz w:val="20"/>
                  </w:rPr>
                  <w:t>2.</w:t>
                  <w:tab/>
                </w:r>
              </w:p>
            </w:tc>
            <w:tc>
              <w:tcPr>
                <w:tcW w:w="5812" w:type="dxa"/>
              </w:tcPr>
              <w:p>
                <w:pPr>
                  <w:widowControl w:val="0"/>
                  <w:ind w:left="3091" w:hanging="3057"/>
                  <w:rPr>
                    <w:rFonts w:eastAsia="Arial"/>
                    <w:b/>
                    <w:bCs/>
                    <w:szCs w:val="24"/>
                  </w:rPr>
                </w:pPr>
                <w:r>
                  <w:rPr>
                    <w:rFonts w:eastAsia="Arial"/>
                    <w:b/>
                    <w:bCs/>
                    <w:szCs w:val="24"/>
                  </w:rPr>
                  <w:t>Cheminės medžiagos siuntos gavėjo duomenys:</w:t>
                </w:r>
              </w:p>
              <w:p>
                <w:pPr>
                  <w:widowControl w:val="0"/>
                  <w:ind w:left="3091" w:hanging="3057"/>
                  <w:rPr>
                    <w:rFonts w:eastAsia="Arial"/>
                    <w:bCs/>
                    <w:szCs w:val="24"/>
                  </w:rPr>
                </w:pPr>
                <w:r>
                  <w:rPr>
                    <w:rFonts w:eastAsia="Arial"/>
                    <w:bCs/>
                    <w:szCs w:val="24"/>
                  </w:rPr>
                  <w:t>Įmonės pavadinimas, kodas</w:t>
                </w:r>
              </w:p>
              <w:p>
                <w:pPr>
                  <w:widowControl w:val="0"/>
                  <w:ind w:left="3091" w:hanging="3057"/>
                  <w:rPr>
                    <w:rFonts w:eastAsia="Arial"/>
                    <w:b/>
                    <w:bCs/>
                    <w:szCs w:val="24"/>
                  </w:rPr>
                </w:pPr>
                <w:r>
                  <w:rPr>
                    <w:rFonts w:eastAsia="Arial"/>
                    <w:bCs/>
                    <w:szCs w:val="24"/>
                  </w:rPr>
                  <w:t xml:space="preserve">Veiklavietės adresas </w:t>
                </w:r>
              </w:p>
            </w:tc>
            <w:tc>
              <w:tcPr>
                <w:tcW w:w="2977" w:type="dxa"/>
              </w:tcPr>
              <w:p>
                <w:pPr>
                  <w:widowControl w:val="0"/>
                  <w:jc w:val="center"/>
                  <w:rPr>
                    <w:rFonts w:eastAsia="Arial"/>
                    <w:bCs/>
                    <w:sz w:val="20"/>
                  </w:rPr>
                </w:pPr>
              </w:p>
            </w:tc>
          </w:tr>
          <w:tr>
            <w:trPr>
              <w:trHeight w:val="997"/>
            </w:trPr>
            <w:tc>
              <w:tcPr>
                <w:tcW w:w="709" w:type="dxa"/>
              </w:tcPr>
              <w:p>
                <w:pPr>
                  <w:widowControl w:val="0"/>
                  <w:ind w:left="720" w:hanging="360"/>
                  <w:jc w:val="both"/>
                  <w:rPr>
                    <w:rFonts w:eastAsia="Arial"/>
                    <w:b/>
                    <w:bCs/>
                    <w:sz w:val="20"/>
                  </w:rPr>
                </w:pPr>
                <w:r>
                  <w:rPr>
                    <w:rFonts w:eastAsia="Arial"/>
                    <w:b/>
                    <w:bCs/>
                    <w:sz w:val="20"/>
                  </w:rPr>
                  <w:t>3.</w:t>
                  <w:tab/>
                </w:r>
              </w:p>
            </w:tc>
            <w:tc>
              <w:tcPr>
                <w:tcW w:w="5812" w:type="dxa"/>
              </w:tcPr>
              <w:p>
                <w:pPr>
                  <w:widowControl w:val="0"/>
                  <w:jc w:val="both"/>
                  <w:rPr>
                    <w:rFonts w:eastAsia="Arial"/>
                    <w:bCs/>
                    <w:szCs w:val="24"/>
                  </w:rPr>
                </w:pPr>
                <w:r>
                  <w:rPr>
                    <w:rFonts w:eastAsia="Arial"/>
                    <w:b/>
                    <w:bCs/>
                    <w:szCs w:val="24"/>
                  </w:rPr>
                  <w:t xml:space="preserve">Unikalus produkto tipo identifikacinis kodas, tipo, partijos ar serijos numeris ar bet koks kitas elementas, pagal kuri galima identifikuoti  produktą, ir produkto pagaminimo data, vieta</w:t>
                </w:r>
              </w:p>
            </w:tc>
            <w:tc>
              <w:tcPr>
                <w:tcW w:w="2977" w:type="dxa"/>
              </w:tcPr>
              <w:p>
                <w:pPr>
                  <w:widowControl w:val="0"/>
                  <w:jc w:val="center"/>
                  <w:rPr>
                    <w:rFonts w:eastAsia="Arial"/>
                    <w:bCs/>
                    <w:sz w:val="20"/>
                  </w:rPr>
                </w:pPr>
              </w:p>
            </w:tc>
          </w:tr>
          <w:tr>
            <w:trPr>
              <w:trHeight w:val="262"/>
            </w:trPr>
            <w:tc>
              <w:tcPr>
                <w:tcW w:w="709" w:type="dxa"/>
              </w:tcPr>
              <w:p>
                <w:pPr>
                  <w:widowControl w:val="0"/>
                  <w:ind w:left="720" w:hanging="360"/>
                  <w:rPr>
                    <w:rFonts w:eastAsia="Arial"/>
                    <w:b/>
                    <w:bCs/>
                    <w:sz w:val="20"/>
                  </w:rPr>
                </w:pPr>
                <w:r>
                  <w:rPr>
                    <w:rFonts w:eastAsia="Arial"/>
                    <w:b/>
                    <w:bCs/>
                    <w:sz w:val="20"/>
                  </w:rPr>
                  <w:t>4.</w:t>
                  <w:tab/>
                </w:r>
              </w:p>
            </w:tc>
            <w:tc>
              <w:tcPr>
                <w:tcW w:w="5812" w:type="dxa"/>
              </w:tcPr>
              <w:p>
                <w:pPr>
                  <w:widowControl w:val="0"/>
                  <w:rPr>
                    <w:rFonts w:eastAsia="Arial"/>
                    <w:b/>
                    <w:bCs/>
                    <w:szCs w:val="24"/>
                  </w:rPr>
                </w:pPr>
                <w:r>
                  <w:rPr>
                    <w:rFonts w:eastAsia="Arial"/>
                    <w:b/>
                    <w:bCs/>
                    <w:szCs w:val="24"/>
                  </w:rPr>
                  <w:t xml:space="preserve">Siuntos svoris </w:t>
                </w:r>
              </w:p>
            </w:tc>
            <w:tc>
              <w:tcPr>
                <w:tcW w:w="2977" w:type="dxa"/>
              </w:tcPr>
              <w:p>
                <w:pPr>
                  <w:widowControl w:val="0"/>
                  <w:jc w:val="center"/>
                  <w:rPr>
                    <w:rFonts w:eastAsia="Arial"/>
                    <w:bCs/>
                    <w:sz w:val="20"/>
                  </w:rPr>
                </w:pPr>
              </w:p>
            </w:tc>
          </w:tr>
          <w:tr>
            <w:tc>
              <w:tcPr>
                <w:tcW w:w="709" w:type="dxa"/>
              </w:tcPr>
              <w:p>
                <w:pPr>
                  <w:widowControl w:val="0"/>
                  <w:ind w:left="720" w:hanging="360"/>
                  <w:rPr>
                    <w:rFonts w:eastAsia="Arial"/>
                    <w:b/>
                    <w:bCs/>
                    <w:sz w:val="20"/>
                  </w:rPr>
                </w:pPr>
                <w:r>
                  <w:rPr>
                    <w:rFonts w:eastAsia="Arial"/>
                    <w:b/>
                    <w:bCs/>
                    <w:sz w:val="20"/>
                  </w:rPr>
                  <w:t>5.</w:t>
                  <w:tab/>
                </w:r>
              </w:p>
            </w:tc>
            <w:tc>
              <w:tcPr>
                <w:tcW w:w="5812" w:type="dxa"/>
              </w:tcPr>
              <w:p>
                <w:pPr>
                  <w:widowControl w:val="0"/>
                  <w:rPr>
                    <w:rFonts w:eastAsia="Arial"/>
                    <w:b/>
                    <w:bCs/>
                    <w:szCs w:val="24"/>
                  </w:rPr>
                </w:pPr>
                <w:r>
                  <w:rPr>
                    <w:rFonts w:eastAsia="Arial"/>
                    <w:b/>
                    <w:bCs/>
                    <w:szCs w:val="24"/>
                  </w:rPr>
                  <w:t>Siuntoje esančios cheminės medžiagos yra skirtos tik tiesioginiam naudojimui (nurodyti numatytą naudojimą)</w:t>
                </w:r>
              </w:p>
            </w:tc>
            <w:tc>
              <w:tcPr>
                <w:tcW w:w="2977" w:type="dxa"/>
              </w:tcPr>
              <w:p>
                <w:pPr>
                  <w:widowControl w:val="0"/>
                  <w:jc w:val="center"/>
                  <w:rPr>
                    <w:rFonts w:eastAsia="Arial"/>
                    <w:bCs/>
                    <w:sz w:val="20"/>
                  </w:rPr>
                </w:pPr>
              </w:p>
            </w:tc>
          </w:tr>
          <w:tr>
            <w:tc>
              <w:tcPr>
                <w:tcW w:w="709" w:type="dxa"/>
              </w:tcPr>
              <w:p>
                <w:pPr>
                  <w:widowControl w:val="0"/>
                  <w:ind w:left="720" w:hanging="360"/>
                  <w:rPr>
                    <w:rFonts w:eastAsia="Arial"/>
                    <w:b/>
                    <w:bCs/>
                    <w:sz w:val="20"/>
                  </w:rPr>
                </w:pPr>
                <w:r>
                  <w:rPr>
                    <w:rFonts w:eastAsia="Arial"/>
                    <w:b/>
                    <w:bCs/>
                    <w:sz w:val="20"/>
                  </w:rPr>
                  <w:t>6.</w:t>
                  <w:tab/>
                </w:r>
              </w:p>
            </w:tc>
            <w:tc>
              <w:tcPr>
                <w:tcW w:w="5812" w:type="dxa"/>
              </w:tcPr>
              <w:p>
                <w:pPr>
                  <w:widowControl w:val="0"/>
                  <w:rPr>
                    <w:rFonts w:eastAsia="Arial"/>
                    <w:b/>
                    <w:bCs/>
                    <w:szCs w:val="24"/>
                  </w:rPr>
                </w:pPr>
                <w:r>
                  <w:rPr>
                    <w:rFonts w:eastAsia="Arial"/>
                    <w:b/>
                    <w:bCs/>
                    <w:szCs w:val="24"/>
                  </w:rPr>
                  <w:t>Eksploatacinių savybių deklaracijos numeris, data</w:t>
                </w:r>
              </w:p>
            </w:tc>
            <w:tc>
              <w:tcPr>
                <w:tcW w:w="2977" w:type="dxa"/>
              </w:tcPr>
              <w:p>
                <w:pPr>
                  <w:widowControl w:val="0"/>
                  <w:jc w:val="center"/>
                  <w:rPr>
                    <w:rFonts w:eastAsia="Arial"/>
                    <w:bCs/>
                    <w:sz w:val="20"/>
                  </w:rPr>
                </w:pPr>
              </w:p>
              <w:p>
                <w:pPr>
                  <w:widowControl w:val="0"/>
                  <w:jc w:val="center"/>
                  <w:rPr>
                    <w:rFonts w:eastAsia="Arial"/>
                    <w:bCs/>
                    <w:sz w:val="20"/>
                  </w:rPr>
                </w:pPr>
              </w:p>
            </w:tc>
          </w:tr>
          <w:tr>
            <w:tc>
              <w:tcPr>
                <w:tcW w:w="709" w:type="dxa"/>
              </w:tcPr>
              <w:p>
                <w:pPr>
                  <w:widowControl w:val="0"/>
                  <w:ind w:left="720" w:hanging="360"/>
                  <w:rPr>
                    <w:rFonts w:eastAsia="Arial"/>
                    <w:b/>
                    <w:bCs/>
                    <w:sz w:val="20"/>
                  </w:rPr>
                </w:pPr>
                <w:r>
                  <w:rPr>
                    <w:rFonts w:eastAsia="Arial"/>
                    <w:b/>
                    <w:bCs/>
                    <w:sz w:val="20"/>
                  </w:rPr>
                  <w:t>7.</w:t>
                  <w:tab/>
                </w:r>
              </w:p>
            </w:tc>
            <w:tc>
              <w:tcPr>
                <w:tcW w:w="5812" w:type="dxa"/>
              </w:tcPr>
              <w:p>
                <w:pPr>
                  <w:widowControl w:val="0"/>
                  <w:rPr>
                    <w:rFonts w:eastAsia="Arial"/>
                    <w:b/>
                    <w:bCs/>
                    <w:szCs w:val="24"/>
                  </w:rPr>
                </w:pPr>
                <w:r>
                  <w:rPr>
                    <w:rFonts w:eastAsia="Arial"/>
                    <w:b/>
                    <w:bCs/>
                    <w:szCs w:val="24"/>
                  </w:rPr>
                  <w:t>Kita informacija</w:t>
                </w:r>
              </w:p>
            </w:tc>
            <w:tc>
              <w:tcPr>
                <w:tcW w:w="2977" w:type="dxa"/>
              </w:tcPr>
              <w:p>
                <w:pPr>
                  <w:widowControl w:val="0"/>
                  <w:jc w:val="center"/>
                  <w:rPr>
                    <w:rFonts w:eastAsia="Arial"/>
                    <w:bCs/>
                    <w:sz w:val="20"/>
                  </w:rPr>
                </w:pPr>
              </w:p>
              <w:p>
                <w:pPr>
                  <w:widowControl w:val="0"/>
                  <w:jc w:val="center"/>
                  <w:rPr>
                    <w:rFonts w:eastAsia="Arial"/>
                    <w:bCs/>
                    <w:sz w:val="20"/>
                  </w:rPr>
                </w:pPr>
              </w:p>
            </w:tc>
          </w:tr>
        </w:tbl>
        <w:p>
          <w:pPr>
            <w:widowControl w:val="0"/>
            <w:jc w:val="center"/>
            <w:rPr>
              <w:rFonts w:eastAsia="Arial"/>
              <w:bCs/>
              <w:sz w:val="20"/>
            </w:rPr>
          </w:pPr>
        </w:p>
        <w:p>
          <w:pPr>
            <w:tabs>
              <w:tab w:val="left" w:pos="606"/>
            </w:tabs>
            <w:rPr>
              <w:spacing w:val="-3"/>
              <w:szCs w:val="24"/>
            </w:rPr>
          </w:pPr>
        </w:p>
        <w:p>
          <w:pPr>
            <w:tabs>
              <w:tab w:val="left" w:pos="606"/>
            </w:tabs>
            <w:jc w:val="both"/>
            <w:rPr>
              <w:szCs w:val="24"/>
            </w:rPr>
          </w:pPr>
          <w:r>
            <w:rPr>
              <w:spacing w:val="-3"/>
              <w:szCs w:val="24"/>
            </w:rPr>
            <w:t xml:space="preserve">Patvirtinu, kad cheminės medžiagos siunta  atitinka Atliekų deginimo ir bendro atliekų deginimo pelenų ir šlako tvarkymo ir naudojimo taisyklių 19-22 punktuose nurodytus kriterijus.</w:t>
          </w:r>
        </w:p>
        <w:p>
          <w:pPr>
            <w:widowControl w:val="0"/>
            <w:jc w:val="both"/>
            <w:rPr>
              <w:rFonts w:eastAsia="Arial"/>
              <w:szCs w:val="24"/>
            </w:rPr>
          </w:pPr>
        </w:p>
        <w:p>
          <w:pPr>
            <w:tabs>
              <w:tab w:val="left" w:pos="606"/>
            </w:tabs>
            <w:jc w:val="both"/>
            <w:rPr>
              <w:szCs w:val="24"/>
            </w:rPr>
          </w:pPr>
          <w:r>
            <w:rPr>
              <w:szCs w:val="24"/>
            </w:rPr>
            <w:t>Patvirtinu, kad mūsų įmonėje yra įdiegta kokybės vadybos sistema.</w:t>
          </w:r>
        </w:p>
        <w:p>
          <w:pPr>
            <w:tabs>
              <w:tab w:val="left" w:pos="606"/>
            </w:tabs>
            <w:jc w:val="both"/>
            <w:rPr>
              <w:szCs w:val="24"/>
            </w:rPr>
          </w:pPr>
        </w:p>
        <w:p>
          <w:pPr>
            <w:tabs>
              <w:tab w:val="left" w:pos="606"/>
            </w:tabs>
            <w:jc w:val="both"/>
            <w:rPr>
              <w:szCs w:val="24"/>
            </w:rPr>
          </w:pPr>
          <w:r>
            <w:rPr>
              <w:szCs w:val="24"/>
            </w:rPr>
            <w:t xml:space="preserve">Patvirtinu, </w:t>
          </w:r>
          <w:r>
            <w:rPr>
              <w:spacing w:val="3"/>
              <w:szCs w:val="24"/>
            </w:rPr>
            <w:t xml:space="preserve">kad </w:t>
          </w:r>
          <w:r>
            <w:rPr>
              <w:spacing w:val="-4"/>
              <w:szCs w:val="24"/>
            </w:rPr>
            <w:t xml:space="preserve">visa </w:t>
          </w:r>
          <w:r>
            <w:rPr>
              <w:szCs w:val="24"/>
            </w:rPr>
            <w:t>deklaracijoje minėta informacija yra išsami ir teisinga.</w:t>
          </w:r>
        </w:p>
        <w:p>
          <w:pPr>
            <w:widowControl w:val="0"/>
            <w:rPr>
              <w:rFonts w:eastAsia="Arial"/>
              <w:szCs w:val="24"/>
            </w:rPr>
          </w:pPr>
        </w:p>
        <w:p>
          <w:pPr>
            <w:widowControl w:val="0"/>
            <w:rPr>
              <w:rFonts w:eastAsia="Arial"/>
              <w:szCs w:val="24"/>
            </w:rPr>
          </w:pPr>
          <w:r>
            <w:rPr>
              <w:rFonts w:eastAsia="Arial"/>
              <w:szCs w:val="24"/>
            </w:rPr>
            <w:t>_____________________________________________________</w:t>
            <w:tab/>
            <w:tab/>
            <w:t>_______________</w:t>
          </w:r>
        </w:p>
        <w:p>
          <w:pPr>
            <w:widowControl w:val="0"/>
            <w:rPr>
              <w:rFonts w:eastAsia="Arial"/>
              <w:sz w:val="22"/>
              <w:szCs w:val="22"/>
            </w:rPr>
          </w:pPr>
          <w:r>
            <w:rPr>
              <w:rFonts w:eastAsia="Arial"/>
              <w:sz w:val="22"/>
              <w:szCs w:val="22"/>
            </w:rPr>
            <w:t xml:space="preserve">(pareigos, vardas, pavardė) </w:t>
            <w:tab/>
            <w:tab/>
            <w:tab/>
            <w:tab/>
            <w:tab/>
            <w:tab/>
            <w:tab/>
            <w:tab/>
            <w:t>(parašas)</w:t>
          </w:r>
        </w:p>
        <w:p>
          <w:pPr>
            <w:widowControl w:val="0"/>
            <w:rPr>
              <w:rFonts w:eastAsia="Arial"/>
              <w:sz w:val="22"/>
              <w:szCs w:val="22"/>
            </w:rPr>
          </w:pPr>
        </w:p>
        <w:p>
          <w:pPr>
            <w:widowControl w:val="0"/>
            <w:rPr>
              <w:rFonts w:eastAsia="Arial"/>
              <w:sz w:val="22"/>
              <w:szCs w:val="22"/>
            </w:rPr>
          </w:pPr>
        </w:p>
        <w:p>
          <w:pPr>
            <w:widowControl w:val="0"/>
            <w:ind w:firstLine="3990"/>
            <w:rPr>
              <w:rFonts w:ascii="Arial" w:eastAsia="Courier New" w:hAnsi="Arial" w:cs="Arial"/>
              <w:sz w:val="18"/>
              <w:szCs w:val="24"/>
              <w:shd w:val="clear" w:color="auto" w:fill="FFFFFF"/>
              <w:lang w:val="en-US" w:eastAsia="de-DE" w:bidi="de-DE"/>
            </w:rPr>
          </w:pPr>
          <w:r>
            <w:rPr>
              <w:rFonts w:ascii="Arial" w:eastAsia="Courier New" w:hAnsi="Arial" w:cs="Arial"/>
              <w:sz w:val="18"/>
              <w:szCs w:val="24"/>
              <w:shd w:val="clear" w:color="auto" w:fill="FFFFFF"/>
              <w:lang w:val="en-US" w:eastAsia="de-DE" w:bidi="de-DE"/>
            </w:rPr>
            <w:t>_____________________</w:t>
          </w:r>
        </w:p>
        <w:p>
          <w:pPr>
            <w:ind w:firstLine="709"/>
            <w:jc w:val="both"/>
            <w:rPr>
              <w:rFonts w:eastAsia="Courier New"/>
              <w:szCs w:val="24"/>
              <w:shd w:val="clear" w:color="auto" w:fill="FFFFFF"/>
              <w:lang w:eastAsia="de-DE" w:bidi="de-DE"/>
            </w:rPr>
          </w:pPr>
        </w:p>
        <w:tbl>
          <w:tblPr>
            <w:tblW w:w="9643" w:type="dxa"/>
            <w:tblInd w:w="8" w:type="dxa"/>
            <w:tblLayout w:type="fixed"/>
            <w:tblCellMar>
              <w:left w:w="0" w:type="dxa"/>
              <w:right w:w="0" w:type="dxa"/>
            </w:tblCellMar>
            <w:tblLook w:val="0000" w:firstRow="0" w:lastRow="0" w:firstColumn="0" w:lastColumn="0" w:noHBand="0" w:noVBand="0"/>
          </w:tblPr>
          <w:tblGrid>
            <w:gridCol w:w="4817"/>
            <w:gridCol w:w="4679"/>
            <w:gridCol w:w="147"/>
          </w:tblGrid>
          <w:tr>
            <w:trPr>
              <w:trHeight w:val="340"/>
            </w:trPr>
            <w:tc>
              <w:tcPr>
                <w:tcW w:w="4817" w:type="dxa"/>
                <w:vAlign w:val="bottom"/>
              </w:tcPr>
              <w:p>
                <w:pPr>
                  <w:suppressLineNumbers/>
                  <w:suppressAutoHyphens/>
                  <w:rPr>
                    <w:lang w:eastAsia="lt-LT"/>
                  </w:rPr>
                </w:pPr>
              </w:p>
            </w:tc>
            <w:tc>
              <w:tcPr>
                <w:tcW w:w="4826" w:type="dxa"/>
                <w:gridSpan w:val="2"/>
                <w:vAlign w:val="bottom"/>
              </w:tcPr>
              <w:p>
                <w:pPr>
                  <w:suppressAutoHyphens/>
                  <w:ind w:right="34"/>
                  <w:jc w:val="right"/>
                  <w:rPr>
                    <w:lang w:eastAsia="lt-LT"/>
                  </w:rPr>
                </w:pPr>
              </w:p>
            </w:tc>
          </w:tr>
          <w:tr>
            <w:trPr>
              <w:gridAfter w:val="1"/>
              <w:wAfter w:w="147" w:type="dxa"/>
              <w:trHeight w:val="297"/>
            </w:trPr>
            <w:tc>
              <w:tcPr>
                <w:tcW w:w="4817" w:type="dxa"/>
                <w:vAlign w:val="bottom"/>
              </w:tcPr>
              <w:p>
                <w:pPr>
                  <w:suppressAutoHyphens/>
                  <w:rPr>
                    <w:lang w:eastAsia="lt-LT"/>
                  </w:rPr>
                </w:pPr>
              </w:p>
            </w:tc>
            <w:tc>
              <w:tcPr>
                <w:tcW w:w="4679" w:type="dxa"/>
                <w:vAlign w:val="bottom"/>
              </w:tcPr>
              <w:p>
                <w:pPr>
                  <w:suppressAutoHyphens/>
                  <w:ind w:right="34"/>
                  <w:jc w:val="right"/>
                  <w:rPr>
                    <w:lang w:eastAsia="lt-LT"/>
                  </w:rPr>
                </w:pPr>
              </w:p>
            </w:tc>
          </w:tr>
        </w:tbl>
        <w:p>
          <w:pPr>
            <w:suppressAutoHyphens/>
            <w:rPr>
              <w:lang w:eastAsia="lt-LT"/>
            </w:rPr>
          </w:pPr>
        </w:p>
      </w:sdtContent>
    </w:sdt>
    <w:sectPr>
      <w:footnotePr>
        <w:pos w:val="beneathText"/>
      </w:footnotePr>
      <w:pgSz w:w="11905" w:h="16837" w:code="9"/>
      <w:pgMar w:top="1134" w:right="567" w:bottom="1134" w:left="1701" w:header="794" w:footer="919" w:gutter="0"/>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suppressAutoHyphens/>
        <w:rPr>
          <w:lang w:eastAsia="lt-LT"/>
        </w:rPr>
      </w:pPr>
      <w:r>
        <w:rPr>
          <w:lang w:eastAsia="lt-LT"/>
        </w:rPr>
        <w:separator/>
      </w:r>
    </w:p>
  </w:endnote>
  <w:endnote w:type="continuationSeparator" w:id="0">
    <w:p>
      <w:pPr>
        <w:suppressAutoHyphens/>
        <w:rPr>
          <w:lang w:eastAsia="lt-LT"/>
        </w:rPr>
      </w:pPr>
      <w:r>
        <w:rPr>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Courier New">
    <w:panose1 w:val="02070309020205020404"/>
    <w:charset w:val="BA"/>
    <w:family w:val="modern"/>
    <w:pitch w:val="fixed"/>
    <w:sig w:usb0="E0002AFF" w:usb1="C0007843"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suppressAutoHyphens/>
      <w:rPr>
        <w:rFonts w:ascii="Tahoma" w:hAnsi="Tahoma"/>
        <w:spacing w:val="10"/>
        <w:sz w:val="16"/>
        <w:lang w:eastAsia="lt-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suppressAutoHyphens/>
      <w:rPr>
        <w:rFonts w:ascii="Tahoma" w:hAnsi="Tahoma"/>
        <w:spacing w:val="10"/>
        <w:sz w:val="16"/>
        <w:lang w:eastAsia="lt-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suppressAutoHyphens/>
      <w:rPr>
        <w:rFonts w:ascii="Tahoma" w:hAnsi="Tahoma"/>
        <w:spacing w:val="10"/>
        <w:sz w:val="16"/>
        <w:lang w:eastAsia="lt-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suppressAutoHyphens/>
        <w:rPr>
          <w:lang w:eastAsia="lt-LT"/>
        </w:rPr>
      </w:pPr>
      <w:r>
        <w:rPr>
          <w:lang w:eastAsia="lt-LT"/>
        </w:rPr>
        <w:separator/>
      </w:r>
    </w:p>
  </w:footnote>
  <w:footnote w:type="continuationSeparator" w:id="0">
    <w:p>
      <w:pPr>
        <w:suppressAutoHyphens/>
        <w:rPr>
          <w:lang w:eastAsia="lt-LT"/>
        </w:rPr>
      </w:pPr>
      <w:r>
        <w:rPr>
          <w:lang w:eastAsia="lt-LT"/>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9100"/>
      </w:tabs>
      <w:suppressAutoHyphens/>
      <w:rPr>
        <w:rFonts w:ascii="Tahoma" w:hAnsi="Tahoma"/>
        <w:spacing w:val="10"/>
        <w:sz w:val="20"/>
        <w:lang w:eastAsia="lt-LT"/>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9100"/>
      </w:tabs>
      <w:suppressAutoHyphens/>
      <w:jc w:val="center"/>
      <w:rPr>
        <w:spacing w:val="10"/>
        <w:lang w:eastAsia="lt-LT"/>
      </w:rPr>
    </w:pPr>
    <w:r>
      <w:rPr>
        <w:spacing w:val="10"/>
        <w:lang w:eastAsia="lt-LT"/>
      </w:rPr>
      <w:fldChar w:fldCharType="begin"/>
    </w:r>
    <w:r>
      <w:rPr>
        <w:spacing w:val="10"/>
        <w:lang w:eastAsia="lt-LT"/>
      </w:rPr>
      <w:instrText xml:space="preserve"> PAGE   \* MERGEFORMAT </w:instrText>
    </w:r>
    <w:r>
      <w:rPr>
        <w:spacing w:val="10"/>
        <w:lang w:eastAsia="lt-LT"/>
      </w:rPr>
      <w:fldChar w:fldCharType="separate"/>
    </w:r>
    <w:r>
      <w:rPr>
        <w:spacing w:val="10"/>
        <w:lang w:eastAsia="lt-LT"/>
      </w:rPr>
      <w:t>13</w:t>
    </w:r>
    <w:r>
      <w:rPr>
        <w:spacing w:val="10"/>
        <w:lang w:eastAsia="lt-LT"/>
      </w:rPr>
      <w:fldChar w:fldCharType="end"/>
    </w: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removePersonalInformation/>
  <w:removeDateAndTime/>
  <w:defaultTabStop w:val="72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147457"/>
  </w:hdrShapeDefaults>
  <w:footnotePr>
    <w:pos w:val="beneathTex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77CE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47457"/>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445320887">
      <w:bodyDiv w:val="1"/>
      <w:marLeft w:val="0"/>
      <w:marRight w:val="0"/>
      <w:marTop w:val="0"/>
      <w:marBottom w:val="0"/>
      <w:divBdr>
        <w:top w:val="none" w:sz="0" w:space="0" w:color="auto"/>
        <w:left w:val="none" w:sz="0" w:space="0" w:color="auto"/>
        <w:bottom w:val="none" w:sz="0" w:space="0" w:color="auto"/>
        <w:right w:val="none" w:sz="0" w:space="0" w:color="auto"/>
      </w:divBdr>
      <w:divsChild>
        <w:div w:id="107511579">
          <w:marLeft w:val="0"/>
          <w:marRight w:val="0"/>
          <w:marTop w:val="0"/>
          <w:marBottom w:val="0"/>
          <w:divBdr>
            <w:top w:val="none" w:sz="0" w:space="0" w:color="auto"/>
            <w:left w:val="none" w:sz="0" w:space="0" w:color="auto"/>
            <w:bottom w:val="none" w:sz="0" w:space="0" w:color="auto"/>
            <w:right w:val="none" w:sz="0" w:space="0" w:color="auto"/>
          </w:divBdr>
        </w:div>
        <w:div w:id="1876307715">
          <w:marLeft w:val="0"/>
          <w:marRight w:val="0"/>
          <w:marTop w:val="0"/>
          <w:marBottom w:val="0"/>
          <w:divBdr>
            <w:top w:val="none" w:sz="0" w:space="0" w:color="auto"/>
            <w:left w:val="none" w:sz="0" w:space="0" w:color="auto"/>
            <w:bottom w:val="none" w:sz="0" w:space="0" w:color="auto"/>
            <w:right w:val="none" w:sz="0" w:space="0" w:color="auto"/>
          </w:divBdr>
        </w:div>
        <w:div w:id="225846810">
          <w:marLeft w:val="0"/>
          <w:marRight w:val="0"/>
          <w:marTop w:val="0"/>
          <w:marBottom w:val="0"/>
          <w:divBdr>
            <w:top w:val="none" w:sz="0" w:space="0" w:color="auto"/>
            <w:left w:val="none" w:sz="0" w:space="0" w:color="auto"/>
            <w:bottom w:val="none" w:sz="0" w:space="0" w:color="auto"/>
            <w:right w:val="none" w:sz="0" w:space="0" w:color="auto"/>
          </w:divBdr>
        </w:div>
        <w:div w:id="894973295">
          <w:marLeft w:val="0"/>
          <w:marRight w:val="0"/>
          <w:marTop w:val="0"/>
          <w:marBottom w:val="0"/>
          <w:divBdr>
            <w:top w:val="none" w:sz="0" w:space="0" w:color="auto"/>
            <w:left w:val="none" w:sz="0" w:space="0" w:color="auto"/>
            <w:bottom w:val="none" w:sz="0" w:space="0" w:color="auto"/>
            <w:right w:val="none" w:sz="0" w:space="0" w:color="auto"/>
          </w:divBdr>
        </w:div>
        <w:div w:id="2077319926">
          <w:marLeft w:val="0"/>
          <w:marRight w:val="0"/>
          <w:marTop w:val="0"/>
          <w:marBottom w:val="0"/>
          <w:divBdr>
            <w:top w:val="none" w:sz="0" w:space="0" w:color="auto"/>
            <w:left w:val="none" w:sz="0" w:space="0" w:color="auto"/>
            <w:bottom w:val="none" w:sz="0" w:space="0" w:color="auto"/>
            <w:right w:val="none" w:sz="0" w:space="0" w:color="auto"/>
          </w:divBdr>
        </w:div>
        <w:div w:id="435248002">
          <w:marLeft w:val="0"/>
          <w:marRight w:val="0"/>
          <w:marTop w:val="0"/>
          <w:marBottom w:val="0"/>
          <w:divBdr>
            <w:top w:val="none" w:sz="0" w:space="0" w:color="auto"/>
            <w:left w:val="none" w:sz="0" w:space="0" w:color="auto"/>
            <w:bottom w:val="none" w:sz="0" w:space="0" w:color="auto"/>
            <w:right w:val="none" w:sz="0" w:space="0" w:color="auto"/>
          </w:divBdr>
        </w:div>
      </w:divsChild>
    </w:div>
    <w:div w:id="534199007">
      <w:bodyDiv w:val="1"/>
      <w:marLeft w:val="0"/>
      <w:marRight w:val="0"/>
      <w:marTop w:val="0"/>
      <w:marBottom w:val="0"/>
      <w:divBdr>
        <w:top w:val="none" w:sz="0" w:space="0" w:color="auto"/>
        <w:left w:val="none" w:sz="0" w:space="0" w:color="auto"/>
        <w:bottom w:val="none" w:sz="0" w:space="0" w:color="auto"/>
        <w:right w:val="none" w:sz="0" w:space="0" w:color="auto"/>
      </w:divBdr>
    </w:div>
    <w:div w:id="1018505500">
      <w:bodyDiv w:val="1"/>
      <w:marLeft w:val="0"/>
      <w:marRight w:val="0"/>
      <w:marTop w:val="0"/>
      <w:marBottom w:val="0"/>
      <w:divBdr>
        <w:top w:val="none" w:sz="0" w:space="0" w:color="auto"/>
        <w:left w:val="none" w:sz="0" w:space="0" w:color="auto"/>
        <w:bottom w:val="none" w:sz="0" w:space="0" w:color="auto"/>
        <w:right w:val="none" w:sz="0" w:space="0" w:color="auto"/>
      </w:divBdr>
    </w:div>
    <w:div w:id="1342009738">
      <w:bodyDiv w:val="1"/>
      <w:marLeft w:val="0"/>
      <w:marRight w:val="0"/>
      <w:marTop w:val="0"/>
      <w:marBottom w:val="0"/>
      <w:divBdr>
        <w:top w:val="none" w:sz="0" w:space="0" w:color="auto"/>
        <w:left w:val="none" w:sz="0" w:space="0" w:color="auto"/>
        <w:bottom w:val="none" w:sz="0" w:space="0" w:color="auto"/>
        <w:right w:val="none" w:sz="0" w:space="0" w:color="auto"/>
      </w:divBdr>
    </w:div>
    <w:div w:id="1494838789">
      <w:bodyDiv w:val="1"/>
      <w:marLeft w:val="0"/>
      <w:marRight w:val="0"/>
      <w:marTop w:val="0"/>
      <w:marBottom w:val="0"/>
      <w:divBdr>
        <w:top w:val="none" w:sz="0" w:space="0" w:color="auto"/>
        <w:left w:val="none" w:sz="0" w:space="0" w:color="auto"/>
        <w:bottom w:val="none" w:sz="0" w:space="0" w:color="auto"/>
        <w:right w:val="none" w:sz="0" w:space="0" w:color="auto"/>
      </w:divBdr>
      <w:divsChild>
        <w:div w:id="111438551">
          <w:marLeft w:val="0"/>
          <w:marRight w:val="0"/>
          <w:marTop w:val="0"/>
          <w:marBottom w:val="0"/>
          <w:divBdr>
            <w:top w:val="none" w:sz="0" w:space="0" w:color="auto"/>
            <w:left w:val="none" w:sz="0" w:space="0" w:color="auto"/>
            <w:bottom w:val="none" w:sz="0" w:space="0" w:color="auto"/>
            <w:right w:val="none" w:sz="0" w:space="0" w:color="auto"/>
          </w:divBdr>
        </w:div>
      </w:divsChild>
    </w:div>
    <w:div w:id="1613903906">
      <w:bodyDiv w:val="1"/>
      <w:marLeft w:val="0"/>
      <w:marRight w:val="0"/>
      <w:marTop w:val="0"/>
      <w:marBottom w:val="0"/>
      <w:divBdr>
        <w:top w:val="none" w:sz="0" w:space="0" w:color="auto"/>
        <w:left w:val="none" w:sz="0" w:space="0" w:color="auto"/>
        <w:bottom w:val="none" w:sz="0" w:space="0" w:color="auto"/>
        <w:right w:val="none" w:sz="0" w:space="0" w:color="auto"/>
      </w:divBdr>
    </w:div>
    <w:div w:id="1724518602">
      <w:bodyDiv w:val="1"/>
      <w:marLeft w:val="0"/>
      <w:marRight w:val="0"/>
      <w:marTop w:val="0"/>
      <w:marBottom w:val="0"/>
      <w:divBdr>
        <w:top w:val="none" w:sz="0" w:space="0" w:color="auto"/>
        <w:left w:val="none" w:sz="0" w:space="0" w:color="auto"/>
        <w:bottom w:val="none" w:sz="0" w:space="0" w:color="auto"/>
        <w:right w:val="none" w:sz="0" w:space="0" w:color="auto"/>
      </w:divBdr>
      <w:divsChild>
        <w:div w:id="900866557">
          <w:marLeft w:val="0"/>
          <w:marRight w:val="0"/>
          <w:marTop w:val="0"/>
          <w:marBottom w:val="0"/>
          <w:divBdr>
            <w:top w:val="none" w:sz="0" w:space="0" w:color="auto"/>
            <w:left w:val="none" w:sz="0" w:space="0" w:color="auto"/>
            <w:bottom w:val="none" w:sz="0" w:space="0" w:color="auto"/>
            <w:right w:val="none" w:sz="0" w:space="0" w:color="auto"/>
          </w:divBdr>
        </w:div>
      </w:divsChild>
    </w:div>
    <w:div w:id="1745880776">
      <w:bodyDiv w:val="1"/>
      <w:marLeft w:val="0"/>
      <w:marRight w:val="0"/>
      <w:marTop w:val="0"/>
      <w:marBottom w:val="0"/>
      <w:divBdr>
        <w:top w:val="none" w:sz="0" w:space="0" w:color="auto"/>
        <w:left w:val="none" w:sz="0" w:space="0" w:color="auto"/>
        <w:bottom w:val="none" w:sz="0" w:space="0" w:color="auto"/>
        <w:right w:val="none" w:sz="0" w:space="0" w:color="auto"/>
      </w:divBdr>
    </w:div>
    <w:div w:id="1785687214">
      <w:bodyDiv w:val="1"/>
      <w:marLeft w:val="0"/>
      <w:marRight w:val="0"/>
      <w:marTop w:val="0"/>
      <w:marBottom w:val="0"/>
      <w:divBdr>
        <w:top w:val="none" w:sz="0" w:space="0" w:color="auto"/>
        <w:left w:val="none" w:sz="0" w:space="0" w:color="auto"/>
        <w:bottom w:val="none" w:sz="0" w:space="0" w:color="auto"/>
        <w:right w:val="none" w:sz="0" w:space="0" w:color="auto"/>
      </w:divBdr>
    </w:div>
    <w:div w:id="1893350351">
      <w:bodyDiv w:val="1"/>
      <w:marLeft w:val="0"/>
      <w:marRight w:val="0"/>
      <w:marTop w:val="0"/>
      <w:marBottom w:val="0"/>
      <w:divBdr>
        <w:top w:val="none" w:sz="0" w:space="0" w:color="auto"/>
        <w:left w:val="none" w:sz="0" w:space="0" w:color="auto"/>
        <w:bottom w:val="none" w:sz="0" w:space="0" w:color="auto"/>
        <w:right w:val="none" w:sz="0" w:space="0" w:color="auto"/>
      </w:divBdr>
    </w:div>
    <w:div w:id="20921943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endnotes" Target="endnotes.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settings" Target="settings.xml"/>
  <Relationship Id="rId8" Type="http://schemas.openxmlformats.org/officeDocument/2006/relationships/webSettings" Target="webSettings.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AA351E0ECF89C14A900DE8C04996CFDF" ma:contentTypeVersion="16" ma:contentTypeDescription="Kurkite naują dokumentą." ma:contentTypeScope="" ma:versionID="5a1b337319f81cc821ea2fb116b9889e">
  <xsd:schema xmlns:xsd="http://www.w3.org/2001/XMLSchema" xmlns:xs="http://www.w3.org/2001/XMLSchema" xmlns:p="http://schemas.microsoft.com/office/2006/metadata/properties" xmlns:ns1="http://schemas.microsoft.com/sharepoint/v3" xmlns:ns2="f5aad5d0-9c26-490e-8743-a6c7ceabd501" xmlns:ns3="19cf09c5-daa1-4028-a0ff-74a0be4ec5cc" targetNamespace="http://schemas.microsoft.com/office/2006/metadata/properties" ma:root="true" ma:fieldsID="2235169338eb9481474ac7e873b35491"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Vertinimas (0–5)" ma:decimals="2" ma:description="Visų pateiktų vertinimų vidutinė reikšmė" ma:internalName="AverageRating" ma:readOnly="true">
      <xsd:simpleType>
        <xsd:restriction base="dms:Number"/>
      </xsd:simpleType>
    </xsd:element>
    <xsd:element name="RatingCount" ma:index="17" nillable="true" ma:displayName="Vertinimų skaičius" ma:decimals="0" ma:description="Pateiktų vertinimų skaičius" ma:internalName="RatingCount" ma:readOnly="true">
      <xsd:simpleType>
        <xsd:restriction base="dms:Number"/>
      </xsd:simpleType>
    </xsd:element>
    <xsd:element name="RatedBy" ma:index="18" nillable="true" ma:displayName="Vertintojas" ma:description="Vartotojai įvertino elementą."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Vartotojų vertinimai" ma:description="Elemento vartotojų vertinimai" ma:hidden="true" ma:internalName="Ratings">
      <xsd:simpleType>
        <xsd:restriction base="dms:Note"/>
      </xsd:simpleType>
    </xsd:element>
    <xsd:element name="LikesCount" ma:index="20" nillable="true" ma:displayName="Skaičius, kiek kartų vartotojai pažymėjo, kad jiems patiko elementas" ma:internalName="LikesCount">
      <xsd:simpleType>
        <xsd:restriction base="dms:Unknown"/>
      </xsd:simpleType>
    </xsd:element>
    <xsd:element name="LikedBy" ma:index="21" nillable="true" ma:displayName="Patiko"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agrindine" DocPartId="fc2c03fa614a42f883ff00a65d16b9f0" PartId="8f95e0f114704cb2887724e5ba7b0361">
    <Part Type="preambule" DocPartId="f88476be0f9b47c5bd3d96071be99b03" PartId="48140f562f33445cbafd7616857d11fc"/>
    <Part Type="punktas" Nr="1" Abbr="1 p." DocPartId="c9973172baef41c59763b7e02f6be8e9" PartId="2cde16159d834c43ac12477698495ee7">
      <Part Type="citata" DocPartId="f3588ca1bf944633aef8b3375a1ded2d" PartId="3a266f7db44642fcabd790575b00fd38">
        <Part Type="pastraipa" DocPartId="1b6def7761304ba382ec279b01c1cf4a" PartId="2711e279613f45ad89dc35858e902038"/>
      </Part>
    </Part>
    <Part Type="punktas" Nr="2" Abbr="2 p." DocPartId="c228961a652d47d78b7c9306de1b7799" PartId="fbfb194b2e9e487ba01d5af8803b3d8c"/>
    <Part Type="punktas" Nr="3" Abbr="3 p." DocPartId="927a9f58299f4d4aa196bdd910627a0b" PartId="70725673b5c04c239a46c2c9e6d80700"/>
    <Part Type="signatura" DocPartId="48650ceb026b42b3bc836e2e0f28c78f" PartId="371c45d084e047afbae16c4a2e3d2c2f"/>
  </Part>
  <Part Type="patvirtinta" Title="ATLIEKŲ DEGINIMO ĮRENGINIUOSE IR BENDRO ATLIEKŲ DEGINIMO ĮRENGINIUOSE SUSIDARIUSIŲ PELENŲ IR ŠLAKO TVARKYMO REIKALAVIMAI" DocPartId="882ad81471934f5493eedf456540ad1d" PartId="03b65a8265f941819017d62da2cf709b">
    <Part Type="skyrius" Nr="1" Title="BENDROSIOS NUOSTATOS" DocPartId="720dc406b0884066ab214e03ea8a4035" PartId="a19c1ff290d947da9f78834f1381eddc">
      <Part Type="punktas" Nr="1" Abbr="1 p." DocPartId="732a5fb90a4e4f878f3fdf7fcf3329cf" PartId="ac54089a70774369b1cdc9c0074e17d5"/>
      <Part Type="punktas" Nr="2" Abbr="2 p." DocPartId="6767ddc1fe8540329cb8e9176d20e79e" PartId="e3cd66be35384a3b9d898aec1ac0fba0"/>
      <Part Type="punktas" Nr="3" Abbr="3 p." DocPartId="f1366a894dff4d27ac11c4660cc7a924" PartId="c713561b2aee4a21a2dd9f927e165a13"/>
      <Part Type="punktas" Nr="4" Abbr="4 p." DocPartId="261fdb0a510647658032febebd65fb5e" PartId="4ade9ea0a8d44d6897bde63eb800751d">
        <Part Type="papunktis" Nr="4.1" Abbr="4.1 pp." DocPartId="f05b45477e9a4b3391722a63709b8f64" PartId="d7568320f63349469e6b12b5f77a66c9"/>
        <Part Type="papunktis" Nr="4.2" Abbr="4.2 pp." DocPartId="58c68bcff82a471ea04a10e66603a347" PartId="344974f8d69d442daf989355dbb24306"/>
        <Part Type="papunktis" Nr="4.3" Abbr="4.3 pp." DocPartId="8ddd4834ca2349e28fdbe0e3781fa88d" PartId="2c79cb2b739440a198946ceeb824a461"/>
        <Part Type="papunktis" Nr="4.4" Abbr="4.4 pp." DocPartId="0e4f4c67af804a90b20c9180e9a5918a" PartId="e26b2a0acadf4fc0910ceb5bf8b48a12"/>
      </Part>
      <Part Type="punktas" Nr="5" Abbr="5 p." DocPartId="0a33dfadcb1048cf808a0e7aee4a0e1d" PartId="0ec1094bb04a4d6684c965e021a309e5"/>
    </Part>
    <Part Type="skyrius" Nr="2" Title="BENDRIEJI REIKALAVIMAI PELENŲ IR ŠLAKO TVARKYMUI" DocPartId="0c85e341450c421fa5b9b3d78f235d29" PartId="3c7ac2fdff8a471b8dfbf97e36d7ee9d">
      <Part Type="punktas" Nr="6" Abbr="6 p." DocPartId="3737bf3bcf334a8da5db4fdcef25b926" PartId="0da1ca08191845dc84134d65d5339110"/>
      <Part Type="punktas" Nr="7" Abbr="7 p." DocPartId="369b9d03289a4518a1c3315e75fd84e8" PartId="0d3c7cba11d44198977b2af5f13d6c2a"/>
      <Part Type="punktas" Nr="8" Abbr="8 p." DocPartId="e38af84c9df842f19a8d97a41b59c8ab" PartId="81e3daeaedb9407a9f285ed56e613ed6"/>
      <Part Type="punktas" Nr="9" Abbr="9 p." DocPartId="d7aa91ae5dcc47e28a70c80a3da73d8e" PartId="709e1756d1784951b68899ccc3edc464"/>
      <Part Type="punktas" Nr="10" Abbr="10 p." DocPartId="f6aea22266af4f1d94d5bf3778f84219" PartId="953f5d04072b4b2dafea5c4771941181"/>
      <Part Type="punktas" Nr="11" Abbr="11 p." DocPartId="967a860eba2c4dfea330834f6829ea72" PartId="ce6ee63820b2452c8cbde2a9f356ce17"/>
      <Part Type="punktas" Nr="12" Abbr="12 p." DocPartId="eb0b110eaa1f411684cf405e0a0ddf6e" PartId="48424e9af3d24ad2b94dd9129f983613"/>
      <Part Type="punktas" Nr="13" Abbr="13 p." DocPartId="98cd65d14a9b470d816b51df47f84705" PartId="4df79c8ff6b1472aa2085132551ba2dd"/>
    </Part>
    <Part Type="skyrius" Nr="3" Title="PELENŲ IR ŠLAKO TYRIMO REIKALAVIMAI" DocPartId="b4a37d8cb2e44f04a7be7509d733de79" PartId="43b8fd3d6ede4d6b8bfb1ac95e0c6dc5">
      <Part Type="punktas" Nr="14" Abbr="14 p." DocPartId="44babbb664a64ee083b6795f62a4f703" PartId="a2f0998375b94c97bf45a8d97f1f0d7e"/>
      <Part Type="punktas" Nr="15" Abbr="15 p." DocPartId="6a1d878da9ed4bfba77d3502e0e5811f" PartId="e7fb942f55c54517a8ab6a0c58818ad5"/>
      <Part Type="punktas" Nr="16" Abbr="16 p." DocPartId="1ab828aab8a44a3dbcfc6795b00503dd" PartId="44a26a4d192644a1b64c832c534d6127"/>
      <Part Type="punktas" Nr="17" Abbr="17 p." DocPartId="a6de14ab02b8429c875256413d4381b4" PartId="0e5d7e9c43ba401a9d46966fb190b030"/>
      <Part Type="punktas" Nr="18" Abbr="18 p." DocPartId="5a19449c52f24876bec022d33d2723cc" PartId="4add244c9df74cad89c3ec369578ba1c"/>
    </Part>
    <Part Type="skyrius" Nr="4" Title="PELENŲ IR ŠLAKO NELAIKYMO ATLIEKOMIS SĄLYGOS" DocPartId="283755b5795348a589d406e5eae5114e" PartId="afe8e4e64bc34f698a8f68dc30fa31dd">
      <Part Type="punktas" Nr="19" Abbr="19 p." DocPartId="dfd4f7628cbf4fae9866dd6bc277f73c" PartId="a0ea0aef5bb6435d91de707dcd714c72">
        <Part Type="papunktis" Nr="19.1" Abbr="19.1 pp." DocPartId="0973ed0da2744f8db90108337e56f1f8" PartId="3f26f658320c4137999182c49413bf68"/>
        <Part Type="papunktis" Nr="19.2" Abbr="19.2 pp." DocPartId="d461de96041c4546afe68034d19c00b9" PartId="a1e1eaf6f2844326afc0614eab333660"/>
        <Part Type="papunktis" Nr="19.3" Abbr="19.3 pp." DocPartId="f2e1ef3d9a624c41814af94d4de8e1c8" PartId="9ffc4d38220640258c7885b748c6b5cb"/>
        <Part Type="papunktis" Nr="19.4" Abbr="19.4 pp." DocPartId="d6fe9b530d69402c9886c9331c191de3" PartId="ce56996c5fc34583ba39bad93e88fe8e"/>
        <Part Type="papunktis" Nr="19.5" Abbr="19.5 pp." DocPartId="e12335b3085248419c3e07f8e8a73aab" PartId="ba23c92aaa5c48df9cf30a6313230f0a"/>
        <Part Type="papunktis" Nr="19.6" Abbr="19.6 pp." DocPartId="b712ff1be3074d4eb358802e92400de6" PartId="1168747c0d8a4e0692c8b02ee0137f83"/>
        <Part Type="papunktis" Nr="19.7" Abbr="19.7 pp." DocPartId="725b68f5a2014e5891590fd233653e8b" PartId="2c3cb0413eec416f9b6e1601cf4c92df"/>
      </Part>
      <Part Type="punktas" Nr="20" Abbr="20 p." DocPartId="7926be1417ce4de9952ab119f5a9f474" PartId="6ff02be623434f7798fd57ea035e6b67"/>
      <Part Type="punktas" Nr="21" Abbr="21 p." DocPartId="12a278a331494a9e9e3464c3a6297bae" PartId="345b47f93ed74d1c885fb83d60c0f446"/>
      <Part Type="punktas" Nr="22" Abbr="22 p." DocPartId="53c74e057da341a6b06cd51ceec90e20" PartId="8f670279debb48dcbaf585b549d621f6"/>
      <Part Type="punktas" Nr="23" Abbr="23 p." DocPartId="f2f8017600b8469a9761d058647e3a8b" PartId="2242ef5005cb47248a17c9d04e8a69b7"/>
    </Part>
    <Part Type="skyrius" Nr="5" Title="CHEMINĖS MEDŽIAGOS ATITIKTIES ATLIEKŲ NELAIKYMO KRITERIJAMS DEKLARACIJA" DocPartId="571d68bcd20341cc8d47e5145c0155f4" PartId="487c06e95c8142d3846a40f2ffcf9d2e">
      <Part Type="punktas" Nr="24" Abbr="24 p." DocPartId="7133c1acb0cd4659960335f21a36f84f" PartId="677b9418e0ad4532a763bb2804563f39">
        <Part Type="papunktis" Nr="24.1" Abbr="24.1 pp." DocPartId="58cabd579a1a4de3900dceee29dd7366" PartId="9696af0d81b1440e83eb16c63027ea58"/>
        <Part Type="papunktis" Nr="24.2" Abbr="24.2 pp." DocPartId="36d06357726e4dcc8c5954e7506dc97b" PartId="92964b851f77425ab26f4750c7a8cb27"/>
        <Part Type="papunktis" Nr="24.3" Abbr="24.3 pp." DocPartId="dff5cbc7f89849f0ac8b8ee8ed7af24f" PartId="f2219add10964866bc35a1f1e5fca55f"/>
      </Part>
      <Part Type="punktas" Nr="25" Abbr="25 p." DocPartId="c70cc1f7339048289825f104f5e8b378" PartId="a3ae8088debd40ddae49ed6088197911"/>
      <Part Type="punktas" Nr="26" Abbr="26 p." DocPartId="95d2a28374a643a49ce0b4f480f61ed4" PartId="b8f0ba0904d14ef9984814c64791dbdb"/>
    </Part>
    <Part Type="skyrius" Nr="6" Title="KOKYBĖS VALDYMO SISTEMA" DocPartId="bb47ae92d0834f789d84909d7d4f177f" PartId="3c87f62468be4bd1be85180c2f60f37d">
      <Part Type="punktas" Nr="27" Abbr="27 p." DocPartId="6c78a64187614ca6b00f37f1f3103f34" PartId="30a2578b6b754cd4b0c03273fdd5db3d"/>
      <Part Type="punktas" Nr="29" Abbr="29 p." Notes="Numeris ne iš eilės. Trūksta dalių? [DocDalys]" DocPartId="aec4bf2018444bfd89be3f3fd2feed39" PartId="85a570199a3046a6b5f8fd2b5711dae4">
        <Part Type="papunktis" Nr="29.1" Abbr="29.1 pp." DocPartId="50e1aa5d45b0410b8f08ee00f12d53d8" PartId="f8c6f817dc774f9ba2e48d0a607dfb1c"/>
        <Part Type="papunktis" Nr="29.2" Abbr="29.2 pp." DocPartId="d4c82e1d5e134a0a89f5aa6b546067bb" PartId="9cf28d31155443b8b9298bc86da18d3d"/>
        <Part Type="papunktis" Nr="29.3" Abbr="29.3 pp." DocPartId="276a30c0af70477198471e854618d7bf" PartId="fef3b973b7044aeb9d48049fbf1fd100"/>
        <Part Type="papunktis" Nr="29.4" Abbr="29.4 pp." DocPartId="48786907d15f4257a1d1c3cc72bf11d3" PartId="c8faa17106b043f4a5db0922be5d1f31"/>
        <Part Type="papunktis" Nr="29.5" Abbr="29.5 pp." DocPartId="47025f2843cd4db58a99879fe326ade1" PartId="62db0c74690349c190324b5fdd5f4816"/>
        <Part Type="papunktis" Nr="29.6" Abbr="29.6 pp." DocPartId="8e4f120d64f34ab8bfc35dea69dfb46c" PartId="d5736fdb2e5c492dbf8a568b011e7652"/>
        <Part Type="papunktis" Nr="29.7" Abbr="29.7 pp." DocPartId="5bb09880e02f431794893b41dbfd47eb" PartId="3c2d66149b964772a943971c8b313b96"/>
      </Part>
      <Part Type="punktas" Nr="30" Abbr="30 p." DocPartId="1f7a38a39e11453998bff51cd8aa7045" PartId="d08528d7ce794dc88baeb4cdd8d1e981"/>
    </Part>
  </Part>
  <Part Type="priedas" Nr="1" Abbr="1 pr." Title="PELENŲ IR ŠLAKO APDOROJIMO ŽURNALAS 20__ m." DocPartId="e8dd7566ebc240a0aff9df8ece822503" PartId="ce93810251ee4524982eab10cc559cc0"/>
  <Part Type="priedas" Nr="2" Abbr="2 pr." Title="PELENŲ IR ŠLAKO LABORATORINIO ĖMINIO LYDRAŠTIS" DocPartId="0fe90a55ed69458c9d487420f6d569c1" PartId="0ad85a444a9f4e3191ac00c68f9935ec"/>
  <Part Type="priedas" Nr="3" Abbr="3 pr." Title="PELENŲ IR ŠLAKO TYRIMO ŽURNALAS 20__ m." DocPartId="9e32f950dc5f4c6e8800cdd9b9f7bf9b" PartId="26c438fce7be4144bf010374cb9d95d3"/>
  <Part Type="priedas" Nr="4" Abbr="4 pr." Title="PELENŲ IR ŠLAKO ELIUATŲ PARAMETRŲ NUSTATYMO METODAI" DocPartId="e25ba8ed68e64174bfbbbc920fd4f800" PartId="8f555d78aee04b9b83e60731ce54cb69"/>
  <Part Type="priedas" Nr="5" Abbr="5 pr." Title="IŠPLOVIMO RIBINĖS VERTĖS, KAI PELENAI IR ŠLAKAS GALI BŪTI PANAUDOTI STATINIŲ STATYBOJE" DocPartId="d86d079043e643769f77c4ee37a37d52" PartId="71dd061f6397425ea256d48a62ecf0af"/>
  <Part Type="priedas" Nr="6" Abbr="6 pr." Title="ATITIKTIES DEKLARACIJA DĖL CHEMINĖS MEDŽIAGOS ATITIKTIES ATLIEKŲ NELAIKYMO ATLIEKOMIS KRITERIJAMS" DocPartId="19cfdcd670384b16b54f9bec8ff4bf05" PartId="0871ae35c9d848e8a197bdda35110d22"/>
</Parts>
</file>

<file path=customXml/itemProps1.xml><?xml version="1.0" encoding="utf-8"?>
<ds:datastoreItem xmlns:ds="http://schemas.openxmlformats.org/officeDocument/2006/customXml" ds:itemID="{CF0369F1-35C1-4780-98DE-F5026827C6D3}">
  <ds:schemaRefs>
    <ds:schemaRef ds:uri="http://schemas.microsoft.com/sharepoint/v3/contenttype/forms"/>
  </ds:schemaRefs>
</ds:datastoreItem>
</file>

<file path=customXml/itemProps2.xml><?xml version="1.0" encoding="utf-8"?>
<ds:datastoreItem xmlns:ds="http://schemas.openxmlformats.org/officeDocument/2006/customXml" ds:itemID="{81F54CB9-F805-4CCC-94E3-BDCB1288B1D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B13C37E-4F5E-41B6-9803-9D021EE46DC5}">
  <ds:schemaRefs>
    <ds:schemaRef ds:uri="http://purl.org/dc/terms/"/>
    <ds:schemaRef ds:uri="http://schemas.microsoft.com/office/2006/documentManagement/types"/>
    <ds:schemaRef ds:uri="http://schemas.microsoft.com/office/2006/metadata/properties"/>
    <ds:schemaRef ds:uri="f5aad5d0-9c26-490e-8743-a6c7ceabd501"/>
    <ds:schemaRef ds:uri="http://purl.org/dc/elements/1.1/"/>
    <ds:schemaRef ds:uri="19cf09c5-daa1-4028-a0ff-74a0be4ec5cc"/>
    <ds:schemaRef ds:uri="http://schemas.openxmlformats.org/package/2006/metadata/core-properties"/>
    <ds:schemaRef ds:uri="http://www.w3.org/XML/1998/namespace"/>
    <ds:schemaRef ds:uri="http://schemas.microsoft.com/office/infopath/2007/PartnerControls"/>
    <ds:schemaRef ds:uri="http://schemas.microsoft.com/sharepoint/v3"/>
    <ds:schemaRef ds:uri="http://purl.org/dc/dcmitype/"/>
  </ds:schemaRefs>
</ds:datastoreItem>
</file>

<file path=customXml/itemProps4.xml><?xml version="1.0" encoding="utf-8"?>
<ds:datastoreItem xmlns:ds="http://schemas.openxmlformats.org/officeDocument/2006/customXml" ds:itemID="{DCF3F4B1-70FF-48CB-96AD-BBDE6EC67307}">
  <ds:schemaRefs>
    <ds:schemaRef ds:uri="http://schemas.openxmlformats.org/officeDocument/2006/bibliography"/>
  </ds:schemaRefs>
</ds:datastoreItem>
</file>

<file path=customXml/itemProps5.xml><?xml version="1.0" encoding="utf-8"?>
<ds:datastoreItem xmlns:ds="http://schemas.openxmlformats.org/officeDocument/2006/customXml" ds:itemID="{C0064FE0-A6AB-4D99-9993-B6F87EDF5A9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3146</Words>
  <Characters>21020</Characters>
  <Application>Microsoft Office Word</Application>
  <DocSecurity>4</DocSecurity>
  <Lines>808</Lines>
  <Paragraphs>455</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LinksUpToDate>false</LinksUpToDate>
  <CharactersWithSpaces>23711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2021-02-03T06:19:00Z</dcterms:created>
  <dcterms:modified xsi:type="dcterms:W3CDTF">2021-02-03T06:19:00Z</dcterms:modified>
  <revision>1</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ies>
</file>