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8ed798780a340b1952de56939877bf6"/>
        <w:lock w:val="sdtLocked"/>
        <w:richText/>
      </w:sdtPr>
      <w:sdtContent>
        <w:p>
          <w:pPr>
            <w:keepNext/>
            <w:ind w:left="6480" w:firstLine="1296"/>
            <w:outlineLvl w:val="2"/>
            <w:rPr>
              <w:b/>
              <w:bCs/>
              <w:szCs w:val="24"/>
            </w:rPr>
          </w:pPr>
          <w:r>
            <w:rPr>
              <w:b/>
              <w:bCs/>
              <w:szCs w:val="24"/>
            </w:rPr>
            <w:t>Projektas</w:t>
          </w:r>
        </w:p>
        <w:p>
          <w:pPr>
            <w:ind w:left="6480" w:firstLine="1296"/>
            <w:rPr>
              <w:kern w:val="2"/>
              <w:szCs w:val="24"/>
            </w:rPr>
          </w:pPr>
          <w:r>
            <w:rPr>
              <w:kern w:val="2"/>
              <w:szCs w:val="24"/>
            </w:rPr>
            <w:t>Nr. TSP-</w:t>
          </w:r>
        </w:p>
        <w:p>
          <w:pPr>
            <w:rPr>
              <w:sz w:val="20"/>
            </w:rPr>
          </w:pPr>
        </w:p>
        <w:p>
          <w:pPr>
            <w:keepNext/>
            <w:jc w:val="center"/>
            <w:outlineLvl w:val="2"/>
            <w:rPr>
              <w:b/>
              <w:bCs/>
              <w:szCs w:val="24"/>
            </w:rPr>
          </w:pPr>
          <w:r>
            <w:rPr>
              <w:b/>
              <w:bCs/>
              <w:szCs w:val="24"/>
            </w:rPr>
            <w:t>RADVILIŠKIO RAJONO SAVIVALDYBĖS TARYBA</w:t>
          </w:r>
        </w:p>
        <w:p>
          <w:pPr>
            <w:rPr>
              <w:sz w:val="6"/>
              <w:szCs w:val="6"/>
            </w:rPr>
          </w:pPr>
        </w:p>
        <w:p>
          <w:pPr>
            <w:spacing w:line="259" w:lineRule="auto"/>
            <w:rPr>
              <w:kern w:val="2"/>
              <w:szCs w:val="24"/>
            </w:rPr>
          </w:pPr>
        </w:p>
        <w:p>
          <w:pPr>
            <w:rPr>
              <w:sz w:val="14"/>
              <w:szCs w:val="14"/>
            </w:rPr>
          </w:pPr>
        </w:p>
        <w:p>
          <w:pPr>
            <w:keepNext/>
            <w:jc w:val="center"/>
            <w:rPr>
              <w:b/>
              <w:szCs w:val="24"/>
            </w:rPr>
          </w:pPr>
          <w:r>
            <w:rPr>
              <w:b/>
              <w:szCs w:val="24"/>
            </w:rPr>
            <w:t>SPRENDIMAS</w:t>
          </w:r>
        </w:p>
        <w:p>
          <w:pPr>
            <w:keepNext/>
            <w:jc w:val="center"/>
            <w:rPr>
              <w:b/>
              <w:bCs/>
              <w:color w:val="000000"/>
              <w:szCs w:val="24"/>
            </w:rPr>
          </w:pPr>
          <w:r>
            <w:rPr>
              <w:b/>
              <w:szCs w:val="24"/>
            </w:rPr>
            <w:t xml:space="preserve">DĖL </w:t>
          </w:r>
          <w:r>
            <w:rPr>
              <w:b/>
              <w:bCs/>
              <w:color w:val="000000"/>
              <w:szCs w:val="24"/>
            </w:rPr>
            <w:t>RADVILIŠKIO RAJONO SAVIVALDYBĖS TERITORIJOS BENDROJO PLANO DALIES KOREGAVIMO PATVIRTINIMO</w:t>
          </w:r>
        </w:p>
        <w:p/>
        <w:p>
          <w:pPr>
            <w:spacing w:after="160"/>
            <w:jc w:val="center"/>
            <w:outlineLvl w:val="4"/>
            <w:rPr>
              <w:bCs/>
              <w:iCs/>
              <w:kern w:val="2"/>
              <w:sz w:val="22"/>
              <w:szCs w:val="24"/>
              <w:lang w:eastAsia="lt-LT"/>
            </w:rPr>
          </w:pPr>
          <w:r>
            <w:rPr>
              <w:bCs/>
              <w:iCs/>
              <w:szCs w:val="24"/>
              <w:lang w:eastAsia="lt-LT"/>
            </w:rPr>
            <w:t xml:space="preserve">2025 m.                   d. Nr. T-</w:t>
          </w:r>
        </w:p>
        <w:p>
          <w:pPr>
            <w:spacing w:line="259" w:lineRule="auto"/>
            <w:jc w:val="center"/>
            <w:rPr>
              <w:kern w:val="2"/>
              <w:szCs w:val="24"/>
            </w:rPr>
          </w:pPr>
          <w:r>
            <w:rPr>
              <w:kern w:val="2"/>
              <w:szCs w:val="24"/>
            </w:rPr>
            <w:t>Radviliškis</w:t>
          </w:r>
        </w:p>
        <w:p>
          <w:pPr>
            <w:spacing w:line="259" w:lineRule="auto"/>
            <w:rPr>
              <w:color w:val="000000"/>
              <w:kern w:val="2"/>
              <w:szCs w:val="24"/>
            </w:rPr>
          </w:pPr>
        </w:p>
        <w:sdt>
          <w:sdtPr>
            <w:alias w:val="preambule"/>
            <w:tag w:val="part_0123371e48ad4b80a731ccce9213e7b8"/>
            <w:lock w:val="sdtLocked"/>
            <w:richText/>
          </w:sdtPr>
          <w:sdtContent>
            <w:p>
              <w:pPr>
                <w:spacing w:line="360" w:lineRule="auto"/>
                <w:ind w:firstLine="720"/>
                <w:jc w:val="both"/>
                <w:rPr>
                  <w:szCs w:val="24"/>
                  <w:lang w:eastAsia="lt-LT"/>
                </w:rPr>
              </w:pPr>
              <w:r>
                <w:rPr>
                  <w:szCs w:val="24"/>
                  <w:lang w:eastAsia="lt-LT"/>
                </w:rPr>
                <w:t xml:space="preserve">Vadovaudamasi Lietuvos Respublikos vietos savivaldos įstatymo 15 straipsnio 2 dalies 24 punktu, Lietuvos Respublikos teritorijų planavimo įstatymo 27 straipsnio 1 ir 6 dalimis, 28 straipsnio 3 dalimi, Kompleksinio teritorijų planavimo dokumentų rengimo taisyklių, patvirtintų Lietuvos Respublikos aplinkos ministro 2014 m. sausio 2 d. įsakymu Nr. D1-8 „Dėl Kompleksinio teritorijų planavimo dokumentų rengimo taisyklių patvirtinimo“, 132 punktu, Valstybinės teritorijų planavimo ir statybos inspekcijos prie Aplinkos ministerijos 2025 m. rugpjūčio 11 d. Teritorijų planavimo dokumento patikrinimo akto Nr. REG39890972 teigiama išvada, Radviliškio rajono savivaldybės taryba </w:t>
              </w:r>
              <w:r>
                <w:rPr>
                  <w:spacing w:val="50"/>
                  <w:szCs w:val="24"/>
                  <w:lang w:eastAsia="lt-LT"/>
                </w:rPr>
                <w:t>nusprendži</w:t>
              </w:r>
              <w:r>
                <w:rPr>
                  <w:szCs w:val="24"/>
                  <w:lang w:eastAsia="lt-LT"/>
                </w:rPr>
                <w:t>a:</w:t>
              </w:r>
            </w:p>
          </w:sdtContent>
        </w:sdt>
        <w:sdt>
          <w:sdtPr>
            <w:alias w:val="1 p."/>
            <w:tag w:val="part_bfbd1692ad6c44979a92470b3bce8458"/>
            <w:lock w:val="sdtLocked"/>
            <w:richText/>
          </w:sdtPr>
          <w:sdtContent>
            <w:p>
              <w:pPr>
                <w:spacing w:line="360" w:lineRule="auto"/>
                <w:ind w:firstLine="851"/>
                <w:jc w:val="both"/>
                <w:rPr>
                  <w:color w:val="000000"/>
                  <w:kern w:val="2"/>
                  <w:szCs w:val="24"/>
                  <w:lang w:eastAsia="lt-LT"/>
                </w:rPr>
              </w:pPr>
              <w:sdt>
                <w:sdtPr>
                  <w:alias w:val="Numeris"/>
                  <w:tag w:val="nr_bfbd1692ad6c44979a92470b3bce8458"/>
                  <w:lock w:val="sdtLocked"/>
                  <w:richText/>
                </w:sdtPr>
                <w:sdtContent>
                  <w:r>
                    <w:rPr>
                      <w:szCs w:val="24"/>
                      <w:lang w:eastAsia="lt-LT"/>
                    </w:rPr>
                    <w:t>1</w:t>
                  </w:r>
                </w:sdtContent>
              </w:sdt>
              <w:r>
                <w:rPr>
                  <w:szCs w:val="24"/>
                  <w:lang w:eastAsia="lt-LT"/>
                </w:rPr>
                <w:t>.</w:t>
                <w:tab/>
              </w:r>
              <w:r>
                <w:rPr>
                  <w:kern w:val="2"/>
                  <w:szCs w:val="24"/>
                  <w:lang w:eastAsia="lt-LT"/>
                </w:rPr>
                <w:t xml:space="preserve">Patvirtinti Radviliškio rajono savivaldybės teritorijos bendrojo plano, patvirtinto Radviliškio rajono savivaldybės tarybos 2023 m. birželio 1 d. sprendimu Nr. T-18 „Dėl Radviliškio rajono savivaldybės  teritorijos bendrojo plano keitimo patvirtinimo“ numatytose </w:t>
              </w:r>
              <w:r>
                <w:rPr>
                  <w:kern w:val="2"/>
                  <w:szCs w:val="24"/>
                </w:rPr>
                <w:t xml:space="preserve">Radviliškio, Šeduvos miestų teritorijose ir Baisogalos miestelio teritorijose, </w:t>
              </w:r>
              <w:r>
                <w:rPr>
                  <w:kern w:val="2"/>
                  <w:szCs w:val="24"/>
                  <w:lang w:eastAsia="lt-LT"/>
                </w:rPr>
                <w:t>koregavimą (visa apimtimi tvirtinamas teritorijų planavimo dokumentas skelbiamas Teritorijų planavimo dokumentų rengimo informacinėje sistemoje (TPDRIS) teritorijų planavimo dokumento Nr. K-RJ-71-25-100).</w:t>
              </w:r>
            </w:p>
            <w:p>
              <w:pPr>
                <w:rPr>
                  <w:sz w:val="14"/>
                  <w:szCs w:val="14"/>
                </w:rPr>
              </w:pPr>
            </w:p>
          </w:sdtContent>
        </w:sdt>
        <w:sdt>
          <w:sdtPr>
            <w:alias w:val="2 p."/>
            <w:tag w:val="part_dbd059d244ca49a7bb111766788cea18"/>
            <w:lock w:val="sdtLocked"/>
            <w:richText/>
          </w:sdtPr>
          <w:sdtContent>
            <w:p>
              <w:pPr>
                <w:spacing w:line="360" w:lineRule="auto"/>
                <w:ind w:firstLine="851"/>
                <w:jc w:val="both"/>
                <w:rPr>
                  <w:color w:val="000000"/>
                  <w:kern w:val="2"/>
                  <w:szCs w:val="24"/>
                  <w:lang w:eastAsia="lt-LT"/>
                </w:rPr>
              </w:pPr>
              <w:sdt>
                <w:sdtPr>
                  <w:alias w:val="Numeris"/>
                  <w:tag w:val="nr_dbd059d244ca49a7bb111766788cea18"/>
                  <w:lock w:val="sdtLocked"/>
                  <w:richText/>
                </w:sdtPr>
                <w:sdtContent>
                  <w:r>
                    <w:rPr>
                      <w:szCs w:val="24"/>
                      <w:lang w:eastAsia="lt-LT"/>
                    </w:rPr>
                    <w:t>2</w:t>
                  </w:r>
                </w:sdtContent>
              </w:sdt>
              <w:r>
                <w:rPr>
                  <w:szCs w:val="24"/>
                  <w:lang w:eastAsia="lt-LT"/>
                </w:rPr>
                <w:t>.</w:t>
                <w:tab/>
              </w:r>
              <w:r>
                <w:rPr>
                  <w:kern w:val="2"/>
                  <w:szCs w:val="24"/>
                  <w:lang w:eastAsia="lt-LT"/>
                </w:rPr>
                <w:t xml:space="preserve">Pripažinti Radviliškio rajono savivaldybės teritorijos bendrojo plano, patvirtinto Radviliškio rajono savivaldybės tarybos 2023 m. birželio 1 d. sprendimu Nr. T-18 „Dėl Radviliškio rajono savivaldybės teritorijos bendrojo plano keitimo patvirtinimo“, koregavimą, numatytose </w:t>
              </w:r>
              <w:r>
                <w:rPr>
                  <w:kern w:val="2"/>
                  <w:szCs w:val="24"/>
                </w:rPr>
                <w:t>Radviliškio, Šeduvos miestų teritorijose ir Baisogalos miestelio teritorijose,</w:t>
              </w:r>
              <w:r>
                <w:rPr>
                  <w:kern w:val="2"/>
                  <w:szCs w:val="24"/>
                  <w:lang w:eastAsia="lt-LT"/>
                </w:rPr>
                <w:t xml:space="preserve"> sudedamąja Radviliškio rajono savivaldybės teritorijos bendrojo plano dalimi.</w:t>
              </w:r>
            </w:p>
            <w:p>
              <w:pPr>
                <w:rPr>
                  <w:sz w:val="14"/>
                  <w:szCs w:val="14"/>
                </w:rPr>
              </w:pPr>
            </w:p>
          </w:sdtContent>
        </w:sdt>
        <w:sdt>
          <w:sdtPr>
            <w:alias w:val="3 p."/>
            <w:tag w:val="part_ea891bde6cde4a0cad02dd6424fb248b"/>
            <w:lock w:val="sdtLocked"/>
            <w:richText/>
          </w:sdtPr>
          <w:sdtContent>
            <w:p>
              <w:pPr>
                <w:spacing w:line="360" w:lineRule="auto"/>
                <w:ind w:firstLine="851"/>
                <w:jc w:val="both"/>
                <w:rPr>
                  <w:color w:val="000000"/>
                  <w:kern w:val="2"/>
                  <w:szCs w:val="24"/>
                  <w:lang w:eastAsia="lt-LT"/>
                </w:rPr>
              </w:pPr>
              <w:sdt>
                <w:sdtPr>
                  <w:alias w:val="Numeris"/>
                  <w:tag w:val="nr_ea891bde6cde4a0cad02dd6424fb248b"/>
                  <w:lock w:val="sdtLocked"/>
                  <w:richText/>
                </w:sdtPr>
                <w:sdtContent>
                  <w:r>
                    <w:rPr>
                      <w:szCs w:val="24"/>
                      <w:lang w:eastAsia="lt-LT"/>
                    </w:rPr>
                    <w:t>3</w:t>
                  </w:r>
                </w:sdtContent>
              </w:sdt>
              <w:r>
                <w:rPr>
                  <w:szCs w:val="24"/>
                  <w:lang w:eastAsia="lt-LT"/>
                </w:rPr>
                <w:t>.</w:t>
                <w:tab/>
              </w:r>
              <w:r>
                <w:rPr>
                  <w:rFonts w:ascii="TimesNewRomanPSMT" w:hAnsi="TimesNewRomanPSMT" w:cs="TimesNewRomanPSMT"/>
                  <w:color w:val="262121"/>
                  <w:kern w:val="2"/>
                  <w:szCs w:val="24"/>
                </w:rPr>
                <w:t xml:space="preserve">Nurodyti, kad šis </w:t>
              </w:r>
              <w:r>
                <w:rPr>
                  <w:rFonts w:ascii="TimesNewRomanPSMT" w:hAnsi="TimesNewRomanPSMT" w:cs="TimesNewRomanPSMT"/>
                  <w:color w:val="000000"/>
                  <w:kern w:val="2"/>
                  <w:szCs w:val="24"/>
                </w:rPr>
                <w:t>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rPr>
                  <w:sz w:val="14"/>
                  <w:szCs w:val="14"/>
                </w:rPr>
              </w:pPr>
            </w:p>
            <w:p>
              <w:pPr>
                <w:jc w:val="both"/>
                <w:rPr>
                  <w:color w:val="000000"/>
                  <w:szCs w:val="24"/>
                  <w:lang w:eastAsia="lt-LT"/>
                </w:rPr>
              </w:pPr>
            </w:p>
            <w:p>
              <w:pPr>
                <w:jc w:val="both"/>
                <w:rPr>
                  <w:color w:val="000000"/>
                  <w:szCs w:val="24"/>
                  <w:lang w:eastAsia="lt-LT"/>
                </w:rPr>
              </w:pPr>
            </w:p>
            <w:p>
              <w:pPr>
                <w:jc w:val="both"/>
                <w:rPr>
                  <w:color w:val="000000"/>
                  <w:szCs w:val="24"/>
                  <w:lang w:eastAsia="lt-LT"/>
                </w:rPr>
              </w:pPr>
            </w:p>
            <w:p>
              <w:pPr>
                <w:jc w:val="both"/>
                <w:rPr>
                  <w:color w:val="000000"/>
                  <w:szCs w:val="24"/>
                  <w:lang w:eastAsia="lt-LT"/>
                </w:rPr>
              </w:pPr>
              <w:r>
                <w:rPr>
                  <w:rFonts w:ascii="TimesNewRomanPSMT" w:hAnsi="TimesNewRomanPSMT" w:cs="TimesNewRomanPSMT"/>
                  <w:szCs w:val="24"/>
                </w:rPr>
                <w:t xml:space="preserve">Savivaldybės meras                                                                                       </w:t>
              </w:r>
            </w:p>
          </w:sdtContent>
        </w:sdt>
        <w:sdt>
          <w:sdtPr>
            <w:alias w:val="skirsnis"/>
            <w:tag w:val="part_df1b7915041c4d2a98ec1b2ade73886f"/>
            <w:lock w:val="sdtLocked"/>
            <w:richText/>
          </w:sdtPr>
          <w:sdtContent>
            <w:sdt>
              <w:sdtPr>
                <w:alias w:val="Pavadinimas"/>
                <w:tag w:val="title_df1b7915041c4d2a98ec1b2ade73886f"/>
                <w:lock w:val="sdtLocked"/>
                <w:richText/>
              </w:sdtPr>
              <w:sdtContent>
                <w:p>
                  <w:pPr>
                    <w:keepNext/>
                    <w:jc w:val="center"/>
                    <w:rPr>
                      <w:b/>
                      <w:szCs w:val="24"/>
                    </w:rPr>
                  </w:pPr>
                  <w:r>
                    <w:rPr>
                      <w:b/>
                      <w:szCs w:val="24"/>
                    </w:rPr>
                    <w:t xml:space="preserve">RADVILIŠKIO RAJONO SAVIVALDYBĖS TARYBOS SPRENDIMO PROJEKTO </w:t>
                  </w:r>
                </w:p>
                <w:p>
                  <w:pPr>
                    <w:keepNext/>
                    <w:jc w:val="center"/>
                  </w:pPr>
                  <w:r>
                    <w:rPr>
                      <w:b/>
                      <w:szCs w:val="24"/>
                    </w:rPr>
                    <w:t xml:space="preserve">„DĖL </w:t>
                  </w:r>
                  <w:r>
                    <w:rPr>
                      <w:b/>
                      <w:bCs/>
                      <w:color w:val="000000"/>
                      <w:szCs w:val="24"/>
                    </w:rPr>
                    <w:t>RADVILIŠKIO RAJONO SAVIVALDYBĖS TERITORIJOS BENDROJO PLANO DALIES KOREGAVIMO PATVIRTINIMO“</w:t>
                  </w:r>
                </w:p>
                <w:p>
                  <w:pPr>
                    <w:spacing w:line="259" w:lineRule="auto"/>
                    <w:jc w:val="center"/>
                    <w:rPr>
                      <w:b/>
                      <w:bCs/>
                      <w:kern w:val="2"/>
                      <w:szCs w:val="24"/>
                    </w:rPr>
                  </w:pPr>
                  <w:r>
                    <w:rPr>
                      <w:b/>
                      <w:bCs/>
                      <w:kern w:val="2"/>
                      <w:szCs w:val="24"/>
                    </w:rPr>
                    <w:t>AIŠKINAMASIS RAŠTAS</w:t>
                  </w:r>
                </w:p>
              </w:sdtContent>
            </w:sdt>
            <w:p>
              <w:pPr>
                <w:spacing w:line="259" w:lineRule="auto"/>
                <w:jc w:val="center"/>
                <w:rPr>
                  <w:kern w:val="2"/>
                  <w:szCs w:val="24"/>
                </w:rPr>
              </w:pPr>
            </w:p>
            <w:p>
              <w:pPr>
                <w:spacing w:line="259" w:lineRule="auto"/>
                <w:jc w:val="center"/>
                <w:rPr>
                  <w:kern w:val="2"/>
                  <w:szCs w:val="24"/>
                </w:rPr>
              </w:pPr>
              <w:r>
                <w:rPr>
                  <w:kern w:val="2"/>
                  <w:szCs w:val="24"/>
                </w:rPr>
                <w:t>2025 m. rugpjūčio 11 d.</w:t>
              </w:r>
            </w:p>
            <w:p>
              <w:pPr>
                <w:spacing w:line="259" w:lineRule="auto"/>
                <w:jc w:val="center"/>
                <w:rPr>
                  <w:kern w:val="2"/>
                  <w:szCs w:val="24"/>
                </w:rPr>
              </w:pPr>
              <w:r>
                <w:rPr>
                  <w:kern w:val="2"/>
                  <w:szCs w:val="24"/>
                </w:rPr>
                <w:t>Radviliškis</w:t>
              </w:r>
            </w:p>
            <w:p>
              <w:pPr>
                <w:spacing w:line="259" w:lineRule="auto"/>
                <w:jc w:val="center"/>
                <w:rPr>
                  <w:kern w:val="2"/>
                  <w:szCs w:val="24"/>
                </w:rPr>
              </w:pPr>
            </w:p>
            <w:sdt>
              <w:sdtPr>
                <w:alias w:val="1 p."/>
                <w:tag w:val="part_8455a2589c7c410d90d0c4a308311c92"/>
                <w:lock w:val="sdtLocked"/>
                <w:richText/>
              </w:sdtPr>
              <w:sdtContent>
                <w:p>
                  <w:pPr>
                    <w:tabs>
                      <w:tab w:val="left" w:pos="993"/>
                    </w:tabs>
                    <w:spacing w:line="259" w:lineRule="auto"/>
                    <w:ind w:firstLine="709"/>
                    <w:jc w:val="both"/>
                    <w:rPr>
                      <w:b/>
                      <w:bCs/>
                      <w:kern w:val="2"/>
                      <w:szCs w:val="24"/>
                    </w:rPr>
                  </w:pPr>
                  <w:sdt>
                    <w:sdtPr>
                      <w:alias w:val="Numeris"/>
                      <w:tag w:val="nr_8455a2589c7c410d90d0c4a308311c92"/>
                      <w:lock w:val="sdtLocked"/>
                      <w:richText/>
                    </w:sdtPr>
                    <w:sdtContent>
                      <w:r>
                        <w:rPr>
                          <w:b/>
                          <w:bCs/>
                          <w:szCs w:val="24"/>
                        </w:rPr>
                        <w:t>1</w:t>
                      </w:r>
                    </w:sdtContent>
                  </w:sdt>
                  <w:r>
                    <w:rPr>
                      <w:b/>
                      <w:bCs/>
                      <w:szCs w:val="24"/>
                    </w:rPr>
                    <w:t>.</w:t>
                    <w:tab/>
                  </w:r>
                  <w:r>
                    <w:rPr>
                      <w:b/>
                      <w:bCs/>
                      <w:kern w:val="2"/>
                      <w:szCs w:val="24"/>
                    </w:rPr>
                    <w:t>Projekto rengimą paskatinusios priežastys, parengto projekto tikslai, sprendimo</w:t>
                    <w:br/>
                    <w:t>projekto tikslai ir uždaviniai.</w:t>
                  </w:r>
                </w:p>
                <w:p>
                  <w:pPr>
                    <w:rPr>
                      <w:sz w:val="14"/>
                      <w:szCs w:val="14"/>
                    </w:rPr>
                  </w:pPr>
                </w:p>
                <w:p>
                  <w:pPr>
                    <w:ind w:firstLine="709"/>
                    <w:jc w:val="both"/>
                    <w:rPr>
                      <w:color w:val="000000"/>
                      <w:szCs w:val="24"/>
                    </w:rPr>
                  </w:pPr>
                  <w:r>
                    <w:rPr>
                      <w:color w:val="000000"/>
                      <w:szCs w:val="24"/>
                    </w:rPr>
                    <w:t>Esamos būklės įvertinimo metu nustatyta, kad:</w:t>
                  </w:r>
                </w:p>
                <w:sdt>
                  <w:sdtPr>
                    <w:alias w:val="1 p. a pp."/>
                    <w:tag w:val="part_1735b888485b4f318ae8177afae4c97a"/>
                    <w:lock w:val="sdtLocked"/>
                    <w:richText/>
                  </w:sdtPr>
                  <w:sdtContent>
                    <w:p>
                      <w:pPr>
                        <w:ind w:firstLine="709"/>
                        <w:jc w:val="both"/>
                        <w:rPr>
                          <w:color w:val="000000"/>
                          <w:szCs w:val="24"/>
                        </w:rPr>
                      </w:pPr>
                      <w:sdt>
                        <w:sdtPr>
                          <w:alias w:val="Numeris"/>
                          <w:tag w:val="nr_1735b888485b4f318ae8177afae4c97a"/>
                          <w:lock w:val="sdtLocked"/>
                          <w:richText/>
                        </w:sdtPr>
                        <w:sdtContent>
                          <w:r>
                            <w:rPr>
                              <w:b/>
                              <w:bCs/>
                              <w:i/>
                              <w:iCs/>
                              <w:color w:val="000000"/>
                              <w:szCs w:val="24"/>
                            </w:rPr>
                            <w:t>a</w:t>
                          </w:r>
                        </w:sdtContent>
                      </w:sdt>
                      <w:r>
                        <w:rPr>
                          <w:b/>
                          <w:bCs/>
                          <w:i/>
                          <w:iCs/>
                          <w:color w:val="000000"/>
                          <w:szCs w:val="24"/>
                        </w:rPr>
                        <w:t>) Savivaldybės plane pateiktas funkcinis zonavimas neatitinka savivaldybės lygmens teritorijų planavimo dokumento mastelio ir yra per detalus;</w:t>
                      </w:r>
                    </w:p>
                  </w:sdtContent>
                </w:sdt>
                <w:sdt>
                  <w:sdtPr>
                    <w:alias w:val="1 p. b pp."/>
                    <w:tag w:val="part_4ab2a40bc3354f1ba8ce4d18e8e7bfd9"/>
                    <w:lock w:val="sdtLocked"/>
                    <w:richText/>
                  </w:sdtPr>
                  <w:sdtContent>
                    <w:p>
                      <w:pPr>
                        <w:ind w:firstLine="709"/>
                        <w:jc w:val="both"/>
                        <w:rPr>
                          <w:color w:val="000000"/>
                          <w:szCs w:val="24"/>
                        </w:rPr>
                      </w:pPr>
                      <w:sdt>
                        <w:sdtPr>
                          <w:alias w:val="Numeris"/>
                          <w:tag w:val="nr_4ab2a40bc3354f1ba8ce4d18e8e7bfd9"/>
                          <w:lock w:val="sdtLocked"/>
                          <w:richText/>
                        </w:sdtPr>
                        <w:sdtContent>
                          <w:r>
                            <w:rPr>
                              <w:b/>
                              <w:bCs/>
                              <w:i/>
                              <w:iCs/>
                              <w:color w:val="000000"/>
                              <w:szCs w:val="24"/>
                            </w:rPr>
                            <w:t>b</w:t>
                          </w:r>
                        </w:sdtContent>
                      </w:sdt>
                      <w:r>
                        <w:rPr>
                          <w:b/>
                          <w:bCs/>
                          <w:i/>
                          <w:iCs/>
                          <w:color w:val="000000"/>
                          <w:szCs w:val="24"/>
                        </w:rPr>
                        <w:t>) Savivaldybės bendrajame plane yra prieštaravimų tarp išskirtų funkcinių zonų ir nuosavybės dokumentuose nustatytų naudojimo būdų teritorijose, kurios svarbios visų miestų ir miestelio gerovės ir viešo intereso aspektu;</w:t>
                      </w:r>
                    </w:p>
                  </w:sdtContent>
                </w:sdt>
                <w:sdt>
                  <w:sdtPr>
                    <w:alias w:val="1 p. c pp."/>
                    <w:tag w:val="part_4875b8deda5c4fc1ac83e2fb1ae97aa7"/>
                    <w:lock w:val="sdtLocked"/>
                    <w:richText/>
                  </w:sdtPr>
                  <w:sdtContent>
                    <w:p>
                      <w:pPr>
                        <w:ind w:firstLine="709"/>
                        <w:jc w:val="both"/>
                        <w:rPr>
                          <w:color w:val="000000"/>
                          <w:szCs w:val="24"/>
                        </w:rPr>
                      </w:pPr>
                      <w:sdt>
                        <w:sdtPr>
                          <w:alias w:val="Numeris"/>
                          <w:tag w:val="nr_4875b8deda5c4fc1ac83e2fb1ae97aa7"/>
                          <w:lock w:val="sdtLocked"/>
                          <w:richText/>
                        </w:sdtPr>
                        <w:sdtContent>
                          <w:r>
                            <w:rPr>
                              <w:b/>
                              <w:bCs/>
                              <w:i/>
                              <w:iCs/>
                              <w:color w:val="000000"/>
                              <w:szCs w:val="24"/>
                            </w:rPr>
                            <w:t>c</w:t>
                          </w:r>
                        </w:sdtContent>
                      </w:sdt>
                      <w:r>
                        <w:rPr>
                          <w:b/>
                          <w:bCs/>
                          <w:i/>
                          <w:iCs/>
                          <w:color w:val="000000"/>
                          <w:szCs w:val="24"/>
                        </w:rPr>
                        <w:t xml:space="preserve">) siekiant išvengti funkcinių zonų ribų ir ploto neatitikimo tarp skirtingų lygmenų kompleksinių teritorijų planavimo dokumentų, siūloma koreguoti Radviliškio rajono savivaldybės teritorijos bendrojo plano keitime (T00089406) Radviliškio miesto teritorijos bendrajame plane (reg. T00089555), Radviliškio rajono teritorijos Šeduvos miesto teritorijos bendrajame plane (reg.  T00081206) ir Radviliškio rajono savivaldybės Baisogalos miestelio bendrajame plane (reg.  T00031877) galiojimo ribose suplanuotas teritorijas priskirti vienai funkcinei zonai – urbanizuotų ir urbanizuojamų teritorijų funkcinei zonai, kuri bus tvarkoma vadovaujantis konkretaus miesto ir</w:t>
                      </w:r>
                      <w:r>
                        <w:rPr>
                          <w:b/>
                          <w:bCs/>
                          <w:i/>
                          <w:iCs/>
                          <w:sz w:val="20"/>
                        </w:rPr>
                        <w:t xml:space="preserve"> </w:t>
                      </w:r>
                      <w:r>
                        <w:rPr>
                          <w:b/>
                          <w:bCs/>
                          <w:i/>
                          <w:iCs/>
                          <w:szCs w:val="24"/>
                        </w:rPr>
                        <w:t>miestelio teritorijos bendruoju planu.</w:t>
                      </w:r>
                    </w:p>
                  </w:sdtContent>
                </w:sdt>
              </w:sdtContent>
            </w:sdt>
            <w:sdt>
              <w:sdtPr>
                <w:alias w:val="2 p."/>
                <w:tag w:val="part_36635bb6ce8a4328835d32f3d73f896a"/>
                <w:lock w:val="sdtLocked"/>
                <w:richText/>
              </w:sdtPr>
              <w:sdtContent>
                <w:p>
                  <w:pPr>
                    <w:tabs>
                      <w:tab w:val="left" w:pos="993"/>
                    </w:tabs>
                    <w:spacing w:line="259" w:lineRule="auto"/>
                    <w:ind w:left="1211" w:hanging="502"/>
                    <w:jc w:val="both"/>
                    <w:rPr>
                      <w:b/>
                      <w:bCs/>
                      <w:kern w:val="2"/>
                      <w:szCs w:val="24"/>
                    </w:rPr>
                  </w:pPr>
                  <w:sdt>
                    <w:sdtPr>
                      <w:alias w:val="Numeris"/>
                      <w:tag w:val="nr_36635bb6ce8a4328835d32f3d73f896a"/>
                      <w:lock w:val="sdtLocked"/>
                      <w:richText/>
                    </w:sdtPr>
                    <w:sdtContent>
                      <w:r>
                        <w:rPr>
                          <w:b/>
                          <w:bCs/>
                          <w:szCs w:val="24"/>
                        </w:rPr>
                        <w:t>2</w:t>
                      </w:r>
                    </w:sdtContent>
                  </w:sdt>
                  <w:r>
                    <w:rPr>
                      <w:b/>
                      <w:bCs/>
                      <w:szCs w:val="24"/>
                    </w:rPr>
                    <w:t>.</w:t>
                    <w:tab/>
                  </w:r>
                  <w:r>
                    <w:rPr>
                      <w:b/>
                      <w:bCs/>
                      <w:kern w:val="2"/>
                      <w:szCs w:val="24"/>
                    </w:rPr>
                    <w:t>Projekto iniciatoriai (institucija, asmenys ar piliečių atstovai) ir rengėjai.</w:t>
                  </w:r>
                </w:p>
                <w:p>
                  <w:pPr>
                    <w:rPr>
                      <w:sz w:val="14"/>
                      <w:szCs w:val="14"/>
                    </w:rPr>
                  </w:pPr>
                </w:p>
                <w:p>
                  <w:pPr>
                    <w:spacing w:line="259" w:lineRule="auto"/>
                    <w:ind w:firstLine="709"/>
                    <w:jc w:val="both"/>
                    <w:rPr>
                      <w:kern w:val="2"/>
                      <w:szCs w:val="24"/>
                    </w:rPr>
                  </w:pPr>
                  <w:r>
                    <w:rPr>
                      <w:kern w:val="2"/>
                      <w:szCs w:val="24"/>
                    </w:rPr>
                    <w:t>Radviliškio rajono savivaldybės administracijos Architektūros ir urbanistikos skyrius.</w:t>
                  </w:r>
                </w:p>
              </w:sdtContent>
            </w:sdt>
            <w:sdt>
              <w:sdtPr>
                <w:alias w:val="3 p."/>
                <w:tag w:val="part_17b69521298a487d8d996e6dccacba30"/>
                <w:lock w:val="sdtLocked"/>
                <w:richText/>
              </w:sdtPr>
              <w:sdtContent>
                <w:p>
                  <w:pPr>
                    <w:tabs>
                      <w:tab w:val="left" w:pos="993"/>
                    </w:tabs>
                    <w:spacing w:line="259" w:lineRule="auto"/>
                    <w:ind w:left="1211" w:hanging="502"/>
                    <w:jc w:val="both"/>
                    <w:rPr>
                      <w:b/>
                      <w:bCs/>
                      <w:kern w:val="2"/>
                      <w:szCs w:val="24"/>
                    </w:rPr>
                  </w:pPr>
                  <w:sdt>
                    <w:sdtPr>
                      <w:alias w:val="Numeris"/>
                      <w:tag w:val="nr_17b69521298a487d8d996e6dccacba30"/>
                      <w:lock w:val="sdtLocked"/>
                      <w:richText/>
                    </w:sdtPr>
                    <w:sdtContent>
                      <w:r>
                        <w:rPr>
                          <w:b/>
                          <w:bCs/>
                          <w:szCs w:val="24"/>
                        </w:rPr>
                        <w:t>3</w:t>
                      </w:r>
                    </w:sdtContent>
                  </w:sdt>
                  <w:r>
                    <w:rPr>
                      <w:b/>
                      <w:bCs/>
                      <w:szCs w:val="24"/>
                    </w:rPr>
                    <w:t>.</w:t>
                    <w:tab/>
                  </w:r>
                  <w:r>
                    <w:rPr>
                      <w:b/>
                      <w:bCs/>
                      <w:kern w:val="2"/>
                      <w:szCs w:val="24"/>
                    </w:rPr>
                    <w:t>Kaip šiuo metu yra reguliuojami sprendimo projekte aptarti teisiniai santykiai.</w:t>
                  </w:r>
                </w:p>
                <w:p>
                  <w:pPr>
                    <w:rPr>
                      <w:sz w:val="14"/>
                      <w:szCs w:val="14"/>
                    </w:rPr>
                  </w:pPr>
                </w:p>
                <w:p>
                  <w:pPr>
                    <w:spacing w:line="259" w:lineRule="auto"/>
                    <w:ind w:firstLine="709"/>
                    <w:jc w:val="both"/>
                    <w:rPr>
                      <w:b/>
                      <w:bCs/>
                      <w:i/>
                      <w:iCs/>
                      <w:kern w:val="2"/>
                      <w:szCs w:val="24"/>
                    </w:rPr>
                  </w:pPr>
                  <w:r>
                    <w:rPr>
                      <w:kern w:val="2"/>
                      <w:szCs w:val="24"/>
                    </w:rPr>
                    <w:t xml:space="preserve">Vadovaujantis Radviliškio rajono savivaldybės administracijos direktoriaus 2024 m. sausio 16 d. įsakymu Nr. A-20 (8.2 E) „Dėl Radviliškio rajono savivaldybės teritorijos bendrojo plano koregavimo‘‘ ir Radviliškio rajono savivaldybės administracijos direktoriaus 2025 m. sausio 20 d. įsakymu Nr. A-27 (8.2 E) „Dėl Radviliškio rajono savivaldybės teritorijos bendrojo plano koregavimo planavimo darbų programos, patvirtintos Radviliškio rajono savivaldybės administracijos direktoriaus 2025 m. sausio 16 d. įsakymu Nr. A-20 (8.2 E) „Dėl Radviliškio rajono savivaldybės teritorijos bendrojo plano koregavimo‘‘ pakeitimo‘‘ patvirtinta Planavimo darbų programa, numatomas 3 teritorijoje (Nr. 1, Nr. 2 ir Nr. 3) koregavimas, </w:t>
                  </w:r>
                  <w:r>
                    <w:rPr>
                      <w:b/>
                      <w:bCs/>
                      <w:i/>
                      <w:iCs/>
                      <w:kern w:val="2"/>
                      <w:szCs w:val="24"/>
                    </w:rPr>
                    <w:t xml:space="preserve">kuriame numatomas Radviliškio, Šeduvos miestų teritorijose ir Baisogalos miestelio teritorijose esančių funkcinių zonų apjungimas į vieną urbanizuotų ir urbanizuojamų teritorijų zoną, tvarkymo ir naudojimo reikalavimų papildymas ir pakeitimas. </w:t>
                  </w:r>
                </w:p>
              </w:sdtContent>
            </w:sdt>
          </w:sdtContent>
        </w:sdt>
        <w:sdt>
          <w:sdtPr>
            <w:alias w:val="skirsnis"/>
            <w:tag w:val="part_d23c25ee03384841ac5c1b4c95acdee6"/>
            <w:lock w:val="sdtLocked"/>
            <w:richText/>
          </w:sdtPr>
          <w:sdtContent>
            <w:p>
              <w:pPr>
                <w:spacing w:line="259" w:lineRule="auto"/>
                <w:ind w:firstLine="709"/>
                <w:jc w:val="both"/>
                <w:rPr>
                  <w:b/>
                  <w:bCs/>
                  <w:i/>
                  <w:iCs/>
                  <w:kern w:val="2"/>
                  <w:szCs w:val="24"/>
                </w:rPr>
              </w:pPr>
              <w:sdt>
                <w:sdtPr>
                  <w:alias w:val="Pavadinimas"/>
                  <w:tag w:val="title_d23c25ee03384841ac5c1b4c95acdee6"/>
                  <w:lock w:val="sdtLocked"/>
                  <w:richText/>
                </w:sdtPr>
                <w:sdtContent>
                  <w:r>
                    <w:rPr>
                      <w:b/>
                      <w:kern w:val="2"/>
                      <w:szCs w:val="24"/>
                    </w:rPr>
                    <w:t>Galimi sprendimo priėmimo padariniai (teigiami ir (ar) neigiami).</w:t>
                  </w:r>
                </w:sdtContent>
              </w:sdt>
            </w:p>
            <w:p>
              <w:pPr>
                <w:spacing w:line="259" w:lineRule="auto"/>
                <w:ind w:firstLine="709"/>
                <w:jc w:val="both"/>
                <w:rPr>
                  <w:b/>
                  <w:bCs/>
                  <w:i/>
                  <w:iCs/>
                  <w:kern w:val="2"/>
                  <w:szCs w:val="24"/>
                </w:rPr>
              </w:pPr>
              <w:r>
                <w:rPr>
                  <w:bCs/>
                  <w:i/>
                  <w:iCs/>
                  <w:kern w:val="2"/>
                  <w:szCs w:val="24"/>
                </w:rPr>
                <w:t>Pritarus</w:t>
              </w:r>
              <w:r>
                <w:rPr>
                  <w:bCs/>
                  <w:kern w:val="2"/>
                  <w:szCs w:val="24"/>
                </w:rPr>
                <w:t xml:space="preserve"> </w:t>
              </w:r>
              <w:r>
                <w:rPr>
                  <w:b/>
                  <w:i/>
                  <w:iCs/>
                  <w:kern w:val="2"/>
                  <w:szCs w:val="24"/>
                </w:rPr>
                <w:t>bus išvengta</w:t>
              </w:r>
              <w:r>
                <w:rPr>
                  <w:b/>
                  <w:bCs/>
                  <w:i/>
                  <w:iCs/>
                  <w:color w:val="000000"/>
                  <w:kern w:val="2"/>
                  <w:szCs w:val="24"/>
                </w:rPr>
                <w:t xml:space="preserve"> funkcinių zonų ribų ir ploto neatitikimo tarp skirtingų lygmenų kompleksinių teritorijų planavimo dokumentų;</w:t>
              </w:r>
            </w:p>
            <w:p>
              <w:pPr>
                <w:spacing w:line="259" w:lineRule="auto"/>
                <w:ind w:firstLine="709"/>
                <w:jc w:val="both"/>
                <w:rPr>
                  <w:b/>
                  <w:bCs/>
                  <w:i/>
                  <w:iCs/>
                  <w:kern w:val="2"/>
                  <w:szCs w:val="24"/>
                </w:rPr>
              </w:pPr>
              <w:r>
                <w:rPr>
                  <w:i/>
                  <w:iCs/>
                  <w:kern w:val="2"/>
                  <w:szCs w:val="24"/>
                </w:rPr>
                <w:t xml:space="preserve">Nepritarus sprendiniams </w:t>
              </w:r>
              <w:r>
                <w:rPr>
                  <w:b/>
                  <w:bCs/>
                  <w:i/>
                  <w:iCs/>
                  <w:color w:val="000000"/>
                  <w:kern w:val="2"/>
                  <w:szCs w:val="24"/>
                </w:rPr>
                <w:t>prieštaravimai tarp išskirtų funkcinių zonų ir nuosavybės dokumentuose nustatytų naudojimo būdų teritorijose išliks, tai apsunkins / neleis priimti svarbius sprendimus miestų ir miestelio gerovės ir viešo intereso aspektu;</w:t>
              </w:r>
            </w:p>
            <w:sdt>
              <w:sdtPr>
                <w:alias w:val="4 p."/>
                <w:tag w:val="part_7b744780ff074f24a49bd60df6aa30a2"/>
                <w:lock w:val="sdtLocked"/>
                <w:richText/>
              </w:sdtPr>
              <w:sdtContent>
                <w:p>
                  <w:pPr>
                    <w:tabs>
                      <w:tab w:val="left" w:pos="993"/>
                    </w:tabs>
                    <w:spacing w:line="259" w:lineRule="auto"/>
                    <w:ind w:firstLine="709"/>
                    <w:jc w:val="both"/>
                    <w:rPr>
                      <w:b/>
                      <w:bCs/>
                      <w:kern w:val="2"/>
                      <w:szCs w:val="24"/>
                    </w:rPr>
                  </w:pPr>
                  <w:sdt>
                    <w:sdtPr>
                      <w:alias w:val="Numeris"/>
                      <w:tag w:val="nr_7b744780ff074f24a49bd60df6aa30a2"/>
                      <w:lock w:val="sdtLocked"/>
                      <w:richText/>
                    </w:sdtPr>
                    <w:sdtContent>
                      <w:r>
                        <w:rPr>
                          <w:b/>
                          <w:bCs/>
                          <w:szCs w:val="24"/>
                        </w:rPr>
                        <w:t>4</w:t>
                      </w:r>
                    </w:sdtContent>
                  </w:sdt>
                  <w:r>
                    <w:rPr>
                      <w:b/>
                      <w:bCs/>
                      <w:szCs w:val="24"/>
                    </w:rPr>
                    <w:t>.</w:t>
                    <w:tab/>
                  </w:r>
                  <w:r>
                    <w:rPr>
                      <w:b/>
                      <w:bCs/>
                      <w:kern w:val="2"/>
                      <w:szCs w:val="24"/>
                    </w:rPr>
                    <w:t>Kokios siūlomos naujos teisinio reguliavimo nuostatos, kokių teigiamų rezultatų</w:t>
                    <w:br/>
                    <w:t>laukiama.</w:t>
                  </w:r>
                </w:p>
                <w:p>
                  <w:pPr>
                    <w:rPr>
                      <w:sz w:val="14"/>
                      <w:szCs w:val="14"/>
                    </w:rPr>
                  </w:pPr>
                </w:p>
                <w:p>
                  <w:pPr>
                    <w:spacing w:line="259" w:lineRule="auto"/>
                    <w:ind w:firstLine="709"/>
                    <w:jc w:val="both"/>
                    <w:rPr>
                      <w:color w:val="000000"/>
                      <w:kern w:val="2"/>
                      <w:szCs w:val="24"/>
                      <w:lang w:eastAsia="lt-LT"/>
                    </w:rPr>
                  </w:pPr>
                  <w:r>
                    <w:rPr>
                      <w:szCs w:val="24"/>
                      <w:lang w:eastAsia="lt-LT"/>
                    </w:rPr>
                    <w:t xml:space="preserve">Koreguojamas </w:t>
                  </w:r>
                  <w:r>
                    <w:rPr>
                      <w:kern w:val="2"/>
                      <w:szCs w:val="24"/>
                      <w:lang w:eastAsia="lt-LT"/>
                    </w:rPr>
                    <w:t xml:space="preserve">Radviliškio rajono savivaldybės teritorijos bendrasis planas, patvirtintas Radviliškio rajono savivaldybės tarybos 2023 m. birželio 1 d. sprendimu Nr. T-18 „Dėl Radviliškio rajono savivaldybės  teritorijos bendrojo plano keitimo patvirtinimo“, </w:t>
                  </w:r>
                  <w:r>
                    <w:rPr>
                      <w:b/>
                      <w:bCs/>
                      <w:i/>
                      <w:iCs/>
                      <w:kern w:val="2"/>
                      <w:szCs w:val="24"/>
                      <w:lang w:eastAsia="lt-LT"/>
                    </w:rPr>
                    <w:t>nebus naikinamas. Koregavimas,</w:t>
                  </w:r>
                  <w:r>
                    <w:rPr>
                      <w:kern w:val="2"/>
                      <w:szCs w:val="24"/>
                      <w:lang w:eastAsia="lt-LT"/>
                    </w:rPr>
                    <w:t xml:space="preserve"> numatytose </w:t>
                  </w:r>
                  <w:r>
                    <w:rPr>
                      <w:szCs w:val="24"/>
                    </w:rPr>
                    <w:t>Radviliškio, Šeduvos miestų teritorijose ir Baisogalos miestelio teritorijose</w:t>
                  </w:r>
                  <w:r>
                    <w:rPr>
                      <w:kern w:val="2"/>
                      <w:szCs w:val="24"/>
                    </w:rPr>
                    <w:t>,</w:t>
                  </w:r>
                  <w:r>
                    <w:rPr>
                      <w:kern w:val="2"/>
                      <w:szCs w:val="24"/>
                      <w:lang w:eastAsia="lt-LT"/>
                    </w:rPr>
                    <w:t xml:space="preserve"> pripažįstamas sudedamąja Radviliškio rajono savivaldybės teritorijos bendrojo plano dalimi.</w:t>
                  </w:r>
                </w:p>
              </w:sdtContent>
            </w:sdt>
            <w:sdt>
              <w:sdtPr>
                <w:alias w:val="5 p."/>
                <w:tag w:val="part_3d9ba53472a843a8815b5bd22479dc72"/>
                <w:lock w:val="sdtLocked"/>
                <w:richText/>
              </w:sdtPr>
              <w:sdtContent>
                <w:p>
                  <w:pPr>
                    <w:tabs>
                      <w:tab w:val="left" w:pos="993"/>
                    </w:tabs>
                    <w:spacing w:line="259" w:lineRule="auto"/>
                    <w:ind w:firstLine="709"/>
                    <w:jc w:val="both"/>
                    <w:rPr>
                      <w:b/>
                      <w:bCs/>
                      <w:kern w:val="2"/>
                      <w:szCs w:val="24"/>
                    </w:rPr>
                  </w:pPr>
                  <w:sdt>
                    <w:sdtPr>
                      <w:alias w:val="Numeris"/>
                      <w:tag w:val="nr_3d9ba53472a843a8815b5bd22479dc72"/>
                      <w:lock w:val="sdtLocked"/>
                      <w:richText/>
                    </w:sdtPr>
                    <w:sdtContent>
                      <w:r>
                        <w:rPr>
                          <w:b/>
                          <w:bCs/>
                          <w:szCs w:val="24"/>
                        </w:rPr>
                        <w:t>5</w:t>
                      </w:r>
                    </w:sdtContent>
                  </w:sdt>
                  <w:r>
                    <w:rPr>
                      <w:b/>
                      <w:bCs/>
                      <w:szCs w:val="24"/>
                    </w:rPr>
                    <w:t>.</w:t>
                    <w:tab/>
                  </w:r>
                  <w:r>
                    <w:rPr>
                      <w:b/>
                      <w:bCs/>
                      <w:kern w:val="2"/>
                      <w:szCs w:val="24"/>
                    </w:rPr>
                    <w:t>Galimos neigiamos priimto sprendimo projekto pasekmės ir kokių priemonių reikėtų imtis, kad tokių pasekmių būtų išvengta.</w:t>
                  </w:r>
                </w:p>
                <w:p>
                  <w:pPr>
                    <w:rPr>
                      <w:sz w:val="14"/>
                      <w:szCs w:val="14"/>
                    </w:rPr>
                  </w:pPr>
                </w:p>
                <w:p>
                  <w:pPr>
                    <w:ind w:left="709"/>
                    <w:jc w:val="both"/>
                    <w:rPr>
                      <w:b/>
                      <w:bCs/>
                      <w:szCs w:val="24"/>
                    </w:rPr>
                  </w:pPr>
                  <w:r>
                    <w:rPr>
                      <w:szCs w:val="24"/>
                    </w:rPr>
                    <w:t>Neigiamų pasekmių nenumatoma.</w:t>
                  </w:r>
                </w:p>
              </w:sdtContent>
            </w:sdt>
            <w:sdt>
              <w:sdtPr>
                <w:alias w:val="6 p."/>
                <w:tag w:val="part_d635c3a9250c4f55b97f15c36935058a"/>
                <w:lock w:val="sdtLocked"/>
                <w:richText/>
              </w:sdtPr>
              <w:sdtContent>
                <w:p>
                  <w:pPr>
                    <w:tabs>
                      <w:tab w:val="left" w:pos="993"/>
                    </w:tabs>
                    <w:spacing w:line="259" w:lineRule="auto"/>
                    <w:ind w:firstLine="709"/>
                    <w:jc w:val="both"/>
                    <w:rPr>
                      <w:b/>
                      <w:bCs/>
                      <w:kern w:val="2"/>
                      <w:szCs w:val="24"/>
                    </w:rPr>
                  </w:pPr>
                  <w:sdt>
                    <w:sdtPr>
                      <w:alias w:val="Numeris"/>
                      <w:tag w:val="nr_d635c3a9250c4f55b97f15c36935058a"/>
                      <w:lock w:val="sdtLocked"/>
                      <w:richText/>
                    </w:sdtPr>
                    <w:sdtContent>
                      <w:r>
                        <w:rPr>
                          <w:b/>
                          <w:bCs/>
                          <w:szCs w:val="24"/>
                        </w:rPr>
                        <w:t>6</w:t>
                      </w:r>
                    </w:sdtContent>
                  </w:sdt>
                  <w:r>
                    <w:rPr>
                      <w:b/>
                      <w:bCs/>
                      <w:szCs w:val="24"/>
                    </w:rPr>
                    <w:t>.</w:t>
                    <w:tab/>
                  </w:r>
                  <w:r>
                    <w:rPr>
                      <w:b/>
                      <w:bCs/>
                      <w:kern w:val="2"/>
                      <w:szCs w:val="24"/>
                    </w:rPr>
                    <w:t>Kokius teisės aktus būtina priimti, kokius galiojančius teisės aktus būtina pakeisti ar pripažinti netekusiais galios priėmus sprendimo projektą.</w:t>
                  </w:r>
                </w:p>
                <w:p>
                  <w:pPr>
                    <w:rPr>
                      <w:sz w:val="14"/>
                      <w:szCs w:val="14"/>
                    </w:rPr>
                  </w:pPr>
                </w:p>
                <w:p>
                  <w:pPr>
                    <w:tabs>
                      <w:tab w:val="left" w:pos="993"/>
                    </w:tabs>
                    <w:spacing w:line="259" w:lineRule="auto"/>
                    <w:ind w:firstLine="709"/>
                    <w:jc w:val="both"/>
                    <w:rPr>
                      <w:b/>
                      <w:bCs/>
                      <w:kern w:val="2"/>
                      <w:szCs w:val="24"/>
                    </w:rPr>
                  </w:pPr>
                  <w:r>
                    <w:rPr>
                      <w:szCs w:val="24"/>
                      <w:lang w:eastAsia="lt-LT"/>
                    </w:rPr>
                    <w:t xml:space="preserve">Koreguojamas </w:t>
                  </w:r>
                  <w:r>
                    <w:rPr>
                      <w:kern w:val="2"/>
                      <w:szCs w:val="24"/>
                      <w:lang w:eastAsia="lt-LT"/>
                    </w:rPr>
                    <w:t xml:space="preserve">Radviliškio rajono savivaldybės teritorijos bendrasis planas, patvirtintas Radviliškio rajono savivaldybės tarybos 2023 m. birželio 1 d. sprendimu Nr. T-18 „Dėl Radviliškio rajono savivaldybės  teritorijos bendrojo plano keitimo patvirtinimo“.</w:t>
                  </w:r>
                </w:p>
              </w:sdtContent>
            </w:sdt>
            <w:sdt>
              <w:sdtPr>
                <w:alias w:val="7 p."/>
                <w:tag w:val="part_882352ccba2d4f6a9041745de064f5b4"/>
                <w:lock w:val="sdtLocked"/>
                <w:richText/>
              </w:sdtPr>
              <w:sdtContent>
                <w:p>
                  <w:pPr>
                    <w:tabs>
                      <w:tab w:val="left" w:pos="993"/>
                    </w:tabs>
                    <w:spacing w:line="259" w:lineRule="auto"/>
                    <w:ind w:firstLine="709"/>
                    <w:jc w:val="both"/>
                    <w:rPr>
                      <w:b/>
                      <w:bCs/>
                      <w:kern w:val="2"/>
                      <w:szCs w:val="24"/>
                    </w:rPr>
                  </w:pPr>
                  <w:sdt>
                    <w:sdtPr>
                      <w:alias w:val="Numeris"/>
                      <w:tag w:val="nr_882352ccba2d4f6a9041745de064f5b4"/>
                      <w:lock w:val="sdtLocked"/>
                      <w:richText/>
                    </w:sdtPr>
                    <w:sdtContent>
                      <w:r>
                        <w:rPr>
                          <w:b/>
                          <w:bCs/>
                          <w:szCs w:val="24"/>
                        </w:rPr>
                        <w:t>7</w:t>
                      </w:r>
                    </w:sdtContent>
                  </w:sdt>
                  <w:r>
                    <w:rPr>
                      <w:b/>
                      <w:bCs/>
                      <w:szCs w:val="24"/>
                    </w:rPr>
                    <w:t>.</w:t>
                    <w:tab/>
                  </w:r>
                  <w:r>
                    <w:rPr>
                      <w:b/>
                      <w:bCs/>
                      <w:kern w:val="2"/>
                      <w:szCs w:val="24"/>
                    </w:rPr>
                    <w:t>Sprendimo projektui įgyvendinti reikalingos lėšos, finansavimo šaltiniai.</w:t>
                  </w:r>
                </w:p>
                <w:p>
                  <w:pPr>
                    <w:rPr>
                      <w:sz w:val="14"/>
                      <w:szCs w:val="14"/>
                    </w:rPr>
                  </w:pPr>
                </w:p>
                <w:p>
                  <w:pPr>
                    <w:spacing w:line="259" w:lineRule="auto"/>
                    <w:ind w:firstLine="709"/>
                    <w:jc w:val="both"/>
                    <w:rPr>
                      <w:kern w:val="2"/>
                      <w:szCs w:val="24"/>
                    </w:rPr>
                  </w:pPr>
                  <w:r>
                    <w:rPr>
                      <w:kern w:val="2"/>
                      <w:szCs w:val="24"/>
                    </w:rPr>
                    <w:t>Savivaldybės biudžeto lėšos.</w:t>
                  </w:r>
                </w:p>
              </w:sdtContent>
            </w:sdt>
            <w:sdt>
              <w:sdtPr>
                <w:alias w:val="8 p."/>
                <w:tag w:val="part_fd905ca2a1214623a247a789b055821a"/>
                <w:lock w:val="sdtLocked"/>
                <w:richText/>
              </w:sdtPr>
              <w:sdtContent>
                <w:p>
                  <w:pPr>
                    <w:tabs>
                      <w:tab w:val="left" w:pos="993"/>
                    </w:tabs>
                    <w:spacing w:line="259" w:lineRule="auto"/>
                    <w:ind w:firstLine="709"/>
                    <w:jc w:val="both"/>
                    <w:rPr>
                      <w:b/>
                      <w:bCs/>
                      <w:kern w:val="2"/>
                      <w:szCs w:val="24"/>
                    </w:rPr>
                  </w:pPr>
                  <w:sdt>
                    <w:sdtPr>
                      <w:alias w:val="Numeris"/>
                      <w:tag w:val="nr_fd905ca2a1214623a247a789b055821a"/>
                      <w:lock w:val="sdtLocked"/>
                      <w:richText/>
                    </w:sdtPr>
                    <w:sdtContent>
                      <w:r>
                        <w:rPr>
                          <w:b/>
                          <w:bCs/>
                          <w:szCs w:val="24"/>
                        </w:rPr>
                        <w:t>8</w:t>
                      </w:r>
                    </w:sdtContent>
                  </w:sdt>
                  <w:r>
                    <w:rPr>
                      <w:b/>
                      <w:bCs/>
                      <w:szCs w:val="24"/>
                    </w:rPr>
                    <w:t>.</w:t>
                    <w:tab/>
                  </w:r>
                  <w:r>
                    <w:rPr>
                      <w:b/>
                      <w:bCs/>
                      <w:kern w:val="2"/>
                      <w:szCs w:val="24"/>
                    </w:rPr>
                    <w:t>Sprendimo projekto rengimo metu gauti specialistų vertinimai ir išvados.</w:t>
                  </w:r>
                </w:p>
                <w:p>
                  <w:pPr>
                    <w:rPr>
                      <w:sz w:val="14"/>
                      <w:szCs w:val="14"/>
                    </w:rPr>
                  </w:pPr>
                </w:p>
                <w:p>
                  <w:pPr>
                    <w:spacing w:line="259" w:lineRule="auto"/>
                    <w:ind w:firstLine="709"/>
                    <w:jc w:val="both"/>
                    <w:rPr>
                      <w:kern w:val="2"/>
                      <w:szCs w:val="24"/>
                    </w:rPr>
                  </w:pPr>
                  <w:r>
                    <w:rPr>
                      <w:kern w:val="2"/>
                      <w:szCs w:val="24"/>
                    </w:rPr>
                    <w:t>Sprendimo projektas suderintas su savivaldybės juristu, kalbininku, administracijos direktore, vicemerais ir meru.</w:t>
                  </w:r>
                </w:p>
              </w:sdtContent>
            </w:sdt>
            <w:sdt>
              <w:sdtPr>
                <w:alias w:val="9 p."/>
                <w:tag w:val="part_48244fe2b27a461d99cf5393ee7e7802"/>
                <w:lock w:val="sdtLocked"/>
                <w:richText/>
              </w:sdtPr>
              <w:sdtContent>
                <w:p>
                  <w:pPr>
                    <w:tabs>
                      <w:tab w:val="left" w:pos="993"/>
                    </w:tabs>
                    <w:spacing w:line="259" w:lineRule="auto"/>
                    <w:ind w:firstLine="709"/>
                    <w:jc w:val="both"/>
                    <w:rPr>
                      <w:b/>
                      <w:bCs/>
                      <w:kern w:val="2"/>
                      <w:szCs w:val="24"/>
                    </w:rPr>
                  </w:pPr>
                  <w:sdt>
                    <w:sdtPr>
                      <w:alias w:val="Numeris"/>
                      <w:tag w:val="nr_48244fe2b27a461d99cf5393ee7e7802"/>
                      <w:lock w:val="sdtLocked"/>
                      <w:richText/>
                    </w:sdtPr>
                    <w:sdtContent>
                      <w:r>
                        <w:rPr>
                          <w:b/>
                          <w:bCs/>
                          <w:szCs w:val="24"/>
                        </w:rPr>
                        <w:t>9</w:t>
                      </w:r>
                    </w:sdtContent>
                  </w:sdt>
                  <w:r>
                    <w:rPr>
                      <w:b/>
                      <w:bCs/>
                      <w:szCs w:val="24"/>
                    </w:rPr>
                    <w:t>.</w:t>
                    <w:tab/>
                  </w:r>
                  <w:r>
                    <w:rPr>
                      <w:b/>
                      <w:bCs/>
                      <w:kern w:val="2"/>
                      <w:szCs w:val="24"/>
                    </w:rPr>
                    <w:t>Numatomo teisinio reguliavimo poveikio vertinimo rezultatai.</w:t>
                  </w:r>
                </w:p>
                <w:p>
                  <w:pPr>
                    <w:rPr>
                      <w:sz w:val="14"/>
                      <w:szCs w:val="14"/>
                    </w:rPr>
                  </w:pPr>
                </w:p>
                <w:p>
                  <w:pPr>
                    <w:spacing w:line="259" w:lineRule="auto"/>
                    <w:ind w:firstLine="709"/>
                    <w:jc w:val="both"/>
                    <w:rPr>
                      <w:kern w:val="2"/>
                      <w:szCs w:val="24"/>
                    </w:rPr>
                  </w:pPr>
                  <w:r>
                    <w:rPr>
                      <w:kern w:val="2"/>
                      <w:szCs w:val="24"/>
                    </w:rPr>
                    <w:t>Rezultatai nenumatomi.</w:t>
                  </w:r>
                </w:p>
              </w:sdtContent>
            </w:sdt>
            <w:sdt>
              <w:sdtPr>
                <w:alias w:val="10 p."/>
                <w:tag w:val="part_5f70ef6b146842598d980a7efcd10976"/>
                <w:lock w:val="sdtLocked"/>
                <w:richText/>
              </w:sdtPr>
              <w:sdtContent>
                <w:p>
                  <w:pPr>
                    <w:tabs>
                      <w:tab w:val="left" w:pos="993"/>
                    </w:tabs>
                    <w:spacing w:line="259" w:lineRule="auto"/>
                    <w:ind w:firstLine="709"/>
                    <w:jc w:val="both"/>
                    <w:rPr>
                      <w:b/>
                      <w:bCs/>
                      <w:kern w:val="2"/>
                      <w:szCs w:val="24"/>
                    </w:rPr>
                  </w:pPr>
                  <w:sdt>
                    <w:sdtPr>
                      <w:alias w:val="Numeris"/>
                      <w:tag w:val="nr_5f70ef6b146842598d980a7efcd10976"/>
                      <w:lock w:val="sdtLocked"/>
                      <w:richText/>
                    </w:sdtPr>
                    <w:sdtContent>
                      <w:r>
                        <w:rPr>
                          <w:b/>
                          <w:bCs/>
                          <w:szCs w:val="24"/>
                        </w:rPr>
                        <w:t>10</w:t>
                      </w:r>
                    </w:sdtContent>
                  </w:sdt>
                  <w:r>
                    <w:rPr>
                      <w:b/>
                      <w:bCs/>
                      <w:szCs w:val="24"/>
                    </w:rPr>
                    <w:t>.</w:t>
                    <w:tab/>
                  </w:r>
                  <w:r>
                    <w:rPr>
                      <w:b/>
                      <w:bCs/>
                      <w:kern w:val="2"/>
                      <w:szCs w:val="24"/>
                    </w:rPr>
                    <w:t>Sprendimo projekto antikorupcinis vertinimas.</w:t>
                  </w:r>
                </w:p>
                <w:p>
                  <w:pPr>
                    <w:rPr>
                      <w:sz w:val="14"/>
                      <w:szCs w:val="14"/>
                    </w:rPr>
                  </w:pPr>
                </w:p>
                <w:p>
                  <w:pPr>
                    <w:spacing w:line="259" w:lineRule="auto"/>
                    <w:ind w:firstLine="709"/>
                    <w:jc w:val="both"/>
                    <w:rPr>
                      <w:kern w:val="2"/>
                      <w:szCs w:val="24"/>
                    </w:rPr>
                  </w:pPr>
                  <w:r>
                    <w:rPr>
                      <w:kern w:val="2"/>
                      <w:szCs w:val="24"/>
                    </w:rPr>
                    <w:t>Visas teritorijų planavimo procesas yra viešai skelbiamas, visuomenė turi galimybę susipažinti su sprendiniais, dalyvauti procese, teikti pastabas ir pasiūlymus. Vertinimas nėra reikalingas.</w:t>
                  </w:r>
                </w:p>
              </w:sdtContent>
            </w:sdt>
            <w:sdt>
              <w:sdtPr>
                <w:alias w:val="11 p."/>
                <w:tag w:val="part_ac95588632944f82b815e141e7a8f337"/>
                <w:lock w:val="sdtLocked"/>
                <w:richText/>
              </w:sdtPr>
              <w:sdtContent>
                <w:p>
                  <w:pPr>
                    <w:spacing w:line="259" w:lineRule="auto"/>
                    <w:ind w:firstLine="709"/>
                    <w:jc w:val="both"/>
                    <w:rPr>
                      <w:b/>
                      <w:bCs/>
                      <w:kern w:val="2"/>
                      <w:szCs w:val="24"/>
                    </w:rPr>
                  </w:pPr>
                  <w:sdt>
                    <w:sdtPr>
                      <w:alias w:val="Numeris"/>
                      <w:tag w:val="nr_ac95588632944f82b815e141e7a8f337"/>
                      <w:lock w:val="sdtLocked"/>
                      <w:richText/>
                    </w:sdtPr>
                    <w:sdtContent>
                      <w:r>
                        <w:rPr>
                          <w:b/>
                          <w:bCs/>
                          <w:szCs w:val="24"/>
                        </w:rPr>
                        <w:t>11</w:t>
                      </w:r>
                    </w:sdtContent>
                  </w:sdt>
                  <w:r>
                    <w:rPr>
                      <w:b/>
                      <w:bCs/>
                      <w:szCs w:val="24"/>
                    </w:rPr>
                    <w:t>.</w:t>
                    <w:tab/>
                  </w:r>
                  <w:r>
                    <w:rPr>
                      <w:b/>
                      <w:bCs/>
                      <w:kern w:val="2"/>
                      <w:szCs w:val="24"/>
                    </w:rPr>
                    <w:t>Kiti, iniciatoriaus nuomone, reikalingi pagrindimai ir paaiškinimai.</w:t>
                  </w:r>
                </w:p>
                <w:p>
                  <w:pPr>
                    <w:rPr>
                      <w:sz w:val="14"/>
                      <w:szCs w:val="14"/>
                    </w:rPr>
                  </w:pPr>
                </w:p>
                <w:p>
                  <w:pPr>
                    <w:spacing w:line="259" w:lineRule="auto"/>
                    <w:ind w:firstLine="709"/>
                    <w:jc w:val="both"/>
                    <w:rPr>
                      <w:kern w:val="2"/>
                      <w:szCs w:val="24"/>
                    </w:rPr>
                  </w:pPr>
                  <w:r>
                    <w:rPr>
                      <w:kern w:val="2"/>
                      <w:szCs w:val="24"/>
                    </w:rPr>
                    <w:t>Nėra.</w:t>
                  </w:r>
                </w:p>
              </w:sdtContent>
            </w:sdt>
            <w:sdt>
              <w:sdtPr>
                <w:alias w:val="12 p."/>
                <w:tag w:val="part_8e598b1055414271b711b40f2c69ae31"/>
                <w:lock w:val="sdtLocked"/>
                <w:richText/>
              </w:sdtPr>
              <w:sdtContent>
                <w:p>
                  <w:pPr>
                    <w:spacing w:line="259" w:lineRule="auto"/>
                    <w:ind w:firstLine="709"/>
                    <w:jc w:val="both"/>
                    <w:rPr>
                      <w:b/>
                      <w:bCs/>
                      <w:kern w:val="2"/>
                      <w:szCs w:val="24"/>
                    </w:rPr>
                  </w:pPr>
                  <w:sdt>
                    <w:sdtPr>
                      <w:alias w:val="Numeris"/>
                      <w:tag w:val="nr_8e598b1055414271b711b40f2c69ae31"/>
                      <w:lock w:val="sdtLocked"/>
                      <w:richText/>
                    </w:sdtPr>
                    <w:sdtContent>
                      <w:r>
                        <w:rPr>
                          <w:b/>
                          <w:bCs/>
                          <w:szCs w:val="24"/>
                        </w:rPr>
                        <w:t>12</w:t>
                      </w:r>
                    </w:sdtContent>
                  </w:sdt>
                  <w:r>
                    <w:rPr>
                      <w:b/>
                      <w:bCs/>
                      <w:szCs w:val="24"/>
                    </w:rPr>
                    <w:t>.</w:t>
                    <w:tab/>
                  </w:r>
                  <w:r>
                    <w:rPr>
                      <w:b/>
                      <w:bCs/>
                      <w:kern w:val="2"/>
                      <w:szCs w:val="24"/>
                    </w:rPr>
                    <w:t>Pridedami dokumentai.</w:t>
                  </w:r>
                </w:p>
                <w:p>
                  <w:pPr>
                    <w:rPr>
                      <w:sz w:val="14"/>
                      <w:szCs w:val="14"/>
                    </w:rPr>
                  </w:pPr>
                </w:p>
                <w:p>
                  <w:pPr>
                    <w:spacing w:line="259" w:lineRule="auto"/>
                    <w:ind w:firstLine="709"/>
                    <w:jc w:val="both"/>
                    <w:rPr>
                      <w:kern w:val="2"/>
                      <w:szCs w:val="24"/>
                    </w:rPr>
                  </w:pPr>
                  <w:r>
                    <w:rPr>
                      <w:kern w:val="2"/>
                      <w:szCs w:val="24"/>
                    </w:rPr>
                    <w:t>Pridedamų dokumentų nėra.</w:t>
                  </w:r>
                </w:p>
                <w:p>
                  <w:pPr>
                    <w:rPr>
                      <w:sz w:val="14"/>
                      <w:szCs w:val="14"/>
                    </w:rPr>
                  </w:pPr>
                </w:p>
                <w:p>
                  <w:pPr>
                    <w:tabs>
                      <w:tab w:val="left" w:pos="851"/>
                    </w:tabs>
                    <w:spacing w:line="259" w:lineRule="auto"/>
                    <w:jc w:val="both"/>
                    <w:rPr>
                      <w:kern w:val="2"/>
                      <w:szCs w:val="24"/>
                    </w:rPr>
                  </w:pPr>
                </w:p>
                <w:p>
                  <w:pPr>
                    <w:tabs>
                      <w:tab w:val="left" w:pos="851"/>
                    </w:tabs>
                    <w:spacing w:line="259" w:lineRule="auto"/>
                    <w:jc w:val="both"/>
                    <w:rPr>
                      <w:kern w:val="2"/>
                      <w:szCs w:val="24"/>
                    </w:rPr>
                  </w:pPr>
                </w:p>
                <w:p>
                  <w:pPr>
                    <w:tabs>
                      <w:tab w:val="left" w:pos="851"/>
                    </w:tabs>
                    <w:spacing w:line="259" w:lineRule="auto"/>
                    <w:jc w:val="both"/>
                    <w:rPr>
                      <w:kern w:val="2"/>
                      <w:szCs w:val="24"/>
                    </w:rPr>
                  </w:pPr>
                </w:p>
              </w:sdtContent>
            </w:sdt>
          </w:sdtContent>
        </w:sdt>
        <w:sdt>
          <w:sdtPr>
            <w:alias w:val="signatura"/>
            <w:tag w:val="part_5da362cf5685432480af8912ef227657"/>
            <w:lock w:val="sdtLocked"/>
            <w:richText/>
          </w:sdtPr>
          <w:sdtContent>
            <w:p>
              <w:pPr>
                <w:tabs>
                  <w:tab w:val="left" w:pos="851"/>
                </w:tabs>
                <w:jc w:val="both"/>
                <w:rPr>
                  <w:kern w:val="2"/>
                  <w:szCs w:val="24"/>
                </w:rPr>
              </w:pPr>
              <w:r>
                <w:rPr>
                  <w:kern w:val="2"/>
                  <w:szCs w:val="24"/>
                </w:rPr>
                <w:t xml:space="preserve">Architektūros ir urbanistikos skyriaus vyr. specialistė                                            Ingrida Grigalaitienė</w:t>
              </w:r>
            </w:p>
            <w:p>
              <w:pPr>
                <w:tabs>
                  <w:tab w:val="left" w:pos="851"/>
                </w:tabs>
                <w:ind w:firstLine="851"/>
                <w:jc w:val="both"/>
                <w:rPr>
                  <w:kern w:val="2"/>
                  <w:sz w:val="20"/>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82"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14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02DDA4-A657-4D49-B7CA-9D4B10D4646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3148300">
      <w:bodyDiv w:val="1"/>
      <w:marLeft w:val="0"/>
      <w:marRight w:val="0"/>
      <w:marTop w:val="0"/>
      <w:marBottom w:val="0"/>
      <w:divBdr>
        <w:top w:val="none" w:sz="0" w:space="0" w:color="auto"/>
        <w:left w:val="none" w:sz="0" w:space="0" w:color="auto"/>
        <w:bottom w:val="none" w:sz="0" w:space="0" w:color="auto"/>
        <w:right w:val="none" w:sz="0" w:space="0" w:color="auto"/>
      </w:divBdr>
      <w:divsChild>
        <w:div w:id="2141798610">
          <w:marLeft w:val="0"/>
          <w:marRight w:val="0"/>
          <w:marTop w:val="0"/>
          <w:marBottom w:val="0"/>
          <w:divBdr>
            <w:top w:val="none" w:sz="0" w:space="0" w:color="auto"/>
            <w:left w:val="none" w:sz="0" w:space="0" w:color="auto"/>
            <w:bottom w:val="none" w:sz="0" w:space="0" w:color="auto"/>
            <w:right w:val="none" w:sz="0" w:space="0" w:color="auto"/>
          </w:divBdr>
        </w:div>
        <w:div w:id="1270964568">
          <w:marLeft w:val="0"/>
          <w:marRight w:val="0"/>
          <w:marTop w:val="0"/>
          <w:marBottom w:val="0"/>
          <w:divBdr>
            <w:top w:val="none" w:sz="0" w:space="0" w:color="auto"/>
            <w:left w:val="none" w:sz="0" w:space="0" w:color="auto"/>
            <w:bottom w:val="none" w:sz="0" w:space="0" w:color="auto"/>
            <w:right w:val="none" w:sz="0" w:space="0" w:color="auto"/>
          </w:divBdr>
        </w:div>
        <w:div w:id="21358299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d01031d013544bb84f0bafcc8d549ee" PartId="08ed798780a340b1952de56939877bf6">
    <Part Type="preambule" DocPartId="9b5d43251aa8408797191118fd3a7603" PartId="0123371e48ad4b80a731ccce9213e7b8"/>
    <Part Type="punktas" Nr="1" Abbr="1 p." DocPartId="039542f52d0449a5b2726ae086512a65" PartId="bfbd1692ad6c44979a92470b3bce8458"/>
    <Part Type="punktas" Nr="2" Abbr="2 p." DocPartId="041acb844d454d5dac38fdd3b78b41b5" PartId="dbd059d244ca49a7bb111766788cea18"/>
    <Part Type="punktas" Nr="3" Abbr="3 p." DocPartId="7f174667cff14760aa6a8645d46c33e4" PartId="ea891bde6cde4a0cad02dd6424fb248b"/>
    <Part Type="skirsnis" Title="RADVILIŠKIO RAJONO SAVIVALDYBĖS TARYBOS SPRENDIMO PROJEKTO „DĖL RADVILIŠKIO RAJONO SAVIVALDYBĖS TERITORIJOS BENDROJO PLANO DALIES KOREGAVIMO PATVIRTINIMO“ AIŠKINAMASIS RAŠTAS" DocPartId="59b73ac4fea54a5088a757e57e02d86f" PartId="df1b7915041c4d2a98ec1b2ade73886f">
      <Part Type="punktas" Nr="1" Abbr="1 p." DocPartId="061a0fab5ae44f1dac1fc5ea9f04cb85" PartId="8455a2589c7c410d90d0c4a308311c92">
        <Part Type="strPapunktis" Nr="a" Abbr="1 p. a pp." DocPartId="eec84207e39a403db3f10969c3308cc9" PartId="1735b888485b4f318ae8177afae4c97a"/>
        <Part Type="strPapunktis" Nr="b" Abbr="1 p. b pp." DocPartId="ff80260b59754894a8a3a0939e88ed85" PartId="4ab2a40bc3354f1ba8ce4d18e8e7bfd9"/>
        <Part Type="strPapunktis" Nr="c" Abbr="1 p. c pp." DocPartId="bcf89314c62c46ffa2fa70d26f7e3d46" PartId="4875b8deda5c4fc1ac83e2fb1ae97aa7"/>
      </Part>
      <Part Type="punktas" Nr="2" Abbr="2 p." DocPartId="7a2313c4d31642a99df7969ba49abc05" PartId="36635bb6ce8a4328835d32f3d73f896a"/>
      <Part Type="punktas" Nr="3" Abbr="3 p." DocPartId="153c2872da2c42a1ac752bcf90956fa9" PartId="17b69521298a487d8d996e6dccacba30"/>
    </Part>
    <Part Type="skirsnis" Title="Galimi sprendimo priėmimo padariniai (teigiami ir (ar) neigiami)." DocPartId="74c71f40c8764b6ab684522230e2eb6c" PartId="d23c25ee03384841ac5c1b4c95acdee6">
      <Part Type="punktas" Nr="4" Abbr="4 p." DocPartId="975c81ee9a9c47ada3adae600882495b" PartId="7b744780ff074f24a49bd60df6aa30a2"/>
      <Part Type="punktas" Nr="5" Abbr="5 p." DocPartId="a5cf9971549f4d9fb4e80eab11919b58" PartId="3d9ba53472a843a8815b5bd22479dc72"/>
      <Part Type="punktas" Nr="6" Abbr="6 p." DocPartId="9fe86e5a8e72478fbf1eb46378de8dc9" PartId="d635c3a9250c4f55b97f15c36935058a"/>
      <Part Type="punktas" Nr="7" Abbr="7 p." DocPartId="8ce65abc6dc1443cb30b3af2ed7b433c" PartId="882352ccba2d4f6a9041745de064f5b4"/>
      <Part Type="punktas" Nr="8" Abbr="8 p." DocPartId="bfb5092fe2334de7ba7135ed471af776" PartId="fd905ca2a1214623a247a789b055821a"/>
      <Part Type="punktas" Nr="9" Abbr="9 p." DocPartId="42366471f54d4c239e8fb3fbc4a8cf77" PartId="48244fe2b27a461d99cf5393ee7e7802"/>
      <Part Type="punktas" Nr="10" Abbr="10 p." DocPartId="fe0fb6e3b37949b3ab5c630afc11bd15" PartId="5f70ef6b146842598d980a7efcd10976"/>
      <Part Type="punktas" Nr="11" Abbr="11 p." DocPartId="1b39fb46b098439cb0d8f3dd1f6556b9" PartId="ac95588632944f82b815e141e7a8f337"/>
      <Part Type="punktas" Nr="12" Abbr="12 p." DocPartId="4d94da7000ad46a9b9e7d400f94e17b5" PartId="8e598b1055414271b711b40f2c69ae31"/>
    </Part>
    <Part Type="signatura" DocPartId="0702642b7bce4a2f949804a716f3e95a" PartId="5da362cf5685432480af8912ef227657"/>
  </Part>
</Parts>
</file>

<file path=customXml/itemProps1.xml><?xml version="1.0" encoding="utf-8"?>
<ds:datastoreItem xmlns:ds="http://schemas.openxmlformats.org/officeDocument/2006/customXml" ds:itemID="{30F088F2-0770-4A15-9501-9B7C35B7C6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868</Words>
  <Characters>6552</Characters>
  <Application>Microsoft Office Word</Application>
  <DocSecurity>4</DocSecurity>
  <Lines>121</Lines>
  <Paragraphs>55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7365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2025-08-13T06:48:00Z</dcterms:created>
  <dc:creator>Radviliskis Architektura</dc:creator>
  <lastModifiedBy>adlibuser</lastModifiedBy>
  <lastPrinted>2024-05-30T06:17:00Z</lastPrinted>
  <dcterms:modified xsi:type="dcterms:W3CDTF">2025-08-13T06:48:00Z</dcterms:modified>
  <revision>2</revision>
</coreProperties>
</file>