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7864b609378497fb00c66b92d72ba36"/>
        <w:lock w:val="sdtLocked"/>
        <w:richText/>
      </w:sdtPr>
      <w:sdtContent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SUTIKIMO / NESUTIKIMO, KAD UAB „AMBER GAMING“ ATIDARYTŲ AR STEIGTŲ LOŠIMŲ ORGANIZAVIMO VIETĄ 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                   d.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tabs>
              <w:tab w:val="left" w:pos="72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line="23" w:lineRule="atLeast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60692c89318548e79c0da74de7abaeec"/>
            <w:lock w:val="sdtLocked"/>
            <w:richText/>
          </w:sdtPr>
          <w:sdtContent>
            <w:p>
              <w:pPr>
                <w:tabs>
                  <w:tab w:val="left" w:pos="72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23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</w:t>
              </w:r>
              <w:r>
                <w:rPr>
                  <w:color w:val="000000"/>
                  <w:spacing w:val="-6"/>
                  <w:lang w:eastAsia="lt-LT"/>
                </w:rPr>
                <w:t>Lietuvos Respublikos vietos savivaldos įstatymo 16 straipsnio 1 dalimi,</w:t>
              </w:r>
              <w:r>
                <w:rPr>
                  <w:lang w:eastAsia="lt-LT"/>
                </w:rPr>
                <w:t xml:space="preserve"> Lietuvos Respublikos azartinių lošimų įstatymo 24</w:t>
              </w:r>
              <w:r>
                <w:rPr>
                  <w:vertAlign w:val="superscript"/>
                  <w:lang w:eastAsia="lt-LT"/>
                </w:rPr>
                <w:t>1</w:t>
              </w:r>
              <w:r>
                <w:rPr>
                  <w:lang w:eastAsia="lt-LT"/>
                </w:rPr>
                <w:t xml:space="preserve"> straipsnio 2 dalimi, įgyvendindama Lošimų organizavimo vietos poveikio vertinimo kriterijų ir prašymų nagrinėjimo tvarkos aprašo, patvirtinto Šiaulių miesto savivaldybės tarybos 2022 m. liepos 7 d. sprendimo Nr. T-293 „Dėl Lošimų organizavimo vietos poveikio vertinimo kriterijų ir prašymų nagrinėjimo tvarkos aprašo patvirtinimo“ 1 punktu (toliau </w:t>
              </w:r>
              <w:r>
                <w:rPr>
                  <w:rFonts w:ascii="Courier New" w:eastAsia="Lucida Sans Unicode" w:hAnsi="Courier New" w:cs="Tahoma"/>
                  <w:sz w:val="20"/>
                  <w:lang w:eastAsia="lt-LT"/>
                </w:rPr>
                <w:t>–</w:t>
              </w:r>
              <w:r>
                <w:rPr>
                  <w:color w:val="000000"/>
                  <w:szCs w:val="24"/>
                  <w:lang w:eastAsia="lt-LT"/>
                </w:rPr>
                <w:t>Vertinimo tvarkos aprašas)</w:t>
              </w:r>
              <w:r>
                <w:rPr>
                  <w:lang w:eastAsia="lt-LT"/>
                </w:rPr>
                <w:t>, 21 punktą, atsižvelgdama į UAB „Amber Gaming“</w:t>
              </w:r>
              <w:r>
                <w:rPr>
                  <w:rFonts w:ascii="Courier New" w:hAnsi="Courier New" w:cs="Courier New"/>
                  <w:bCs/>
                  <w:sz w:val="20"/>
                  <w:lang w:eastAsia="lt-LT"/>
                </w:rPr>
                <w:t xml:space="preserve"> </w:t>
              </w:r>
              <w:r>
                <w:rPr>
                  <w:bCs/>
                  <w:szCs w:val="24"/>
                  <w:lang w:eastAsia="lt-LT"/>
                </w:rPr>
                <w:t>(įm. k. 305600386)</w:t>
              </w:r>
              <w:r>
                <w:rPr>
                  <w:lang w:eastAsia="lt-LT"/>
                </w:rPr>
                <w:t xml:space="preserve"> 2023-05-12 prašymą gauti sutikimą atidaryti ar steigti lošimų organizavimo vietą ir Lošimų organizavimo vietos poveikio vertinimo komisijos rekomendaciją (</w:t>
              </w:r>
              <w:r>
                <w:rPr>
                  <w:color w:val="000000"/>
                  <w:szCs w:val="24"/>
                  <w:lang w:eastAsia="lt-LT"/>
                </w:rPr>
                <w:t>Vertinimo tvarkos aprašo priedas prie</w:t>
              </w:r>
              <w:r>
                <w:rPr>
                  <w:lang w:eastAsia="lt-LT"/>
                </w:rPr>
                <w:t xml:space="preserve"> 2023-05-26 protokolo Nr. VAK-263)</w:t>
              </w:r>
              <w:r>
                <w:rPr>
                  <w:color w:val="000000"/>
                  <w:spacing w:val="-6"/>
                  <w:lang w:eastAsia="lt-LT"/>
                </w:rPr>
                <w:t>,</w:t>
              </w:r>
              <w:r>
                <w:rPr>
                  <w:rFonts w:ascii="Courier New" w:hAnsi="Courier New" w:cs="Courier New"/>
                  <w:color w:val="000000"/>
                  <w:spacing w:val="-6"/>
                  <w:sz w:val="20"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 xml:space="preserve">Šiaulių miesto savivaldybės taryba </w:t>
              </w:r>
              <w:r>
                <w:rPr>
                  <w:spacing w:val="40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109766f6b0d44198b28b44f0904b5c51"/>
            <w:lock w:val="sdtLocked"/>
            <w:richText/>
          </w:sdtPr>
          <w:sdtContent>
            <w:p>
              <w:pPr>
                <w:tabs>
                  <w:tab w:val="left" w:pos="72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23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Sutikti / Nesutikti, kad UAB „Amber Gaming“ atidarytų ar steigtų lošimų organizavimo vietą Tilžės g. 121A-1, Šiauliuose. </w:t>
              </w:r>
            </w:p>
          </w:sdtContent>
        </w:sdt>
        <w:sdt>
          <w:sdtPr>
            <w:alias w:val="signatura"/>
            <w:tag w:val="part_d9af7a969f574f908d63e66b5a36e784"/>
            <w:lock w:val="sdtLocked"/>
            <w:richText/>
          </w:sdtPr>
          <w:sdtContent>
            <w:p>
              <w:pPr>
                <w:tabs>
                  <w:tab w:val="left" w:pos="851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rFonts w:ascii="LiberationSerif" w:hAnsi="LiberationSerif" w:cs="LiberationSerif"/>
                  <w:szCs w:val="24"/>
                  <w:lang w:eastAsia="lt-LT"/>
                </w:rPr>
                <w:t xml:space="preserve">Šis sprendimas ne vėliau kaip per vieną mėnesį nuo jo įteikimo dienos gali būti skundžiamas paduodant skundą Lietuvos administracinių ginčų komisijos Šiaulių apygardos skyriui adresu:             Dvaro g. 81, Šiauliai, arba Regionų apygardos administraciniam teismui bet kuriuose šio teismo rūmuose.</w:t>
              </w:r>
            </w:p>
            <w:p>
              <w:pPr>
                <w:tabs>
                  <w:tab w:val="left" w:pos="72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23" w:lineRule="atLeast"/>
                <w:jc w:val="both"/>
                <w:rPr>
                  <w:lang w:eastAsia="lt-LT"/>
                </w:rPr>
              </w:pPr>
            </w:p>
            <w:p>
              <w:pPr>
                <w:ind w:left="360"/>
                <w:jc w:val="both"/>
                <w:rPr>
                  <w:szCs w:val="24"/>
                  <w:lang w:eastAsia="lt-LT"/>
                </w:rPr>
              </w:pPr>
            </w:p>
            <w:p>
              <w:pPr>
                <w:ind w:left="360"/>
                <w:jc w:val="both"/>
                <w:rPr>
                  <w:szCs w:val="24"/>
                  <w:lang w:eastAsia="lt-LT"/>
                </w:rPr>
              </w:pPr>
            </w:p>
            <w:p>
              <w:pPr>
                <w:ind w:left="360"/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                                                                                             </w:t>
              </w:r>
            </w:p>
            <w:p>
              <w:pPr>
                <w:ind w:left="360"/>
                <w:jc w:val="both"/>
                <w:rPr>
                  <w:szCs w:val="24"/>
                  <w:lang w:eastAsia="lt-LT"/>
                </w:rPr>
              </w:pPr>
            </w:p>
            <w:p>
              <w:pPr>
                <w:ind w:left="360"/>
                <w:jc w:val="both"/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iberationSerif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right"/>
      <w:rPr>
        <w:b/>
        <w:bCs/>
        <w:szCs w:val="24"/>
        <w:lang w:eastAsia="lt-LT"/>
      </w:rPr>
    </w:pPr>
    <w:r>
      <w:rPr>
        <w:b/>
        <w:bCs/>
        <w:szCs w:val="24"/>
        <w:lang w:eastAsia="lt-LT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5DCE9A65-3EBA-44C8-831B-5E7975F6B59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7747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e6ffca31d374935a2e94fc2e2dac3c1" PartId="57864b609378497fb00c66b92d72ba36">
    <Part Type="preambule" DocPartId="250c5e17734041249fe6007288d99862" PartId="60692c89318548e79c0da74de7abaeec"/>
    <Part Type="pastraipa" DocPartId="5571be3075814a73b33cb5b9cde7dcd9" PartId="109766f6b0d44198b28b44f0904b5c51"/>
    <Part Type="signatura" DocPartId="d869b2edb3704e6e93da430ea8018f95" PartId="d9af7a969f574f908d63e66b5a36e784"/>
  </Part>
</Parts>
</file>

<file path=customXml/itemProps1.xml><?xml version="1.0" encoding="utf-8"?>
<ds:datastoreItem xmlns:ds="http://schemas.openxmlformats.org/officeDocument/2006/customXml" ds:itemID="{8537DF26-F860-4B72-8270-DDDC058239F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207</Words>
  <Characters>1392</Characters>
  <Application>Microsoft Office Word</Application>
  <DocSecurity>4</DocSecurity>
  <Lines>44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Tarifu skaicčiavimas 2009 - 2013m.</vt:lpstr>
      <vt:lpstr>Tarifu skaicčiavimas 2009 - 2013m.</vt:lpstr>
    </vt:vector>
  </TitlesOfParts>
  <Company>UAB "Šiaulių Vandenys"</Company>
  <LinksUpToDate>false</LinksUpToDate>
  <CharactersWithSpaces>1588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2023-06-20T11:20:00Z</dcterms:created>
  <dc:creator>Simona Virbukienė</dc:creator>
  <lastModifiedBy>adlibuser</lastModifiedBy>
  <lastPrinted>2022-09-13T11:01:00Z</lastPrinted>
  <dcterms:modified xsi:type="dcterms:W3CDTF">2023-06-20T11:20:00Z</dcterms:modified>
  <revision>2</revision>
  <dc:title>Tarifu skaicčiavimas 2009 - 2013m.</dc:title>
</coreProperties>
</file>