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ae678f5f1540afac94f544ef55015a"/>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2024-12-09 Nr. TR-471</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ILGALAIKĖS IR TRUMPALAIKĖS SOCIALINĖS GLOBOS PASLAUGŲ, TEIKIAMŲ VIEŠOSIOS ĮSTAIGOS MARIJAMPOLĖS PIRMINĖS SVEIKATOS PRIEŽIŪROS CENTRO SOCIALINĖS GLOBOS SKYRIUJE, KAINŲ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bc95173dc1314c71a135c5f3f658db95"/>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29 punktu, 16 straipsnio 1 dalimi, Mokėjimo už socialines paslaugas tvarkos aprašu, patvirtintu Lietuvos Respublikos socialinės apsaugos ir darbo ministro 2024 m. birželio 11 d. įsakymu Nr. </w:t>
              </w:r>
              <w:hyperlink r:id="rId14" w:history="1">
                <w:r>
                  <w:rPr>
                    <w:rFonts w:ascii="Verdana" w:hAnsi="Verdana"/>
                    <w:szCs w:val="24"/>
                    <w:lang w:eastAsia="lt-LT"/>
                  </w:rPr>
                  <w:t>A1-397</w:t>
                </w:r>
              </w:hyperlink>
              <w:r>
                <w:rPr>
                  <w:rFonts w:ascii="Verdana" w:hAnsi="Verdana"/>
                  <w:szCs w:val="24"/>
                  <w:lang w:eastAsia="lt-LT"/>
                </w:rPr>
                <w:t xml:space="preserve"> „Dėl Mokėjimo už socialines paslaugas tvarkos aprašo patvirtinimo“, Socialinių paslaugų finansavimo ir lėšų apskaičiavimo metodika, patvirtinta Lietuvos Respublikos socialinės apsaugos ir darbo ministro 2024 m. birželio 25 d. įsakymu Nr. </w:t>
              </w:r>
              <w:hyperlink r:id="rId15" w:history="1">
                <w:r>
                  <w:rPr>
                    <w:rFonts w:ascii="Verdana" w:hAnsi="Verdana"/>
                    <w:szCs w:val="24"/>
                    <w:lang w:eastAsia="lt-LT"/>
                  </w:rPr>
                  <w:t>A1-426</w:t>
                </w:r>
              </w:hyperlink>
              <w:r>
                <w:rPr>
                  <w:rFonts w:ascii="Verdana" w:hAnsi="Verdana"/>
                  <w:szCs w:val="24"/>
                  <w:lang w:eastAsia="lt-LT"/>
                </w:rPr>
                <w:t xml:space="preserve"> „Dėl Socialinių paslaugų finansavimo ir lėšų apskaičiavimo metodikos patvirtinimo“, Marijampolės savivaldybės gyventojų mokėjimo už socialines paslaugas tvarkos aprašu, patvirtintu Marijampolės savivaldybės tarybos 2024 m. rugpjūčio 26 d. sprendimu Nr. </w:t>
              </w:r>
              <w:hyperlink r:id="rId16" w:history="1">
                <w:r>
                  <w:rPr>
                    <w:rFonts w:ascii="Verdana" w:hAnsi="Verdana"/>
                    <w:szCs w:val="24"/>
                    <w:lang w:eastAsia="lt-LT"/>
                  </w:rPr>
                  <w:t>1-282</w:t>
                </w:r>
              </w:hyperlink>
              <w:r>
                <w:rPr>
                  <w:rFonts w:ascii="Verdana" w:hAnsi="Verdana"/>
                  <w:szCs w:val="24"/>
                  <w:lang w:eastAsia="lt-LT"/>
                </w:rPr>
                <w:t xml:space="preserve"> „Dėl Marijampolės savivaldybės gyventojų mokėjimo už socialines paslaugas tvarkos aprašo patvirtinimo“ ir atsižvelgdama į viešosios įstaigos Marijampolės pirminės sveikatos priežiūros centro 2024 m. lapkričio 22 d. raštą Nr. 1-1210 „Dėl socialinės globos paslaugų kainos 2025 metams tvirtinimo“, Marijampolės savivaldybės taryba </w:t>
              </w:r>
              <w:r>
                <w:rPr>
                  <w:rFonts w:ascii="Verdana" w:hAnsi="Verdana"/>
                  <w:spacing w:val="50"/>
                  <w:szCs w:val="24"/>
                  <w:lang w:eastAsia="lt-LT"/>
                </w:rPr>
                <w:t>nusprendžia</w:t>
              </w:r>
              <w:r>
                <w:rPr>
                  <w:rFonts w:ascii="Verdana" w:hAnsi="Verdana"/>
                  <w:szCs w:val="24"/>
                  <w:lang w:eastAsia="lt-LT"/>
                </w:rPr>
                <w:t>:</w:t>
              </w:r>
            </w:p>
          </w:sdtContent>
        </w:sdt>
        <w:sdt>
          <w:sdtPr>
            <w:alias w:val="1 p."/>
            <w:tag w:val="part_0be8f15081194936a42d9247c4df3bdd"/>
            <w:lock w:val="sdtLocked"/>
            <w:richText/>
          </w:sdtPr>
          <w:sdtContent>
            <w:p>
              <w:pPr>
                <w:ind w:firstLine="720"/>
                <w:jc w:val="both"/>
                <w:rPr>
                  <w:rFonts w:ascii="Verdana" w:hAnsi="Verdana"/>
                  <w:szCs w:val="24"/>
                  <w:lang w:eastAsia="lt-LT"/>
                </w:rPr>
              </w:pPr>
              <w:sdt>
                <w:sdtPr>
                  <w:alias w:val="Numeris"/>
                  <w:tag w:val="nr_0be8f15081194936a42d9247c4df3bdd"/>
                  <w:lock w:val="sdtLocked"/>
                  <w:richText/>
                </w:sdtPr>
                <w:sdtContent>
                  <w:r>
                    <w:rPr>
                      <w:rFonts w:ascii="Verdana" w:hAnsi="Verdana"/>
                      <w:szCs w:val="24"/>
                      <w:lang w:eastAsia="lt-LT"/>
                    </w:rPr>
                    <w:t>1</w:t>
                  </w:r>
                </w:sdtContent>
              </w:sdt>
              <w:r>
                <w:rPr>
                  <w:rFonts w:ascii="Verdana" w:hAnsi="Verdana"/>
                  <w:szCs w:val="24"/>
                  <w:lang w:eastAsia="lt-LT"/>
                </w:rPr>
                <w:t>. Patvirtinti viešosios įstaigos Marijampolės pirminės sveikatos priežiūros centro Socialinės globos skyriuje teikiamų ilgalaikės ir trumpalaikės socialinės globos paslaugų kainas per mėnesį:</w:t>
              </w:r>
            </w:p>
            <w:sdt>
              <w:sdtPr>
                <w:alias w:val="1.1 pp."/>
                <w:tag w:val="part_af56d0de1d7e4aa3be1ad090d7ad7f04"/>
                <w:lock w:val="sdtLocked"/>
                <w:richText/>
              </w:sdtPr>
              <w:sdtContent>
                <w:p>
                  <w:pPr>
                    <w:ind w:firstLine="709"/>
                    <w:jc w:val="both"/>
                    <w:rPr>
                      <w:rFonts w:ascii="Verdana" w:hAnsi="Verdana"/>
                      <w:szCs w:val="24"/>
                      <w:lang w:eastAsia="lt-LT"/>
                    </w:rPr>
                  </w:pPr>
                  <w:sdt>
                    <w:sdtPr>
                      <w:alias w:val="Numeris"/>
                      <w:tag w:val="nr_af56d0de1d7e4aa3be1ad090d7ad7f04"/>
                      <w:lock w:val="sdtLocked"/>
                      <w:richText/>
                    </w:sdtPr>
                    <w:sdtContent>
                      <w:r>
                        <w:rPr>
                          <w:rFonts w:ascii="Verdana" w:hAnsi="Verdana"/>
                          <w:szCs w:val="24"/>
                          <w:lang w:eastAsia="lt-LT"/>
                        </w:rPr>
                        <w:t>1.1</w:t>
                      </w:r>
                    </w:sdtContent>
                  </w:sdt>
                  <w:r>
                    <w:rPr>
                      <w:rFonts w:ascii="Verdana" w:hAnsi="Verdana"/>
                      <w:szCs w:val="24"/>
                      <w:lang w:eastAsia="lt-LT"/>
                    </w:rPr>
                    <w:t>. asmeniui su sunkia negalia – 1741,47 Eur;</w:t>
                  </w:r>
                </w:p>
              </w:sdtContent>
            </w:sdt>
            <w:sdt>
              <w:sdtPr>
                <w:alias w:val="1.2 pp."/>
                <w:tag w:val="part_c9606d7eb20146ae8900d3a923ca93c4"/>
                <w:lock w:val="sdtLocked"/>
                <w:richText/>
              </w:sdtPr>
              <w:sdtContent>
                <w:p>
                  <w:pPr>
                    <w:ind w:left="709"/>
                    <w:jc w:val="both"/>
                    <w:rPr>
                      <w:rFonts w:ascii="Verdana" w:hAnsi="Verdana"/>
                      <w:szCs w:val="24"/>
                      <w:lang w:eastAsia="lt-LT"/>
                    </w:rPr>
                  </w:pPr>
                  <w:sdt>
                    <w:sdtPr>
                      <w:alias w:val="Numeris"/>
                      <w:tag w:val="nr_c9606d7eb20146ae8900d3a923ca93c4"/>
                      <w:lock w:val="sdtLocked"/>
                      <w:richText/>
                    </w:sdtPr>
                    <w:sdtContent>
                      <w:r>
                        <w:rPr>
                          <w:rFonts w:ascii="Verdana" w:hAnsi="Verdana"/>
                          <w:szCs w:val="24"/>
                          <w:lang w:eastAsia="lt-LT"/>
                        </w:rPr>
                        <w:t>1.2</w:t>
                      </w:r>
                    </w:sdtContent>
                  </w:sdt>
                  <w:r>
                    <w:rPr>
                      <w:rFonts w:ascii="Verdana" w:hAnsi="Verdana"/>
                      <w:szCs w:val="24"/>
                      <w:lang w:eastAsia="lt-LT"/>
                    </w:rPr>
                    <w:t>. asmeniui su negalia – 1630,80 Eur.</w:t>
                  </w:r>
                </w:p>
              </w:sdtContent>
            </w:sdt>
          </w:sdtContent>
        </w:sdt>
        <w:sdt>
          <w:sdtPr>
            <w:alias w:val="2 p."/>
            <w:tag w:val="part_2d81fa24479a42b193785e3933b48b54"/>
            <w:lock w:val="sdtLocked"/>
            <w:richText/>
          </w:sdtPr>
          <w:sdtContent>
            <w:p>
              <w:pPr>
                <w:tabs>
                  <w:tab w:val="left" w:pos="5557"/>
                  <w:tab w:val="left" w:pos="6840"/>
                  <w:tab w:val="left" w:pos="7020"/>
                </w:tabs>
                <w:ind w:firstLine="709"/>
                <w:jc w:val="both"/>
                <w:rPr>
                  <w:rFonts w:ascii="Verdana" w:hAnsi="Verdana"/>
                  <w:szCs w:val="24"/>
                  <w:lang w:eastAsia="lt-LT"/>
                </w:rPr>
              </w:pPr>
              <w:sdt>
                <w:sdtPr>
                  <w:alias w:val="Numeris"/>
                  <w:tag w:val="nr_2d81fa24479a42b193785e3933b48b54"/>
                  <w:lock w:val="sdtLocked"/>
                  <w:richText/>
                </w:sdtPr>
                <w:sdtContent>
                  <w:r>
                    <w:rPr>
                      <w:rFonts w:ascii="Verdana" w:hAnsi="Verdana"/>
                      <w:szCs w:val="24"/>
                      <w:lang w:eastAsia="lt-LT"/>
                    </w:rPr>
                    <w:t>2</w:t>
                  </w:r>
                </w:sdtContent>
              </w:sdt>
              <w:r>
                <w:rPr>
                  <w:rFonts w:ascii="Verdana" w:hAnsi="Verdana"/>
                  <w:szCs w:val="24"/>
                  <w:lang w:eastAsia="lt-LT"/>
                </w:rPr>
                <w:t xml:space="preserve">. Pripažinti netekusiu galios Marijampolės savivaldybės tarybos </w:t>
              </w:r>
              <w:r>
                <w:rPr>
                  <w:rFonts w:ascii="Verdana" w:hAnsi="Verdana"/>
                  <w:color w:val="000000"/>
                  <w:szCs w:val="24"/>
                  <w:shd w:val="clear" w:color="auto" w:fill="FFFFFF"/>
                  <w:lang w:eastAsia="lt-LT"/>
                </w:rPr>
                <w:t>2023 m. gruodžio 22 d.</w:t>
              </w:r>
              <w:r>
                <w:rPr>
                  <w:rFonts w:ascii="Verdana" w:hAnsi="Verdana"/>
                  <w:szCs w:val="24"/>
                  <w:lang w:eastAsia="lt-LT"/>
                </w:rPr>
                <w:t xml:space="preserve"> sprendimą Nr. </w:t>
              </w:r>
              <w:hyperlink r:id="rId17" w:history="1">
                <w:r>
                  <w:rPr>
                    <w:rFonts w:ascii="Verdana" w:hAnsi="Verdana"/>
                    <w:szCs w:val="24"/>
                    <w:lang w:eastAsia="lt-LT"/>
                  </w:rPr>
                  <w:t>1-385</w:t>
                </w:r>
              </w:hyperlink>
              <w:r>
                <w:rPr>
                  <w:rFonts w:ascii="Verdana" w:hAnsi="Verdana"/>
                  <w:szCs w:val="24"/>
                  <w:lang w:eastAsia="lt-LT"/>
                </w:rPr>
                <w:t xml:space="preserve"> „Dėl ilgalaikės ir trumpalaikės socialinės globos paslaugų, teikiamų viešosios įstaigos Marijampolės pirminės sveikatos priežiūros centro Socialinės globos skyriuje, kainos patvirtinimo“.</w:t>
              </w:r>
            </w:p>
          </w:sdtContent>
        </w:sdt>
        <w:sdt>
          <w:sdtPr>
            <w:alias w:val="3 p."/>
            <w:tag w:val="part_2d7c85b8f28241229b77fc24872b51b8"/>
            <w:lock w:val="sdtLocked"/>
            <w:richText/>
          </w:sdtPr>
          <w:sdtContent>
            <w:p>
              <w:pPr>
                <w:ind w:firstLine="720"/>
                <w:jc w:val="both"/>
                <w:rPr>
                  <w:rFonts w:ascii="Verdana" w:hAnsi="Verdana"/>
                  <w:szCs w:val="24"/>
                  <w:lang w:eastAsia="lt-LT"/>
                </w:rPr>
              </w:pPr>
              <w:sdt>
                <w:sdtPr>
                  <w:alias w:val="Numeris"/>
                  <w:tag w:val="nr_2d7c85b8f28241229b77fc24872b51b8"/>
                  <w:lock w:val="sdtLocked"/>
                  <w:richText/>
                </w:sdtPr>
                <w:sdtContent>
                  <w:r>
                    <w:rPr>
                      <w:rFonts w:ascii="Verdana" w:hAnsi="Verdana"/>
                      <w:szCs w:val="24"/>
                      <w:lang w:eastAsia="lt-LT"/>
                    </w:rPr>
                    <w:t>3</w:t>
                  </w:r>
                </w:sdtContent>
              </w:sdt>
              <w:r>
                <w:rPr>
                  <w:rFonts w:ascii="Verdana" w:hAnsi="Verdana"/>
                  <w:szCs w:val="24"/>
                  <w:lang w:eastAsia="lt-LT"/>
                </w:rPr>
                <w:t>. Nustatyti, kad šis sprendimas įsigalioja 2025 m. sausio 1 d.</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Rasa Matusienė</w:t>
              </w:r>
            </w:p>
            <w:p>
              <w:pPr>
                <w:rPr>
                  <w:rFonts w:ascii="Verdana" w:hAnsi="Verdana"/>
                  <w:szCs w:val="24"/>
                  <w:lang w:eastAsia="lt-LT"/>
                </w:rPr>
                <w:sectPr>
                  <w:headerReference w:type="first" r:id="rId18"/>
                  <w:type w:val="continuous"/>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sdtContent>
        </w:sdt>
        <w:sdt>
          <w:sdtPr>
            <w:alias w:val="skirsnis"/>
            <w:tag w:val="part_45625f58c69949b996d677ee9fce18dc"/>
            <w:lock w:val="sdtLocked"/>
            <w:richText/>
          </w:sdtPr>
          <w:sdtContent>
            <w:p>
              <w:pPr>
                <w:jc w:val="center"/>
                <w:rPr>
                  <w:rFonts w:ascii="Verdana" w:hAnsi="Verdana"/>
                  <w:b/>
                  <w:szCs w:val="24"/>
                  <w:lang w:eastAsia="lt-LT"/>
                </w:rPr>
              </w:pPr>
              <w:sdt>
                <w:sdtPr>
                  <w:alias w:val="Pavadinimas"/>
                  <w:tag w:val="title_45625f58c69949b996d677ee9fce18dc"/>
                  <w:lock w:val="sdtLocked"/>
                  <w:richText/>
                </w:sdtPr>
                <w:sdtContent>
                  <w:r>
                    <w:rPr>
                      <w:rFonts w:ascii="Verdana" w:hAnsi="Verdana"/>
                      <w:b/>
                      <w:szCs w:val="24"/>
                      <w:lang w:eastAsia="lt-LT"/>
                    </w:rPr>
                    <w:t>MARIJAMPOLĖS SAVIVALDYBĖS ADMINISTRACIJOS</w:t>
                  </w:r>
                </w:sdtContent>
              </w:sdt>
            </w:p>
          </w:sdtContent>
        </w:sdt>
        <w:sdt>
          <w:sdtPr>
            <w:alias w:val="skyrius"/>
            <w:tag w:val="part_6d6efc1a7c244da3b84bca42b9b4b964"/>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SOCIALINIŲ PASLAUGŲ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6d6efc1a7c244da3b84bca42b9b4b964"/>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ILGALAIKĖS IR TRUMPALAIKĖS SOCIALINĖS GLOBOS PASLAUGŲ, TEIKIAMŲ VIEŠOSIOS ĮSTAIGOS MARIJAMPOLĖS PIRMINĖS SVEIKATOS PRIEŽIŪROS CENTRO SOCIALINĖS GLOBOS SKYRIUJE, KAINŲ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2"/>
                <w:gridCol w:w="7286"/>
              </w:tblGrid>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pavadinimas</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tabs>
                        <w:tab w:val="left" w:pos="5557"/>
                        <w:tab w:val="left" w:pos="6840"/>
                        <w:tab w:val="left" w:pos="7020"/>
                      </w:tabs>
                      <w:rPr>
                        <w:rFonts w:ascii="Verdana" w:hAnsi="Verdana"/>
                        <w:bCs/>
                        <w:szCs w:val="24"/>
                        <w:lang w:eastAsia="lt-LT"/>
                      </w:rPr>
                    </w:pPr>
                    <w:r>
                      <w:rPr>
                        <w:rFonts w:ascii="Verdana" w:hAnsi="Verdana"/>
                        <w:bCs/>
                        <w:szCs w:val="24"/>
                        <w:lang w:eastAsia="lt-LT"/>
                      </w:rPr>
                      <w:t>Dėl ilgalaikės ir trumpalaikės socialinės globos paslaugų, teikiamų viešosios įstaigos Marijampolės pirminės sveikatos priežiūros centro Socialinės globos skyriuje, kainų patvirtinimo</w:t>
                    </w:r>
                  </w:p>
                </w:tc>
              </w:tr>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 w:val="23"/>
                        <w:szCs w:val="23"/>
                        <w:lang w:eastAsia="lt-LT"/>
                      </w:rPr>
                    </w:pPr>
                    <w:r>
                      <w:rPr>
                        <w:rFonts w:ascii="Verdana" w:hAnsi="Verdana"/>
                        <w:szCs w:val="24"/>
                        <w:lang w:eastAsia="lt-LT"/>
                      </w:rPr>
                      <w:t>Parengto sprendimo projekto tikslai ir uždaviniai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Tikslas – patvirtinti viešosios įstaigos Marijampolės pirminės sveikatos priežiūros centro (toliau – Įstaiga) Socialinės globos skyriuje (toliau – Skyrius) teikiamų ilgalaikės ir trumpalaikės socialinės globos paslaugų kainas</w:t>
                    </w:r>
                  </w:p>
                </w:tc>
              </w:tr>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 w:val="23"/>
                        <w:szCs w:val="23"/>
                        <w:lang w:eastAsia="lt-LT"/>
                      </w:rPr>
                    </w:pPr>
                    <w:r>
                      <w:rPr>
                        <w:rFonts w:ascii="Verdana" w:hAnsi="Verdana"/>
                        <w:szCs w:val="24"/>
                        <w:lang w:eastAsia="lt-LT"/>
                      </w:rPr>
                      <w:t>Numatomos naujos teisinio reglamentavimo nuostatos, priėmus sprendimą laukiami rezultatai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Priėmus siūlomą Tarybos sprendimo projektą, bus patvirtintos teikiamų paslaugų kainos, įvertinus patiriamas sąnaudas</w:t>
                    </w:r>
                  </w:p>
                </w:tc>
              </w:tr>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 w:val="23"/>
                        <w:szCs w:val="23"/>
                        <w:lang w:eastAsia="lt-LT"/>
                      </w:rPr>
                    </w:pPr>
                    <w:r>
                      <w:rPr>
                        <w:rFonts w:ascii="Verdana" w:hAnsi="Verdana"/>
                        <w:szCs w:val="24"/>
                        <w:lang w:eastAsia="lt-LT"/>
                      </w:rPr>
                      <w:t>Savivaldybės biudžeto lėšų poreikis ir šaltiniai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Socialinės paslaugos finansuojamos valstybės biudžeto, savivaldybės biudžeto ir asmens, gaunančio paslaugas, lėšomis. Per šių metų 11 mėn. iš savivaldybės biudžeto sumokėta 9 894,40 Eur ir iš valstybės biudžeto tikslinių dotacijų – 184 825,15 Eur.</w:t>
                    </w:r>
                  </w:p>
                </w:tc>
              </w:tr>
              <w:tr>
                <w:trPr>
                  <w:trHeight w:val="698"/>
                </w:trP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 w:val="23"/>
                        <w:szCs w:val="23"/>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ind w:left="21" w:firstLine="205"/>
                      <w:rPr>
                        <w:rFonts w:ascii="Verdana" w:hAnsi="Verdana"/>
                        <w:szCs w:val="24"/>
                        <w:shd w:val="clear" w:color="auto" w:fill="FFFFFF"/>
                        <w:lang w:eastAsia="lt-LT"/>
                      </w:rPr>
                    </w:pPr>
                    <w:r>
                      <w:rPr>
                        <w:rFonts w:ascii="Verdana" w:hAnsi="Verdana"/>
                        <w:szCs w:val="24"/>
                        <w:shd w:val="clear" w:color="auto" w:fill="FFFFFF"/>
                        <w:lang w:eastAsia="lt-LT"/>
                      </w:rPr>
                      <w:t xml:space="preserve">Įstaiga gyventojams teikia socialinės globos paslaugas. Socialinė globa – visuma paslaugų, kuriomis visiškai nesavarankiškam asmeniui teikiama kompleksinė, nuolatinės specialistų priežiūros reikalaujanti pagalba. Į socialinės globos įstaigas nukreipiami asmenys, kuriems nustatytas ilgalaikės  (trumpalaikės) socialinės globos poreikis, reikalinga nuolatinė  slauga ir priežiūra, ir kuriems teikiamos pagalbos į namus paslaugos neefektyvios.</w:t>
                    </w:r>
                  </w:p>
                  <w:p>
                    <w:pPr>
                      <w:ind w:firstLine="226"/>
                      <w:rPr>
                        <w:rFonts w:ascii="Verdana" w:hAnsi="Verdana"/>
                        <w:szCs w:val="24"/>
                        <w:shd w:val="clear" w:color="auto" w:fill="FFFFFF"/>
                        <w:lang w:eastAsia="lt-LT"/>
                      </w:rPr>
                    </w:pPr>
                    <w:r>
                      <w:rPr>
                        <w:rFonts w:ascii="Verdana" w:hAnsi="Verdana"/>
                        <w:szCs w:val="24"/>
                        <w:shd w:val="clear" w:color="auto" w:fill="FFFFFF"/>
                        <w:lang w:eastAsia="lt-LT"/>
                      </w:rPr>
                      <w:t xml:space="preserve">Įstaiga turi licenciją socialinei globai teikti. </w:t>
                    </w:r>
                    <w:r>
                      <w:rPr>
                        <w:rFonts w:ascii="Verdana" w:hAnsi="Verdana"/>
                        <w:szCs w:val="24"/>
                        <w:lang w:eastAsia="lt-LT"/>
                      </w:rPr>
                      <w:t>Skyriuje gali būti teikiama socialinė globa (ilgalaikė, trumpalaikė) 26 suaugusiems asmenims su sunkia negalia. Šiuo metu Skyriuje gyvena 25 gyventojai: 24 gyventojai su sunkia negalia ir 1 gyventojas su negalia. Jiems paslaugas teikia 14 darbuotojų</w:t>
                    </w:r>
                    <w:r>
                      <w:rPr>
                        <w:rFonts w:ascii="Verdana" w:hAnsi="Verdana"/>
                        <w:szCs w:val="24"/>
                        <w:shd w:val="clear" w:color="auto" w:fill="FFFFFF"/>
                        <w:lang w:eastAsia="lt-LT"/>
                      </w:rPr>
                      <w:t xml:space="preserve">: </w:t>
                    </w:r>
                    <w:r>
                      <w:rPr>
                        <w:rFonts w:ascii="Verdana" w:hAnsi="Verdana"/>
                        <w:szCs w:val="24"/>
                        <w:lang w:eastAsia="lt-LT"/>
                      </w:rPr>
                      <w:t>vyriausiasis socialinis darbuotojas, bendrosios praktikos slaugytojas, slaugytojai padėjėjai/ individualios priežiūros darbuotojai, kineziterapeutas, socialinis darbuotojas, užimtumo terapijos specialistas ir valytojas</w:t>
                    </w:r>
                    <w:r>
                      <w:rPr>
                        <w:rFonts w:ascii="Verdana" w:hAnsi="Verdana"/>
                        <w:szCs w:val="24"/>
                        <w:shd w:val="clear" w:color="auto" w:fill="FFFFFF"/>
                        <w:lang w:eastAsia="lt-LT"/>
                      </w:rPr>
                      <w:t xml:space="preserve">. </w:t>
                    </w:r>
                  </w:p>
                  <w:p>
                    <w:pPr>
                      <w:ind w:firstLine="368"/>
                      <w:rPr>
                        <w:rFonts w:ascii="Verdana" w:hAnsi="Verdana"/>
                        <w:szCs w:val="24"/>
                        <w:shd w:val="clear" w:color="auto" w:fill="FFFFFF"/>
                        <w:lang w:eastAsia="lt-LT"/>
                      </w:rPr>
                    </w:pPr>
                    <w:r>
                      <w:rPr>
                        <w:rFonts w:ascii="Verdana" w:hAnsi="Verdana"/>
                        <w:szCs w:val="24"/>
                        <w:lang w:eastAsia="lt-LT"/>
                      </w:rPr>
                      <w:t xml:space="preserve">Slaugomam asmeniui užtikrinama kokybiška nuolatinė priežiūra ir slauga. </w:t>
                    </w:r>
                    <w:r>
                      <w:rPr>
                        <w:rFonts w:ascii="Verdana" w:hAnsi="Verdana"/>
                        <w:szCs w:val="24"/>
                        <w:shd w:val="clear" w:color="auto" w:fill="FFFFFF"/>
                        <w:lang w:eastAsia="lt-LT"/>
                      </w:rPr>
                      <w:t>Skyrius yra aprūpintas reikalingomis techninės pagalbos priemonėmis, padedančiomis darbuotojams saugiai ir kokybiškai atlikti kasdienines funkcijas (priemonės asmeniui pakelti, perkelti, maudyti, maitinti ar transportuoti). Slaugomas asmuo yra aprūpintas reikalingomis slaugos priemonėmis (sauskelnėmis, paklodėmis ir kt.), techninės pagalbos priemonėmis (funkcinėmis lovomis, vežimėliais ir kt.),</w:t>
                    </w:r>
                    <w:r>
                      <w:rPr>
                        <w:rFonts w:ascii="Verdana" w:hAnsi="Verdana"/>
                        <w:szCs w:val="24"/>
                        <w:lang w:eastAsia="lt-LT"/>
                      </w:rPr>
                      <w:t xml:space="preserve"> subalansuotu maitinimu.</w:t>
                    </w:r>
                  </w:p>
                  <w:p>
                    <w:pPr>
                      <w:ind w:firstLine="226"/>
                      <w:rPr>
                        <w:rFonts w:ascii="Verdana" w:hAnsi="Verdana"/>
                        <w:szCs w:val="24"/>
                        <w:lang w:eastAsia="lt-LT"/>
                      </w:rPr>
                    </w:pPr>
                    <w:r>
                      <w:rPr>
                        <w:rFonts w:ascii="Verdana" w:hAnsi="Verdana"/>
                        <w:szCs w:val="24"/>
                        <w:lang w:eastAsia="lt-LT"/>
                      </w:rPr>
                      <w:t xml:space="preserve">Didžiąją paslaugos kainos dalį (74,4 proc.) sudaro darbuotojų darbo užmokestis, kuris skaičiuojamas atsižvelgiant į minimaliąją mėnesinę algą (toliau – MMA). Lietuvos Respublikos Vyriausybė 2024 m. rugpjūčio 28 d. nutarimu Nr. 709 „Dėl 2025 metais taikomo minimaliojo darbo užmokesčio“ nustatė, kad nuo 2025 m. MMA yra 1038 eurų. Išlaidos kitoms prekėms ir paslaugoms (mitybai, medikamentams, medicinos pagalbos priemonėms, slaugos ir higienos priemonėms, patalynei, techninėms pagalbos priemonėms ir kt.) sudaro 25,6 proc. paslaugos kainos. </w:t>
                    </w:r>
                  </w:p>
                  <w:p>
                    <w:pPr>
                      <w:ind w:firstLine="226"/>
                      <w:rPr>
                        <w:rFonts w:ascii="Verdana" w:hAnsi="Verdana"/>
                        <w:szCs w:val="24"/>
                        <w:lang w:eastAsia="lt-LT"/>
                      </w:rPr>
                    </w:pPr>
                    <w:r>
                      <w:rPr>
                        <w:rFonts w:ascii="Verdana" w:hAnsi="Verdana"/>
                        <w:szCs w:val="24"/>
                        <w:lang w:eastAsia="lt-LT"/>
                      </w:rPr>
                      <w:t xml:space="preserve">Dėl 2025 m. darbuotojams padidėsiančio darbo užmokesčio ir išaugusios maitinimo paslaugų kainos (viešojo konkurso būdu nupirkta maitinimo paslauga 13,8 proc. didesnė nei perkant 2022 m.), Skyriuje teikiamų ilgalaikės ir trumpalaikės socialinės globos paslaugų kaina per mėnesį didės iki 7,1 proc. </w:t>
                    </w:r>
                  </w:p>
                  <w:p>
                    <w:pPr>
                      <w:rPr>
                        <w:rFonts w:ascii="Verdana" w:hAnsi="Verdana"/>
                        <w:szCs w:val="24"/>
                        <w:shd w:val="clear" w:color="auto" w:fill="FFFFFF"/>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8"/>
                      <w:gridCol w:w="754"/>
                      <w:gridCol w:w="665"/>
                      <w:gridCol w:w="782"/>
                      <w:gridCol w:w="754"/>
                      <w:gridCol w:w="585"/>
                      <w:gridCol w:w="782"/>
                      <w:gridCol w:w="790"/>
                      <w:gridCol w:w="790"/>
                    </w:tblGrid>
                    <w:tr>
                      <w:trPr>
                        <w:jc w:val="center"/>
                      </w:trPr>
                      <w:tc>
                        <w:tcPr>
                          <w:tcW w:w="1172" w:type="dxa"/>
                          <w:vMerge w:val="restart"/>
                          <w:shd w:val="clear" w:color="auto" w:fill="auto"/>
                          <w:vAlign w:val="center"/>
                        </w:tcPr>
                        <w:p>
                          <w:pPr>
                            <w:ind w:left="-103"/>
                            <w:jc w:val="both"/>
                            <w:rPr>
                              <w:rFonts w:ascii="Verdana" w:hAnsi="Verdana"/>
                              <w:sz w:val="16"/>
                              <w:szCs w:val="16"/>
                              <w:shd w:val="clear" w:color="auto" w:fill="FFFFFF"/>
                              <w:lang w:eastAsia="lt-LT"/>
                            </w:rPr>
                          </w:pPr>
                          <w:r>
                            <w:rPr>
                              <w:rFonts w:ascii="Verdana" w:hAnsi="Verdana"/>
                              <w:sz w:val="16"/>
                              <w:szCs w:val="16"/>
                              <w:shd w:val="clear" w:color="auto" w:fill="FFFFFF"/>
                              <w:lang w:eastAsia="lt-LT"/>
                            </w:rPr>
                            <w:t>Pavadinimas</w:t>
                          </w:r>
                        </w:p>
                      </w:tc>
                      <w:tc>
                        <w:tcPr>
                          <w:tcW w:w="2226" w:type="dxa"/>
                          <w:gridSpan w:val="3"/>
                          <w:shd w:val="clear" w:color="auto" w:fill="auto"/>
                          <w:vAlign w:val="center"/>
                        </w:tcPr>
                        <w:p>
                          <w:pPr>
                            <w:jc w:val="both"/>
                            <w:rPr>
                              <w:rFonts w:ascii="Verdana" w:hAnsi="Verdana"/>
                              <w:sz w:val="16"/>
                              <w:szCs w:val="16"/>
                              <w:shd w:val="clear" w:color="auto" w:fill="FFFFFF"/>
                              <w:lang w:eastAsia="lt-LT"/>
                            </w:rPr>
                          </w:pPr>
                          <w:r>
                            <w:rPr>
                              <w:rFonts w:ascii="Verdana" w:hAnsi="Verdana"/>
                              <w:sz w:val="16"/>
                              <w:szCs w:val="16"/>
                              <w:shd w:val="clear" w:color="auto" w:fill="FFFFFF"/>
                              <w:lang w:eastAsia="lt-LT"/>
                            </w:rPr>
                            <w:t>Kaina (Eur) 2024 m.</w:t>
                          </w:r>
                        </w:p>
                      </w:tc>
                      <w:tc>
                        <w:tcPr>
                          <w:tcW w:w="2142" w:type="dxa"/>
                          <w:gridSpan w:val="3"/>
                          <w:shd w:val="clear" w:color="auto" w:fill="auto"/>
                          <w:vAlign w:val="center"/>
                        </w:tcPr>
                        <w:p>
                          <w:pPr>
                            <w:jc w:val="both"/>
                            <w:rPr>
                              <w:rFonts w:ascii="Verdana" w:hAnsi="Verdana"/>
                              <w:sz w:val="16"/>
                              <w:szCs w:val="16"/>
                              <w:shd w:val="clear" w:color="auto" w:fill="FFFFFF"/>
                              <w:lang w:eastAsia="lt-LT"/>
                            </w:rPr>
                          </w:pPr>
                          <w:r>
                            <w:rPr>
                              <w:rFonts w:ascii="Verdana" w:hAnsi="Verdana"/>
                              <w:sz w:val="16"/>
                              <w:szCs w:val="16"/>
                              <w:shd w:val="clear" w:color="auto" w:fill="FFFFFF"/>
                              <w:lang w:eastAsia="lt-LT"/>
                            </w:rPr>
                            <w:t>Kaina (Eur) 2025 m.</w:t>
                          </w:r>
                        </w:p>
                      </w:tc>
                      <w:tc>
                        <w:tcPr>
                          <w:tcW w:w="760" w:type="dxa"/>
                          <w:vMerge w:val="restart"/>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Pokytis (Eur)</w:t>
                          </w:r>
                        </w:p>
                      </w:tc>
                      <w:tc>
                        <w:tcPr>
                          <w:tcW w:w="760" w:type="dxa"/>
                          <w:vMerge w:val="restart"/>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Pokytis (proc.)</w:t>
                          </w:r>
                        </w:p>
                      </w:tc>
                    </w:tr>
                    <w:tr>
                      <w:trPr>
                        <w:jc w:val="center"/>
                      </w:trPr>
                      <w:tc>
                        <w:tcPr>
                          <w:tcW w:w="1172" w:type="dxa"/>
                          <w:vMerge/>
                          <w:shd w:val="clear" w:color="auto" w:fill="auto"/>
                          <w:vAlign w:val="center"/>
                        </w:tcPr>
                        <w:p>
                          <w:pPr>
                            <w:jc w:val="both"/>
                            <w:rPr>
                              <w:rFonts w:ascii="Verdana" w:hAnsi="Verdana"/>
                              <w:sz w:val="16"/>
                              <w:szCs w:val="16"/>
                              <w:shd w:val="clear" w:color="auto" w:fill="FFFFFF"/>
                              <w:lang w:eastAsia="lt-LT"/>
                            </w:rPr>
                          </w:pPr>
                        </w:p>
                      </w:tc>
                      <w:tc>
                        <w:tcPr>
                          <w:tcW w:w="770" w:type="dxa"/>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KLD*</w:t>
                          </w:r>
                        </w:p>
                      </w:tc>
                      <w:tc>
                        <w:tcPr>
                          <w:tcW w:w="686" w:type="dxa"/>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BLD</w:t>
                          </w:r>
                        </w:p>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w:t>
                          </w:r>
                        </w:p>
                      </w:tc>
                      <w:tc>
                        <w:tcPr>
                          <w:tcW w:w="770" w:type="dxa"/>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Iš viso</w:t>
                          </w:r>
                        </w:p>
                      </w:tc>
                      <w:tc>
                        <w:tcPr>
                          <w:tcW w:w="770" w:type="dxa"/>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KLD*</w:t>
                          </w:r>
                        </w:p>
                      </w:tc>
                      <w:tc>
                        <w:tcPr>
                          <w:tcW w:w="602" w:type="dxa"/>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BLD **</w:t>
                          </w:r>
                        </w:p>
                      </w:tc>
                      <w:tc>
                        <w:tcPr>
                          <w:tcW w:w="770" w:type="dxa"/>
                          <w:shd w:val="clear" w:color="auto" w:fill="auto"/>
                          <w:vAlign w:val="center"/>
                        </w:tcPr>
                        <w:p>
                          <w:pPr>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Iš viso</w:t>
                          </w:r>
                        </w:p>
                      </w:tc>
                      <w:tc>
                        <w:tcPr>
                          <w:tcW w:w="760" w:type="dxa"/>
                          <w:vMerge/>
                          <w:shd w:val="clear" w:color="auto" w:fill="auto"/>
                          <w:vAlign w:val="center"/>
                        </w:tcPr>
                        <w:p>
                          <w:pPr>
                            <w:jc w:val="both"/>
                            <w:rPr>
                              <w:rFonts w:ascii="Verdana" w:hAnsi="Verdana"/>
                              <w:sz w:val="16"/>
                              <w:szCs w:val="16"/>
                              <w:shd w:val="clear" w:color="auto" w:fill="FFFFFF"/>
                              <w:lang w:eastAsia="lt-LT"/>
                            </w:rPr>
                          </w:pPr>
                        </w:p>
                      </w:tc>
                      <w:tc>
                        <w:tcPr>
                          <w:tcW w:w="760" w:type="dxa"/>
                          <w:vMerge/>
                          <w:shd w:val="clear" w:color="auto" w:fill="auto"/>
                          <w:vAlign w:val="center"/>
                        </w:tcPr>
                        <w:p>
                          <w:pPr>
                            <w:jc w:val="both"/>
                            <w:rPr>
                              <w:rFonts w:ascii="Verdana" w:hAnsi="Verdana"/>
                              <w:sz w:val="16"/>
                              <w:szCs w:val="16"/>
                              <w:shd w:val="clear" w:color="auto" w:fill="FFFFFF"/>
                              <w:lang w:eastAsia="lt-LT"/>
                            </w:rPr>
                          </w:pPr>
                        </w:p>
                      </w:tc>
                    </w:tr>
                    <w:tr>
                      <w:trPr>
                        <w:jc w:val="center"/>
                      </w:trPr>
                      <w:tc>
                        <w:tcPr>
                          <w:tcW w:w="1172" w:type="dxa"/>
                          <w:shd w:val="clear" w:color="auto" w:fill="auto"/>
                          <w:vAlign w:val="center"/>
                        </w:tcPr>
                        <w:p>
                          <w:pPr>
                            <w:rPr>
                              <w:rFonts w:ascii="Verdana" w:hAnsi="Verdana"/>
                              <w:sz w:val="14"/>
                              <w:szCs w:val="14"/>
                              <w:shd w:val="clear" w:color="auto" w:fill="FFFFFF"/>
                              <w:lang w:eastAsia="lt-LT"/>
                            </w:rPr>
                          </w:pPr>
                          <w:r>
                            <w:rPr>
                              <w:rFonts w:ascii="Verdana" w:hAnsi="Verdana"/>
                              <w:sz w:val="14"/>
                              <w:szCs w:val="14"/>
                              <w:shd w:val="clear" w:color="auto" w:fill="FFFFFF"/>
                              <w:lang w:eastAsia="lt-LT"/>
                            </w:rPr>
                            <w:t>Socialinė globa asmenims su sunkia negalia</w:t>
                          </w:r>
                        </w:p>
                      </w:tc>
                      <w:tc>
                        <w:tcPr>
                          <w:tcW w:w="77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1417,51</w:t>
                          </w:r>
                        </w:p>
                      </w:tc>
                      <w:tc>
                        <w:tcPr>
                          <w:tcW w:w="686"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216,03</w:t>
                          </w:r>
                        </w:p>
                      </w:tc>
                      <w:tc>
                        <w:tcPr>
                          <w:tcW w:w="770" w:type="dxa"/>
                          <w:shd w:val="clear" w:color="auto" w:fill="auto"/>
                          <w:vAlign w:val="center"/>
                        </w:tcPr>
                        <w:p>
                          <w:pPr>
                            <w:ind w:left="-175" w:right="-96"/>
                            <w:jc w:val="center"/>
                            <w:rPr>
                              <w:rFonts w:ascii="Verdana" w:hAnsi="Verdana"/>
                              <w:b/>
                              <w:bCs/>
                              <w:sz w:val="16"/>
                              <w:szCs w:val="16"/>
                              <w:shd w:val="clear" w:color="auto" w:fill="FFFFFF"/>
                              <w:lang w:eastAsia="lt-LT"/>
                            </w:rPr>
                          </w:pPr>
                          <w:r>
                            <w:rPr>
                              <w:rFonts w:ascii="Verdana" w:hAnsi="Verdana"/>
                              <w:b/>
                              <w:bCs/>
                              <w:color w:val="000000"/>
                              <w:sz w:val="16"/>
                              <w:szCs w:val="16"/>
                              <w:lang w:eastAsia="lt-LT"/>
                            </w:rPr>
                            <w:t>1633,54</w:t>
                          </w:r>
                        </w:p>
                      </w:tc>
                      <w:tc>
                        <w:tcPr>
                          <w:tcW w:w="77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1525,97</w:t>
                          </w:r>
                        </w:p>
                      </w:tc>
                      <w:tc>
                        <w:tcPr>
                          <w:tcW w:w="602"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215,5</w:t>
                          </w:r>
                        </w:p>
                      </w:tc>
                      <w:tc>
                        <w:tcPr>
                          <w:tcW w:w="770" w:type="dxa"/>
                          <w:shd w:val="clear" w:color="auto" w:fill="auto"/>
                          <w:vAlign w:val="center"/>
                        </w:tcPr>
                        <w:p>
                          <w:pPr>
                            <w:ind w:left="-175" w:right="-96"/>
                            <w:jc w:val="center"/>
                            <w:rPr>
                              <w:rFonts w:ascii="Verdana" w:hAnsi="Verdana"/>
                              <w:b/>
                              <w:bCs/>
                              <w:sz w:val="16"/>
                              <w:szCs w:val="16"/>
                              <w:shd w:val="clear" w:color="auto" w:fill="FFFFFF"/>
                              <w:lang w:eastAsia="lt-LT"/>
                            </w:rPr>
                          </w:pPr>
                          <w:r>
                            <w:rPr>
                              <w:rFonts w:ascii="Verdana" w:hAnsi="Verdana"/>
                              <w:b/>
                              <w:bCs/>
                              <w:sz w:val="16"/>
                              <w:szCs w:val="16"/>
                              <w:shd w:val="clear" w:color="auto" w:fill="FFFFFF"/>
                              <w:lang w:eastAsia="lt-LT"/>
                            </w:rPr>
                            <w:t>1741,47</w:t>
                          </w:r>
                        </w:p>
                      </w:tc>
                      <w:tc>
                        <w:tcPr>
                          <w:tcW w:w="76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107,93</w:t>
                          </w:r>
                        </w:p>
                      </w:tc>
                      <w:tc>
                        <w:tcPr>
                          <w:tcW w:w="76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6,6</w:t>
                          </w:r>
                        </w:p>
                      </w:tc>
                    </w:tr>
                    <w:tr>
                      <w:trPr>
                        <w:jc w:val="center"/>
                      </w:trPr>
                      <w:tc>
                        <w:tcPr>
                          <w:tcW w:w="1172" w:type="dxa"/>
                          <w:shd w:val="clear" w:color="auto" w:fill="auto"/>
                          <w:vAlign w:val="center"/>
                        </w:tcPr>
                        <w:p>
                          <w:pPr>
                            <w:rPr>
                              <w:rFonts w:ascii="Verdana" w:hAnsi="Verdana"/>
                              <w:sz w:val="14"/>
                              <w:szCs w:val="14"/>
                              <w:shd w:val="clear" w:color="auto" w:fill="FFFFFF"/>
                              <w:lang w:eastAsia="lt-LT"/>
                            </w:rPr>
                          </w:pPr>
                          <w:r>
                            <w:rPr>
                              <w:rFonts w:ascii="Verdana" w:hAnsi="Verdana"/>
                              <w:sz w:val="14"/>
                              <w:szCs w:val="14"/>
                              <w:shd w:val="clear" w:color="auto" w:fill="FFFFFF"/>
                              <w:lang w:eastAsia="lt-LT"/>
                            </w:rPr>
                            <w:t>Socialinė globa asmenims su negalia</w:t>
                          </w:r>
                        </w:p>
                      </w:tc>
                      <w:tc>
                        <w:tcPr>
                          <w:tcW w:w="77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1306,84</w:t>
                          </w:r>
                        </w:p>
                      </w:tc>
                      <w:tc>
                        <w:tcPr>
                          <w:tcW w:w="686"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216,03</w:t>
                          </w:r>
                        </w:p>
                      </w:tc>
                      <w:tc>
                        <w:tcPr>
                          <w:tcW w:w="770" w:type="dxa"/>
                          <w:shd w:val="clear" w:color="auto" w:fill="auto"/>
                          <w:vAlign w:val="center"/>
                        </w:tcPr>
                        <w:p>
                          <w:pPr>
                            <w:ind w:left="-175" w:right="-96"/>
                            <w:jc w:val="center"/>
                            <w:rPr>
                              <w:rFonts w:ascii="Verdana" w:hAnsi="Verdana"/>
                              <w:b/>
                              <w:bCs/>
                              <w:sz w:val="16"/>
                              <w:szCs w:val="16"/>
                              <w:shd w:val="clear" w:color="auto" w:fill="FFFFFF"/>
                              <w:lang w:eastAsia="lt-LT"/>
                            </w:rPr>
                          </w:pPr>
                          <w:r>
                            <w:rPr>
                              <w:rFonts w:ascii="Verdana" w:hAnsi="Verdana"/>
                              <w:b/>
                              <w:bCs/>
                              <w:color w:val="000000"/>
                              <w:sz w:val="16"/>
                              <w:szCs w:val="16"/>
                              <w:lang w:eastAsia="lt-LT"/>
                            </w:rPr>
                            <w:t>1522,87</w:t>
                          </w:r>
                        </w:p>
                      </w:tc>
                      <w:tc>
                        <w:tcPr>
                          <w:tcW w:w="77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1415,30</w:t>
                          </w:r>
                        </w:p>
                      </w:tc>
                      <w:tc>
                        <w:tcPr>
                          <w:tcW w:w="602"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215,5</w:t>
                          </w:r>
                        </w:p>
                      </w:tc>
                      <w:tc>
                        <w:tcPr>
                          <w:tcW w:w="770" w:type="dxa"/>
                          <w:shd w:val="clear" w:color="auto" w:fill="auto"/>
                          <w:vAlign w:val="center"/>
                        </w:tcPr>
                        <w:p>
                          <w:pPr>
                            <w:ind w:left="-175" w:right="-96"/>
                            <w:jc w:val="center"/>
                            <w:rPr>
                              <w:rFonts w:ascii="Verdana" w:hAnsi="Verdana"/>
                              <w:b/>
                              <w:bCs/>
                              <w:sz w:val="16"/>
                              <w:szCs w:val="16"/>
                              <w:shd w:val="clear" w:color="auto" w:fill="FFFFFF"/>
                              <w:lang w:eastAsia="lt-LT"/>
                            </w:rPr>
                          </w:pPr>
                          <w:r>
                            <w:rPr>
                              <w:rFonts w:ascii="Verdana" w:hAnsi="Verdana"/>
                              <w:b/>
                              <w:bCs/>
                              <w:sz w:val="16"/>
                              <w:szCs w:val="16"/>
                              <w:shd w:val="clear" w:color="auto" w:fill="FFFFFF"/>
                              <w:lang w:eastAsia="lt-LT"/>
                            </w:rPr>
                            <w:t>1630,80</w:t>
                          </w:r>
                        </w:p>
                      </w:tc>
                      <w:tc>
                        <w:tcPr>
                          <w:tcW w:w="76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color w:val="000000"/>
                              <w:sz w:val="16"/>
                              <w:szCs w:val="16"/>
                              <w:lang w:eastAsia="lt-LT"/>
                            </w:rPr>
                            <w:t>107,93</w:t>
                          </w:r>
                        </w:p>
                      </w:tc>
                      <w:tc>
                        <w:tcPr>
                          <w:tcW w:w="760" w:type="dxa"/>
                          <w:shd w:val="clear" w:color="auto" w:fill="auto"/>
                          <w:vAlign w:val="center"/>
                        </w:tcPr>
                        <w:p>
                          <w:pPr>
                            <w:ind w:left="-175" w:right="-96"/>
                            <w:jc w:val="center"/>
                            <w:rPr>
                              <w:rFonts w:ascii="Verdana" w:hAnsi="Verdana"/>
                              <w:sz w:val="16"/>
                              <w:szCs w:val="16"/>
                              <w:shd w:val="clear" w:color="auto" w:fill="FFFFFF"/>
                              <w:lang w:eastAsia="lt-LT"/>
                            </w:rPr>
                          </w:pPr>
                          <w:r>
                            <w:rPr>
                              <w:rFonts w:ascii="Verdana" w:hAnsi="Verdana"/>
                              <w:sz w:val="16"/>
                              <w:szCs w:val="16"/>
                              <w:shd w:val="clear" w:color="auto" w:fill="FFFFFF"/>
                              <w:lang w:eastAsia="lt-LT"/>
                            </w:rPr>
                            <w:t>7,1</w:t>
                          </w:r>
                        </w:p>
                      </w:tc>
                    </w:tr>
                  </w:tbl>
                  <w:p>
                    <w:pPr>
                      <w:jc w:val="both"/>
                      <w:rPr>
                        <w:rFonts w:ascii="Verdana" w:hAnsi="Verdana"/>
                        <w:sz w:val="20"/>
                        <w:shd w:val="clear" w:color="auto" w:fill="FFFFFF"/>
                        <w:lang w:eastAsia="lt-LT"/>
                      </w:rPr>
                    </w:pPr>
                    <w:r>
                      <w:rPr>
                        <w:rFonts w:ascii="Verdana" w:hAnsi="Verdana"/>
                        <w:sz w:val="20"/>
                        <w:shd w:val="clear" w:color="auto" w:fill="FFFFFF"/>
                        <w:lang w:eastAsia="lt-LT"/>
                      </w:rPr>
                      <w:t>*Kintamoji socialinės globos lėšų dalis (</w:t>
                    </w:r>
                    <w:r>
                      <w:rPr>
                        <w:rFonts w:ascii="Verdana" w:hAnsi="Verdana"/>
                        <w:i/>
                        <w:iCs/>
                        <w:sz w:val="20"/>
                        <w:shd w:val="clear" w:color="auto" w:fill="FFFFFF"/>
                        <w:lang w:eastAsia="lt-LT"/>
                      </w:rPr>
                      <w:t>paslaugos teikėjo</w:t>
                    </w:r>
                    <w:r>
                      <w:rPr>
                        <w:rFonts w:ascii="Verdana" w:hAnsi="Verdana"/>
                        <w:sz w:val="20"/>
                        <w:shd w:val="clear" w:color="auto" w:fill="FFFFFF"/>
                        <w:lang w:eastAsia="lt-LT"/>
                      </w:rPr>
                      <w:t xml:space="preserve"> </w:t>
                    </w:r>
                    <w:r>
                      <w:rPr>
                        <w:rFonts w:ascii="Verdana" w:hAnsi="Verdana"/>
                        <w:i/>
                        <w:iCs/>
                        <w:sz w:val="20"/>
                        <w:shd w:val="clear" w:color="auto" w:fill="FFFFFF"/>
                        <w:lang w:eastAsia="lt-LT"/>
                      </w:rPr>
                      <w:t>darbo užmokestis, soc. draudimo įmokos, paslaugos gavėjo maitinimo išlaidos, medikamentai, med. priemonės, komunalinės paslaugos, ryšiai, atsargos, patalynė ir kt.)</w:t>
                    </w:r>
                  </w:p>
                  <w:p>
                    <w:pPr>
                      <w:rPr>
                        <w:rFonts w:ascii="Verdana" w:hAnsi="Verdana"/>
                        <w:sz w:val="20"/>
                        <w:shd w:val="clear" w:color="auto" w:fill="FFFFFF"/>
                        <w:lang w:eastAsia="lt-LT"/>
                      </w:rPr>
                    </w:pPr>
                    <w:r>
                      <w:rPr>
                        <w:rFonts w:ascii="Verdana" w:hAnsi="Verdana"/>
                        <w:sz w:val="20"/>
                        <w:shd w:val="clear" w:color="auto" w:fill="FFFFFF"/>
                        <w:lang w:eastAsia="lt-LT"/>
                      </w:rPr>
                      <w:t>** Bendroji socialinės globos lėšų dalis (</w:t>
                    </w:r>
                    <w:r>
                      <w:rPr>
                        <w:rFonts w:ascii="Verdana" w:hAnsi="Verdana"/>
                        <w:i/>
                        <w:iCs/>
                        <w:sz w:val="20"/>
                        <w:shd w:val="clear" w:color="auto" w:fill="FFFFFF"/>
                        <w:lang w:eastAsia="lt-LT"/>
                      </w:rPr>
                      <w:t>administracinio, ūkio ir aptarnaujančio personalo darbo užmokestis, soc. draudimo įmokos ir kt.</w:t>
                    </w:r>
                    <w:r>
                      <w:rPr>
                        <w:rFonts w:ascii="Verdana" w:hAnsi="Verdana"/>
                        <w:sz w:val="20"/>
                        <w:shd w:val="clear" w:color="auto" w:fill="FFFFFF"/>
                        <w:lang w:eastAsia="lt-LT"/>
                      </w:rPr>
                      <w:t>).</w:t>
                    </w:r>
                  </w:p>
                  <w:p>
                    <w:pPr>
                      <w:ind w:firstLine="226"/>
                      <w:rPr>
                        <w:rFonts w:ascii="Verdana" w:hAnsi="Verdana"/>
                        <w:szCs w:val="24"/>
                        <w:lang w:eastAsia="lt-LT"/>
                      </w:rPr>
                    </w:pPr>
                    <w:r>
                      <w:rPr>
                        <w:rFonts w:ascii="Verdana" w:hAnsi="Verdana"/>
                        <w:szCs w:val="24"/>
                        <w:lang w:eastAsia="lt-LT"/>
                      </w:rPr>
                      <w:t>Įstaigos teikiamų socialinės globos paslaugų kaina buvo patvirtinta Marijampolės savivaldybės tarybos 2023 m gruodžio 22 d. sprendimu Nr. 1-385: asmeniui su sunkia negalia – 1 633,54 Eur, asmeniui su negalia – 1 522,87 Eur.</w:t>
                    </w:r>
                  </w:p>
                </w:tc>
              </w:tr>
              <w:tr>
                <w:trPr>
                  <w:trHeight w:val="557"/>
                </w:trP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shd w:val="clear" w:color="auto" w:fill="FFFFFF"/>
                        <w:lang w:eastAsia="lt-LT"/>
                      </w:rPr>
                    </w:pPr>
                    <w:r>
                      <w:rPr>
                        <w:rFonts w:ascii="Verdana" w:hAnsi="Verdana"/>
                        <w:szCs w:val="24"/>
                        <w:lang w:eastAsia="lt-LT"/>
                      </w:rPr>
                      <w:t>Sprendimo projekto rengėjas ar rengėjų grupė, sprendimo projekto iniciatoriai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textAlignment w:val="baseline"/>
                      <w:rPr>
                        <w:rFonts w:ascii="Verdana" w:hAnsi="Verdana"/>
                        <w:szCs w:val="24"/>
                        <w:lang w:eastAsia="lt-LT"/>
                      </w:rPr>
                    </w:pPr>
                    <w:r>
                      <w:rPr>
                        <w:rFonts w:ascii="Verdana" w:hAnsi="Verdana"/>
                        <w:szCs w:val="24"/>
                        <w:lang w:eastAsia="lt-LT"/>
                      </w:rPr>
                      <w:t>Rengėja - Rasa Matusienė, Socialinių paslaugų skyriaus vyriausioji specialistė</w:t>
                    </w:r>
                  </w:p>
                  <w:p>
                    <w:pPr>
                      <w:textAlignment w:val="baseline"/>
                      <w:rPr>
                        <w:rFonts w:ascii="Verdana" w:hAnsi="Verdana"/>
                        <w:szCs w:val="24"/>
                        <w:lang w:eastAsia="lt-LT"/>
                      </w:rPr>
                    </w:pPr>
                    <w:r>
                      <w:rPr>
                        <w:rFonts w:ascii="Verdana" w:hAnsi="Verdana"/>
                        <w:szCs w:val="24"/>
                        <w:lang w:eastAsia="lt-LT"/>
                      </w:rPr>
                      <w:t>Iniciatorius – VšĮ Marijampolės pirminės sveikatos priežiūros centras</w:t>
                    </w:r>
                  </w:p>
                </w:tc>
              </w:tr>
              <w:tr>
                <w:trPr>
                  <w:trHeight w:val="1171"/>
                </w:trP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textAlignment w:val="baseline"/>
                      <w:rPr>
                        <w:rFonts w:ascii="Verdana" w:hAnsi="Verdana"/>
                        <w:szCs w:val="24"/>
                        <w:lang w:eastAsia="lt-LT"/>
                      </w:rPr>
                    </w:pPr>
                  </w:p>
                </w:tc>
              </w:tr>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Projektas turi būti suderintas</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Socialinių paslaugų, Finansų ir strateginio planavimo, Teisės ir civilinės metrikacijos skyriais, Administracijos direktoriumi</w:t>
                    </w:r>
                  </w:p>
                </w:tc>
              </w:tr>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Pranešėjas</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Socialinių paslaugų skyriaus vedėja Jolita Žukelienė</w:t>
                    </w:r>
                  </w:p>
                </w:tc>
              </w:tr>
              <w:tr>
                <w:tc>
                  <w:tcPr>
                    <w:tcW w:w="238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7286"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VšĮ Marijampolės pirminės sveikatos priežiūros centrui, Socialinių paslaugų skyriui</w:t>
                    </w:r>
                  </w:p>
                </w:tc>
              </w:tr>
            </w:tbl>
            <w:p>
              <w:pPr>
                <w:jc w:val="center"/>
                <w:rPr>
                  <w:rFonts w:ascii="Verdana" w:hAnsi="Verdana"/>
                  <w:sz w:val="23"/>
                  <w:szCs w:val="23"/>
                  <w:lang w:eastAsia="lt-LT"/>
                </w:rPr>
              </w:pPr>
            </w:p>
            <w:p>
              <w:pPr>
                <w:jc w:val="center"/>
                <w:rPr>
                  <w:rFonts w:ascii="Verdana" w:hAnsi="Verdana"/>
                  <w:sz w:val="23"/>
                  <w:szCs w:val="23"/>
                  <w:lang w:eastAsia="lt-LT"/>
                </w:rPr>
              </w:pPr>
            </w:p>
          </w:sdtContent>
        </w:sdt>
        <w:sdt>
          <w:sdtPr>
            <w:alias w:val="signatura"/>
            <w:tag w:val="part_db627597e58540858e084c50aaedfd73"/>
            <w:lock w:val="sdtLocked"/>
            <w:richText/>
          </w:sdtPr>
          <w:sdtContent>
            <w:p>
              <w:pPr>
                <w:jc w:val="center"/>
                <w:rPr>
                  <w:rFonts w:ascii="Verdana" w:hAnsi="Verdana"/>
                  <w:sz w:val="23"/>
                  <w:szCs w:val="23"/>
                  <w:lang w:eastAsia="lt-LT"/>
                </w:rPr>
              </w:pPr>
              <w:r>
                <w:rPr>
                  <w:rFonts w:ascii="Verdana" w:hAnsi="Verdana"/>
                  <w:sz w:val="23"/>
                  <w:szCs w:val="23"/>
                  <w:lang w:eastAsia="lt-LT"/>
                </w:rPr>
                <w:t>_______________________</w:t>
              </w:r>
            </w:p>
            <w:p>
              <w:pPr>
                <w:jc w:val="center"/>
                <w:rPr>
                  <w:rFonts w:ascii="Verdana" w:hAnsi="Verdana"/>
                  <w:b/>
                  <w:bCs/>
                  <w:szCs w:val="24"/>
                  <w:lang w:eastAsia="lt-LT"/>
                </w:rPr>
              </w:pPr>
            </w:p>
            <w:p>
              <w:pPr>
                <w:jc w:val="center"/>
                <w:rPr>
                  <w:rFonts w:ascii="Verdana" w:hAnsi="Verdana"/>
                  <w:b/>
                  <w:bCs/>
                  <w:szCs w:val="24"/>
                  <w:lang w:eastAsia="lt-LT"/>
                </w:rPr>
              </w:pPr>
            </w:p>
            <w:p>
              <w:pPr>
                <w:jc w:val="center"/>
                <w:rPr>
                  <w:rFonts w:ascii="Verdana" w:hAnsi="Verdana"/>
                  <w:b/>
                  <w:bCs/>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B5FAA8A8-ED0C-479A-9C80-84E1578ACC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1451246244">
      <w:bodyDiv w:val="1"/>
      <w:marLeft w:val="0"/>
      <w:marRight w:val="0"/>
      <w:marTop w:val="0"/>
      <w:marBottom w:val="0"/>
      <w:divBdr>
        <w:top w:val="none" w:sz="0" w:space="0" w:color="auto"/>
        <w:left w:val="none" w:sz="0" w:space="0" w:color="auto"/>
        <w:bottom w:val="none" w:sz="0" w:space="0" w:color="auto"/>
        <w:right w:val="none" w:sz="0" w:space="0" w:color="auto"/>
      </w:divBdr>
    </w:div>
    <w:div w:id="2042700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453e5c1027c511efbdaea558de59136c"/>
  <Relationship Id="rId15" Type="http://schemas.openxmlformats.org/officeDocument/2006/relationships/hyperlink" TargetMode="External" Target="https://www.e-tar.lt/portal/lt/legalAct/1a9ca680330d11efbdaea558de59136c/asr"/>
  <Relationship Id="rId16" Type="http://schemas.openxmlformats.org/officeDocument/2006/relationships/hyperlink" TargetMode="External" Target="https://www.e-tar.lt/portal/lt/legalAct/d479c5b0653f11efafbb8694c098bac5"/>
  <Relationship Id="rId17" Type="http://schemas.openxmlformats.org/officeDocument/2006/relationships/hyperlink" TargetMode="External" Target="https://www.e-tar.lt/portal/lt/legalAct/d23324e0a4bf11eea5a28c81c82193a8"/>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1616f19bc63411c88d9aa1840970cf7" PartId="26ae678f5f1540afac94f544ef55015a">
    <Part Type="preambule" DocPartId="d432861164674ec58f307e66a6f2c3d9" PartId="bc95173dc1314c71a135c5f3f658db95"/>
    <Part Type="punktas" Nr="1" Abbr="1 p." DocPartId="740a8cf663c2457d9ee8eaf8f1120075" PartId="0be8f15081194936a42d9247c4df3bdd">
      <Part Type="papunktis" Nr="1.1" Abbr="1.1 pp." DocPartId="f9b86649efe1432a9058588f78f315d8" PartId="af56d0de1d7e4aa3be1ad090d7ad7f04"/>
      <Part Type="papunktis" Nr="1.2" Abbr="1.2 pp." DocPartId="1f46cb42706d485981da66e79cb63813" PartId="c9606d7eb20146ae8900d3a923ca93c4"/>
    </Part>
    <Part Type="punktas" Nr="2" Abbr="2 p." DocPartId="3ad3ceb7faa14aa084ee92b4d71606e4" PartId="2d81fa24479a42b193785e3933b48b54"/>
    <Part Type="punktas" Nr="3" Abbr="3 p." DocPartId="ecc8026a0a6443bfb84787c1dadf4fcc" PartId="2d7c85b8f28241229b77fc24872b51b8"/>
    <Part Type="skirsnis" Title="MARIJAMPOLĖS SAVIVALDYBĖS ADMINISTRACIJOS" DocPartId="3014395540714dc8b71843a4ee863f06" PartId="45625f58c69949b996d677ee9fce18dc"/>
    <Part Type="skyrius" Nr="999" Title="AIŠKINAMASIS RAŠTAS DĖL ILGALAIKĖS IR TRUMPALAIKĖS SOCIALINĖS GLOBOS PASLAUGŲ, TEIKIAMŲ VIEŠOSIOS ĮSTAIGOS MARIJAMPOLĖS PIRMINĖS SVEIKATOS PRIEŽIŪROS CENTRO SOCIALINĖS GLOBOS SKYRIUJE, KAINŲ PATVIRTINIMO" DocPartId="2f37813438ce4c46ac8fef3dc4bdcb5e" PartId="6d6efc1a7c244da3b84bca42b9b4b964"/>
    <Part Type="signatura" DocPartId="4ed5b1bdac2a4820aadfb029b03fe68c" PartId="db627597e58540858e084c50aaedfd73"/>
  </Part>
</Parts>
</file>

<file path=customXml/itemProps1.xml><?xml version="1.0" encoding="utf-8"?>
<ds:datastoreItem xmlns:ds="http://schemas.openxmlformats.org/officeDocument/2006/customXml" ds:itemID="{36C03A41-B739-42EE-AED1-E28A8C5FBBCD}">
  <ds:schemaRefs>
    <ds:schemaRef ds:uri="http://schemas.openxmlformats.org/officeDocument/2006/bibliography"/>
  </ds:schemaRefs>
</ds:datastoreItem>
</file>

<file path=customXml/itemProps2.xml><?xml version="1.0" encoding="utf-8"?>
<ds:datastoreItem xmlns:ds="http://schemas.openxmlformats.org/officeDocument/2006/customXml" ds:itemID="{83BB41AE-F3AE-4588-8E6C-5427250534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957</Words>
  <Characters>7008</Characters>
  <Application>Microsoft Office Word</Application>
  <DocSecurity>4</DocSecurity>
  <Lines>269</Lines>
  <Paragraphs>91</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7874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2024-12-09T14:33:00Z</dcterms:created>
  <dc:creator>ras.matu</dc:creator>
  <lastModifiedBy>adlibuser</lastModifiedBy>
  <lastPrinted>2023-12-05T10:46:00Z</lastPrinted>
  <dcterms:modified xsi:type="dcterms:W3CDTF">2024-12-09T14:33:00Z</dcterms:modified>
  <revision>2</revision>
  <dc:title/>
</coreProperties>
</file>