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4d50e50cbfd74ced9eadcbacc3f885f2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ind w:right="1134"/>
            <w:jc w:val="right"/>
            <w:rPr>
              <w:rFonts w:ascii="Verdana" w:hAnsi="Verdana"/>
              <w:b/>
              <w:sz w:val="20"/>
              <w:lang w:eastAsia="lt-LT"/>
            </w:rPr>
          </w:pPr>
          <w:r>
            <w:rPr>
              <w:rFonts w:ascii="Verdana" w:hAnsi="Verdana"/>
              <w:b/>
              <w:sz w:val="20"/>
              <w:lang w:eastAsia="lt-LT"/>
            </w:rPr>
            <w:t>Projektas</w:t>
          </w:r>
        </w:p>
        <w:p>
          <w:pPr>
            <w:tabs>
              <w:tab w:val="center" w:pos="4819"/>
              <w:tab w:val="right" w:pos="9638"/>
            </w:tabs>
            <w:ind w:right="1134"/>
            <w:jc w:val="right"/>
            <w:rPr>
              <w:rFonts w:ascii="Verdana" w:hAnsi="Verdana"/>
              <w:b/>
              <w:sz w:val="20"/>
              <w:lang w:eastAsia="lt-LT"/>
            </w:rPr>
          </w:pPr>
          <w:r>
            <w:rPr>
              <w:rFonts w:ascii="Verdana" w:hAnsi="Verdana"/>
              <w:b/>
              <w:sz w:val="20"/>
              <w:lang w:eastAsia="lt-LT"/>
            </w:rPr>
            <w:t>2024-12-08 Nr. TR-465</w:t>
          </w:r>
        </w:p>
        <w:p>
          <w:pPr>
            <w:jc w:val="center"/>
            <w:rPr>
              <w:rFonts w:ascii="Verdana" w:hAnsi="Verdana"/>
              <w:szCs w:val="24"/>
              <w:lang w:eastAsia="lt-LT"/>
            </w:rPr>
          </w:pPr>
        </w:p>
        <w:p>
          <w:pPr>
            <w:rPr>
              <w:sz w:val="10"/>
              <w:szCs w:val="10"/>
            </w:rPr>
          </w:pPr>
        </w:p>
        <w:p>
          <w:pPr>
            <w:jc w:val="center"/>
            <w:rPr>
              <w:rFonts w:ascii="Verdana" w:hAnsi="Verdana"/>
              <w:b/>
              <w:szCs w:val="24"/>
              <w:lang w:eastAsia="lt-LT"/>
            </w:rPr>
          </w:pPr>
          <w:r>
            <w:rPr>
              <w:rFonts w:ascii="Verdana" w:hAnsi="Verdana"/>
              <w:b/>
              <w:szCs w:val="24"/>
              <w:lang w:eastAsia="lt-LT"/>
            </w:rPr>
            <w:t>MARIJAMPOLĖS SAVIVALDYBĖS TARYBA</w:t>
          </w:r>
        </w:p>
        <w:p>
          <w:pPr>
            <w:tabs>
              <w:tab w:val="left" w:pos="5557"/>
              <w:tab w:val="left" w:pos="6840"/>
              <w:tab w:val="left" w:pos="7020"/>
            </w:tabs>
            <w:jc w:val="center"/>
            <w:rPr>
              <w:rFonts w:ascii="Verdana" w:hAnsi="Verdana"/>
              <w:szCs w:val="24"/>
              <w:lang w:eastAsia="lt-LT"/>
            </w:rPr>
          </w:pPr>
        </w:p>
        <w:p>
          <w:pPr>
            <w:tabs>
              <w:tab w:val="left" w:pos="5557"/>
              <w:tab w:val="left" w:pos="6840"/>
              <w:tab w:val="left" w:pos="7020"/>
            </w:tabs>
            <w:jc w:val="center"/>
            <w:rPr>
              <w:rFonts w:ascii="Verdana" w:hAnsi="Verdana"/>
              <w:szCs w:val="24"/>
              <w:lang w:eastAsia="lt-LT"/>
            </w:rPr>
          </w:pPr>
        </w:p>
        <w:p>
          <w:pPr>
            <w:jc w:val="center"/>
            <w:rPr>
              <w:rFonts w:ascii="Verdana" w:hAnsi="Verdana"/>
              <w:b/>
              <w:szCs w:val="24"/>
              <w:lang w:eastAsia="lt-LT"/>
            </w:rPr>
          </w:pPr>
          <w:r>
            <w:rPr>
              <w:rFonts w:ascii="Verdana" w:hAnsi="Verdana"/>
              <w:b/>
              <w:szCs w:val="24"/>
              <w:lang w:eastAsia="lt-LT"/>
            </w:rPr>
            <w:t>SPRENDIMAS</w:t>
          </w:r>
        </w:p>
        <w:p>
          <w:pPr>
            <w:tabs>
              <w:tab w:val="left" w:pos="5557"/>
              <w:tab w:val="left" w:pos="6840"/>
              <w:tab w:val="left" w:pos="7020"/>
            </w:tabs>
            <w:jc w:val="center"/>
            <w:rPr>
              <w:rFonts w:ascii="Verdana" w:hAnsi="Verdana"/>
              <w:b/>
              <w:szCs w:val="24"/>
              <w:lang w:eastAsia="lt-LT"/>
            </w:rPr>
          </w:pPr>
          <w:r>
            <w:rPr>
              <w:rFonts w:ascii="Verdana" w:hAnsi="Verdana"/>
              <w:b/>
              <w:szCs w:val="24"/>
              <w:lang w:eastAsia="lt-LT"/>
            </w:rPr>
            <w:t>DĖL ATLEIDIMO NUO MOKĖJIMO UŽ DIENOS SOCIALINĖS GLOBOS ASMENS NAMUOSE PASLAUGAS</w:t>
          </w:r>
        </w:p>
        <w:p>
          <w:pPr>
            <w:tabs>
              <w:tab w:val="left" w:pos="5557"/>
              <w:tab w:val="left" w:pos="6840"/>
              <w:tab w:val="left" w:pos="7020"/>
            </w:tabs>
            <w:jc w:val="center"/>
            <w:rPr>
              <w:rFonts w:ascii="Verdana" w:hAnsi="Verdana"/>
              <w:szCs w:val="24"/>
              <w:lang w:eastAsia="lt-LT"/>
            </w:rPr>
          </w:pPr>
        </w:p>
        <w:p>
          <w:pPr>
            <w:tabs>
              <w:tab w:val="left" w:pos="5557"/>
              <w:tab w:val="left" w:pos="6840"/>
              <w:tab w:val="left" w:pos="7020"/>
            </w:tabs>
            <w:jc w:val="center"/>
            <w:rPr>
              <w:rFonts w:ascii="Verdana" w:hAnsi="Verdana"/>
              <w:szCs w:val="24"/>
              <w:lang w:eastAsia="lt-LT"/>
            </w:rPr>
          </w:pPr>
        </w:p>
        <w:p>
          <w:pPr>
            <w:tabs>
              <w:tab w:val="left" w:pos="5557"/>
              <w:tab w:val="left" w:pos="6840"/>
              <w:tab w:val="left" w:pos="7020"/>
            </w:tabs>
            <w:jc w:val="center"/>
            <w:rPr>
              <w:rFonts w:ascii="Verdana" w:hAnsi="Verdana"/>
              <w:szCs w:val="24"/>
              <w:lang w:eastAsia="lt-LT"/>
            </w:rPr>
          </w:pPr>
          <w:r>
            <w:rPr>
              <w:rFonts w:ascii="Verdana" w:hAnsi="Verdana"/>
              <w:szCs w:val="24"/>
              <w:lang w:eastAsia="lt-LT"/>
            </w:rPr>
            <w:t>Marijampolė</w:t>
          </w:r>
        </w:p>
        <w:p>
          <w:pPr>
            <w:tabs>
              <w:tab w:val="left" w:pos="5557"/>
              <w:tab w:val="left" w:pos="6840"/>
              <w:tab w:val="left" w:pos="7020"/>
            </w:tabs>
            <w:jc w:val="center"/>
            <w:rPr>
              <w:rFonts w:ascii="Verdana" w:hAnsi="Verdana"/>
              <w:szCs w:val="24"/>
              <w:lang w:eastAsia="lt-LT"/>
            </w:rPr>
          </w:pPr>
        </w:p>
        <w:p>
          <w:pPr>
            <w:tabs>
              <w:tab w:val="left" w:pos="5557"/>
              <w:tab w:val="left" w:pos="6840"/>
              <w:tab w:val="left" w:pos="7020"/>
            </w:tabs>
            <w:jc w:val="center"/>
            <w:rPr>
              <w:rFonts w:ascii="Verdana" w:hAnsi="Verdana"/>
              <w:szCs w:val="24"/>
              <w:lang w:eastAsia="lt-LT"/>
            </w:rPr>
          </w:pPr>
        </w:p>
        <w:p>
          <w:pPr>
            <w:tabs>
              <w:tab w:val="left" w:pos="5557"/>
              <w:tab w:val="left" w:pos="6840"/>
              <w:tab w:val="left" w:pos="7020"/>
            </w:tabs>
            <w:jc w:val="center"/>
            <w:rPr>
              <w:rFonts w:ascii="Verdana" w:hAnsi="Verdana"/>
              <w:szCs w:val="24"/>
              <w:lang w:eastAsia="lt-LT"/>
            </w:rPr>
          </w:pPr>
        </w:p>
        <w:p>
          <w:pPr>
            <w:tabs>
              <w:tab w:val="left" w:pos="5557"/>
              <w:tab w:val="left" w:pos="6840"/>
              <w:tab w:val="left" w:pos="7020"/>
            </w:tabs>
            <w:rPr>
              <w:rFonts w:ascii="Verdana" w:hAnsi="Verdana"/>
              <w:szCs w:val="24"/>
              <w:lang w:eastAsia="lt-LT"/>
            </w:rPr>
          </w:pPr>
        </w:p>
        <w:p>
          <w:pPr>
            <w:tabs>
              <w:tab w:val="left" w:pos="5557"/>
              <w:tab w:val="left" w:pos="6840"/>
              <w:tab w:val="left" w:pos="7020"/>
            </w:tabs>
            <w:ind w:firstLine="720"/>
            <w:rPr>
              <w:rFonts w:ascii="Verdana" w:hAnsi="Verdana"/>
              <w:szCs w:val="24"/>
              <w:lang w:eastAsia="lt-LT"/>
            </w:rPr>
            <w:sectPr>
              <w:headerReference w:type="even" r:id="rId7"/>
              <w:headerReference w:type="default" r:id="rId8"/>
              <w:footerReference w:type="even" r:id="rId9"/>
              <w:footerReference w:type="default" r:id="rId10"/>
              <w:headerReference w:type="first" r:id="rId11"/>
              <w:footerReference w:type="first" r:id="rId12"/>
              <w:type w:val="continuous"/>
              <w:pgSz w:w="11906" w:h="16838" w:code="9"/>
              <w:pgMar w:top="1134" w:right="567" w:bottom="1134" w:left="1701" w:header="567" w:footer="567" w:gutter="0"/>
              <w:pgNumType w:start="1"/>
              <w:cols w:space="1296"/>
              <w:titlePg/>
              <w:docGrid w:linePitch="360"/>
            </w:sectPr>
          </w:pPr>
        </w:p>
        <w:p>
          <w:pPr>
            <w:tabs>
              <w:tab w:val="center" w:pos="4819"/>
              <w:tab w:val="right" w:pos="9638"/>
            </w:tabs>
            <w:rPr>
              <w:szCs w:val="24"/>
              <w:lang w:eastAsia="lt-LT"/>
            </w:rPr>
          </w:pPr>
        </w:p>
        <w:sdt>
          <w:sdtPr>
            <w:alias w:val="preambule"/>
            <w:tag w:val="part_5a1fee1e8ba948db931e9a7ef7718771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rFonts w:ascii="Verdana" w:hAnsi="Verdana"/>
                  <w:szCs w:val="24"/>
                  <w:lang w:eastAsia="lt-LT"/>
                </w:rPr>
              </w:pPr>
              <w:r>
                <w:rPr>
                  <w:rFonts w:ascii="Verdana" w:hAnsi="Verdana"/>
                  <w:szCs w:val="24"/>
                  <w:lang w:eastAsia="lt-LT"/>
                </w:rPr>
                <w:t xml:space="preserve">Vadovaudamasi Lietuvos Respublikos vietos savivaldos </w:t>
              </w:r>
              <w:hyperlink r:id="rId13" w:history="1">
                <w:r>
                  <w:rPr>
                    <w:rFonts w:ascii="Verdana" w:hAnsi="Verdana"/>
                    <w:szCs w:val="24"/>
                    <w:lang w:eastAsia="lt-LT"/>
                  </w:rPr>
                  <w:t>įstatymo</w:t>
                </w:r>
              </w:hyperlink>
              <w:r>
                <w:rPr>
                  <w:rFonts w:ascii="Verdana" w:hAnsi="Verdana"/>
                  <w:szCs w:val="24"/>
                  <w:lang w:eastAsia="lt-LT"/>
                </w:rPr>
                <w:t xml:space="preserve"> 15 straipsnio 2 dalies 14 punktu, Lietuvos Respublikos socialinių paslaugų </w:t>
              </w:r>
              <w:hyperlink r:id="rId14" w:history="1">
                <w:r>
                  <w:rPr>
                    <w:rFonts w:ascii="Verdana" w:hAnsi="Verdana"/>
                    <w:szCs w:val="24"/>
                    <w:lang w:eastAsia="lt-LT"/>
                  </w:rPr>
                  <w:t>įstatymo</w:t>
                </w:r>
              </w:hyperlink>
              <w:r>
                <w:rPr>
                  <w:rFonts w:ascii="Verdana" w:hAnsi="Verdana"/>
                  <w:szCs w:val="24"/>
                  <w:lang w:eastAsia="lt-LT"/>
                </w:rPr>
                <w:t xml:space="preserve"> 35 straipsnio 6 dalimi, Marijampolės savivaldybės gyventojų mokėjimo už socialines paslaugas tvarkos aprašo, patvirtinto Marijampolės savivaldybės tarybos 2024 m. rugpjūčio 26 d. sprendimu Nr. </w:t>
              </w:r>
              <w:hyperlink r:id="rId15" w:history="1">
                <w:r>
                  <w:rPr>
                    <w:rFonts w:ascii="Verdana" w:hAnsi="Verdana"/>
                    <w:szCs w:val="24"/>
                    <w:lang w:eastAsia="lt-LT"/>
                  </w:rPr>
                  <w:t>1-282</w:t>
                </w:r>
              </w:hyperlink>
              <w:r>
                <w:rPr>
                  <w:rFonts w:ascii="Verdana" w:hAnsi="Verdana"/>
                  <w:szCs w:val="24"/>
                  <w:lang w:eastAsia="lt-LT"/>
                </w:rPr>
                <w:t xml:space="preserve"> „Dėl Marijampolės savivaldybės gyventojų mokėjimo už socialines paslaugas tvarkos aprašo patvirtinimo“, 66.4, 68.2 papunkčiais, 71 punktu ir atsižvelgdama į Socialinių paslaugų poreikio nustatymo komisijos 2024 m. gruodžio 2 d. protokolą Nr. K-658, Marijampolės savivaldybės taryba </w:t>
              </w:r>
              <w:r>
                <w:rPr>
                  <w:rFonts w:ascii="Verdana" w:hAnsi="Verdana"/>
                  <w:spacing w:val="48"/>
                  <w:szCs w:val="24"/>
                  <w:lang w:eastAsia="lt-LT"/>
                </w:rPr>
                <w:t>nusprendžia</w:t>
              </w:r>
              <w:r>
                <w:rPr>
                  <w:rFonts w:ascii="Verdana" w:hAnsi="Verdana"/>
                  <w:szCs w:val="24"/>
                  <w:lang w:eastAsia="lt-LT"/>
                </w:rPr>
                <w:t>:</w:t>
              </w:r>
            </w:p>
          </w:sdtContent>
        </w:sdt>
        <w:sdt>
          <w:sdtPr>
            <w:alias w:val="1 p."/>
            <w:tag w:val="part_d5fd5559f8cd4355bb60781bb4b3341b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rFonts w:ascii="Verdana" w:hAnsi="Verdana"/>
                  <w:szCs w:val="24"/>
                  <w:lang w:eastAsia="lt-LT"/>
                </w:rPr>
              </w:pPr>
              <w:sdt>
                <w:sdtPr>
                  <w:alias w:val="Numeris"/>
                  <w:tag w:val="nr_d5fd5559f8cd4355bb60781bb4b3341b"/>
                  <w:lock w:val="sdtLocked"/>
                  <w:richText/>
                </w:sdtPr>
                <w:sdtContent>
                  <w:r>
                    <w:rPr>
                      <w:rFonts w:ascii="Verdana" w:hAnsi="Verdana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rFonts w:ascii="Verdana" w:hAnsi="Verdana"/>
                  <w:szCs w:val="24"/>
                  <w:lang w:eastAsia="lt-LT"/>
                </w:rPr>
                <w:t xml:space="preserve">. Atleisti </w:t>
              </w:r>
              <w:r>
                <w:rPr>
                  <w:rFonts w:ascii="Verdana" w:hAnsi="Verdana"/>
                  <w:i/>
                  <w:szCs w:val="24"/>
                  <w:lang w:eastAsia="lt-LT"/>
                </w:rPr>
                <w:t>(duomenys neskelbtini)</w:t>
              </w:r>
              <w:r>
                <w:rPr>
                  <w:rFonts w:ascii="Verdana" w:hAnsi="Verdana"/>
                  <w:szCs w:val="24"/>
                  <w:lang w:eastAsia="lt-LT"/>
                </w:rPr>
                <w:t xml:space="preserve">, nuo mokėjimo už sūnui </w:t>
              </w:r>
              <w:r>
                <w:rPr>
                  <w:rFonts w:ascii="Verdana" w:hAnsi="Verdana"/>
                  <w:i/>
                  <w:szCs w:val="24"/>
                  <w:lang w:eastAsia="lt-LT"/>
                </w:rPr>
                <w:t>(duomenys neskelbtini)</w:t>
              </w:r>
              <w:r>
                <w:rPr>
                  <w:rFonts w:ascii="Verdana" w:hAnsi="Verdana"/>
                  <w:szCs w:val="24"/>
                  <w:lang w:eastAsia="lt-LT"/>
                </w:rPr>
                <w:t>teikiamas dienos socialinės globos asmens namuose paslaugas 12 (dvylika) mėnesių, nuo 2025 m. sausio 1 d.</w:t>
              </w:r>
            </w:p>
          </w:sdtContent>
        </w:sdt>
        <w:sdt>
          <w:sdtPr>
            <w:alias w:val="2 p."/>
            <w:tag w:val="part_d978ea8b13434867b3c1a2dff424b9d1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rFonts w:ascii="Verdana" w:hAnsi="Verdana"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d978ea8b13434867b3c1a2dff424b9d1"/>
                  <w:lock w:val="sdtLocked"/>
                  <w:richText/>
                </w:sdtPr>
                <w:sdtContent>
                  <w:r>
                    <w:rPr>
                      <w:rFonts w:ascii="Verdana" w:hAnsi="Verdana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rFonts w:ascii="Verdana" w:hAnsi="Verdana"/>
                  <w:szCs w:val="24"/>
                  <w:lang w:eastAsia="lt-LT"/>
                </w:rPr>
                <w:t xml:space="preserve">. </w:t>
              </w:r>
              <w:r>
                <w:rPr>
                  <w:rFonts w:ascii="Verdana" w:hAnsi="Verdana"/>
                  <w:color w:val="000000"/>
                  <w:szCs w:val="24"/>
                  <w:lang w:eastAsia="lt-LT"/>
                </w:rPr>
                <w:t xml:space="preserve">Nurodyti, kad šis </w:t>
              </w:r>
              <w:r>
                <w:rPr>
                  <w:rFonts w:ascii="Verdana" w:hAnsi="Verdana"/>
                  <w:szCs w:val="24"/>
                  <w:lang w:eastAsia="lt-LT"/>
                </w:rPr>
                <w:t>sprendimas per vieną mėnesį nuo paskelbimo (įteikimo) dienos</w:t>
              </w:r>
              <w:r>
                <w:rPr>
                  <w:rFonts w:ascii="Verdana" w:hAnsi="Verdana"/>
                  <w:color w:val="212529"/>
                  <w:szCs w:val="24"/>
                  <w:shd w:val="clear" w:color="auto" w:fill="FFFFFF"/>
                  <w:lang w:eastAsia="lt-LT"/>
                </w:rPr>
                <w:t>, jeigu įstatymai nenustato kitaip,</w:t>
              </w:r>
              <w:r>
                <w:rPr>
                  <w:color w:val="212529"/>
                  <w:szCs w:val="24"/>
                  <w:shd w:val="clear" w:color="auto" w:fill="FFFFFF"/>
                  <w:lang w:eastAsia="lt-LT"/>
                </w:rPr>
                <w:t xml:space="preserve"> </w:t>
              </w:r>
              <w:r>
                <w:rPr>
                  <w:rFonts w:ascii="Verdana" w:hAnsi="Verdana"/>
                  <w:szCs w:val="24"/>
                  <w:lang w:eastAsia="lt-LT"/>
                </w:rPr>
                <w:t>gali būti skundžiamas Lietuvos administracinių ginčų komisijos Kauno apygardos skyriui (adresu: Laisvės al. 36, LT-44240 Kaunas) Lietuvos Respublikos ikiteisminio administracinių ginčų nagrinėjimo tvarkos įstatymo nustatyta tvarka arba Regionų administracinio teismo Kauno rūmams (adresu: A. Mickevičiaus g. 8A, LT-44312 Kaunas) Lietuvos Respublikos administracinių bylų teisenos įstatymo nustatyta tvarka.</w:t>
              </w:r>
            </w:p>
            <w:p>
              <w:pPr>
                <w:rPr>
                  <w:rFonts w:ascii="Verdana" w:hAnsi="Verdana"/>
                  <w:szCs w:val="24"/>
                  <w:lang w:eastAsia="lt-LT"/>
                </w:rPr>
              </w:pPr>
            </w:p>
            <w:p>
              <w:pPr>
                <w:rPr>
                  <w:rFonts w:ascii="Verdana" w:hAnsi="Verdana"/>
                  <w:szCs w:val="24"/>
                  <w:lang w:eastAsia="lt-LT"/>
                </w:rPr>
                <w:sectPr>
                  <w:type w:val="continuous"/>
                  <w:pgSz w:w="11906" w:h="16838" w:code="9"/>
                  <w:pgMar w:top="1134" w:right="567" w:bottom="1134" w:left="1701" w:header="567" w:footer="567" w:gutter="0"/>
                  <w:pgNumType w:start="1"/>
                  <w:cols w:space="1296"/>
                  <w:formProt w:val="0"/>
                  <w:titlePg/>
                  <w:docGrid w:linePitch="360"/>
                </w:sectPr>
              </w:pPr>
            </w:p>
            <w:p>
              <w:pPr>
                <w:tabs>
                  <w:tab w:val="center" w:pos="4819"/>
                  <w:tab w:val="right" w:pos="9638"/>
                </w:tabs>
                <w:ind w:right="1134"/>
                <w:jc w:val="right"/>
                <w:rPr>
                  <w:rFonts w:ascii="Verdana" w:hAnsi="Verdana"/>
                  <w:sz w:val="20"/>
                  <w:lang w:eastAsia="lt-LT"/>
                </w:rPr>
              </w:pPr>
            </w:p>
            <w:p>
              <w:pPr>
                <w:rPr>
                  <w:rFonts w:ascii="Verdana" w:hAnsi="Verdana"/>
                  <w:szCs w:val="24"/>
                  <w:lang w:eastAsia="lt-LT"/>
                </w:rPr>
              </w:pPr>
            </w:p>
            <w:p>
              <w:pPr>
                <w:rPr>
                  <w:rFonts w:ascii="Verdana" w:hAnsi="Verdana"/>
                  <w:szCs w:val="24"/>
                  <w:lang w:eastAsia="lt-LT"/>
                </w:rPr>
              </w:pPr>
            </w:p>
            <w:tbl>
              <w:tblPr>
                <w:tblW w:w="6237" w:type="dxa"/>
                <w:tblLayout w:type="fixed"/>
                <w:tblCellMar>
                  <w:left w:w="0" w:type="dxa"/>
                  <w:right w:w="0" w:type="dxa"/>
                </w:tblCellMar>
                <w:tblLook w:val="01E0" w:firstRow="1" w:lastRow="1" w:firstColumn="1" w:lastColumn="1" w:noHBand="0" w:noVBand="0"/>
              </w:tblPr>
              <w:tblGrid>
                <w:gridCol w:w="6237"/>
              </w:tblGrid>
              <w:tr>
                <w:tc>
                  <w:tcPr>
                    <w:tcW w:w="6237" w:type="dxa"/>
                    <w:shd w:val="clear" w:color="auto" w:fill="auto"/>
                  </w:tcPr>
                  <w:p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Savivaldybės meras</w:t>
                    </w:r>
                  </w:p>
                </w:tc>
              </w:tr>
            </w:tbl>
            <w:p>
              <w:pPr>
                <w:rPr>
                  <w:rFonts w:ascii="Verdana" w:hAnsi="Verdana"/>
                  <w:szCs w:val="24"/>
                  <w:lang w:eastAsia="lt-LT"/>
                </w:rPr>
              </w:pPr>
            </w:p>
            <w:p>
              <w:pPr>
                <w:rPr>
                  <w:rFonts w:ascii="Verdana" w:hAnsi="Verdana"/>
                  <w:szCs w:val="24"/>
                  <w:lang w:eastAsia="lt-LT"/>
                </w:rPr>
              </w:pPr>
            </w:p>
            <w:p>
              <w:pPr>
                <w:rPr>
                  <w:rFonts w:ascii="Verdana" w:hAnsi="Verdana"/>
                  <w:szCs w:val="24"/>
                  <w:lang w:eastAsia="lt-LT"/>
                </w:rPr>
              </w:pPr>
            </w:p>
            <w:p>
              <w:pPr>
                <w:rPr>
                  <w:rFonts w:ascii="Verdana" w:hAnsi="Verdana"/>
                  <w:szCs w:val="24"/>
                  <w:lang w:eastAsia="lt-LT"/>
                </w:rPr>
              </w:pPr>
            </w:p>
            <w:p>
              <w:pPr>
                <w:rPr>
                  <w:rFonts w:ascii="Verdana" w:hAnsi="Verdana"/>
                  <w:szCs w:val="24"/>
                  <w:lang w:eastAsia="lt-LT"/>
                </w:rPr>
              </w:pPr>
            </w:p>
            <w:p>
              <w:pPr>
                <w:rPr>
                  <w:rFonts w:ascii="Verdana" w:hAnsi="Verdana"/>
                  <w:szCs w:val="24"/>
                  <w:lang w:eastAsia="lt-LT"/>
                </w:rPr>
              </w:pPr>
            </w:p>
            <w:p>
              <w:pPr>
                <w:rPr>
                  <w:rFonts w:ascii="Verdana" w:hAnsi="Verdana"/>
                  <w:szCs w:val="24"/>
                  <w:lang w:eastAsia="lt-LT"/>
                </w:rPr>
              </w:pPr>
              <w:r>
                <w:rPr>
                  <w:rFonts w:ascii="Verdana" w:hAnsi="Verdana"/>
                  <w:szCs w:val="24"/>
                  <w:lang w:eastAsia="lt-LT"/>
                </w:rPr>
                <w:t>Daiva Lieguvienė</w:t>
              </w:r>
            </w:p>
            <w:p>
              <w:pPr>
                <w:rPr>
                  <w:rFonts w:ascii="Verdana" w:hAnsi="Verdana"/>
                  <w:szCs w:val="24"/>
                  <w:lang w:eastAsia="lt-LT"/>
                </w:rPr>
              </w:pPr>
            </w:p>
            <w:p>
              <w:pPr>
                <w:rPr>
                  <w:rFonts w:ascii="Verdana" w:hAnsi="Verdana"/>
                  <w:szCs w:val="24"/>
                  <w:lang w:eastAsia="lt-LT"/>
                </w:rPr>
                <w:sectPr>
                  <w:headerReference w:type="first" r:id="rId16"/>
                  <w:type w:val="continuous"/>
                  <w:pgSz w:w="11906" w:h="16838" w:code="9"/>
                  <w:pgMar w:top="1134" w:right="567" w:bottom="1134" w:left="1701" w:header="567" w:footer="567" w:gutter="0"/>
                  <w:pgNumType w:start="1"/>
                  <w:cols w:space="1296"/>
                  <w:formProt w:val="0"/>
                  <w:titlePg/>
                  <w:docGrid w:linePitch="360"/>
                </w:sectPr>
              </w:pPr>
              <w:r>
                <w:rPr>
                  <w:rFonts w:ascii="Verdana" w:hAnsi="Verdana"/>
                  <w:szCs w:val="24"/>
                  <w:lang w:eastAsia="lt-LT"/>
                </w:rPr>
                <w:t xml:space="preserve">Sprendimą paskelbti: Interneto svetainėje </w:t>
              </w:r>
              <w:r>
                <w:rPr>
                  <w:rFonts w:ascii="Verdana" w:hAnsi="Verdana"/>
                  <w:szCs w:val="24"/>
                  <w:lang w:eastAsia="lt-LT"/>
                </w:rPr>
                <w:fldChar w:fldCharType="begin" w:fldLock="1">
                  <w:ffData>
                    <w:name w:val="Tikrinti1"/>
                    <w:enabled/>
                    <w:calcOnExit w:val="0"/>
                    <w:checkBox>
                      <w:sizeAuto/>
                      <w:default w:val="1"/>
                    </w:checkBox>
                  </w:ffData>
                </w:fldChar>
              </w:r>
              <w:r>
                <w:rPr>
                  <w:rFonts w:ascii="Verdana" w:hAnsi="Verdana"/>
                  <w:szCs w:val="24"/>
                  <w:lang w:eastAsia="lt-LT"/>
                </w:rPr>
                <w:instrText xml:space="preserve"> FORMCHECKBOX </w:instrText>
              </w:r>
              <w:r>
                <w:rPr>
                  <w:rFonts w:ascii="Verdana" w:hAnsi="Verdana"/>
                  <w:szCs w:val="24"/>
                  <w:lang w:eastAsia="lt-LT"/>
                </w:rPr>
                <w:fldChar w:fldCharType="separate"/>
              </w:r>
              <w:r>
                <w:rPr>
                  <w:rFonts w:ascii="Verdana" w:hAnsi="Verdana"/>
                  <w:szCs w:val="24"/>
                  <w:lang w:eastAsia="lt-LT"/>
                </w:rPr>
                <w:fldChar w:fldCharType="end"/>
              </w:r>
              <w:r>
                <w:rPr>
                  <w:rFonts w:ascii="Verdana" w:hAnsi="Verdana"/>
                  <w:szCs w:val="24"/>
                  <w:lang w:eastAsia="lt-LT"/>
                </w:rPr>
                <w:t xml:space="preserve">;  TAR </w:t>
              </w:r>
              <w:r>
                <w:rPr>
                  <w:rFonts w:ascii="Verdana" w:hAnsi="Verdana"/>
                  <w:szCs w:val="24"/>
                  <w:lang w:eastAsia="lt-LT"/>
                </w:rPr>
                <w:fldChar w:fldCharType="begin" w:fldLock="1">
                  <w:ffData>
                    <w:name w:val="Tikrinti1"/>
                    <w:enabled/>
                    <w:calcOnExit w:val="0"/>
                    <w:checkBox>
                      <w:sizeAuto/>
                      <w:default w:val="0"/>
                    </w:checkBox>
                  </w:ffData>
                </w:fldChar>
              </w:r>
              <w:r>
                <w:rPr>
                  <w:rFonts w:ascii="Verdana" w:hAnsi="Verdana"/>
                  <w:szCs w:val="24"/>
                  <w:lang w:eastAsia="lt-LT"/>
                </w:rPr>
                <w:instrText xml:space="preserve"> FORMCHECKBOX </w:instrText>
              </w:r>
              <w:r>
                <w:rPr>
                  <w:rFonts w:ascii="Verdana" w:hAnsi="Verdana"/>
                  <w:szCs w:val="24"/>
                  <w:lang w:eastAsia="lt-LT"/>
                </w:rPr>
                <w:fldChar w:fldCharType="separate"/>
              </w:r>
              <w:r>
                <w:rPr>
                  <w:rFonts w:ascii="Verdana" w:hAnsi="Verdana"/>
                  <w:szCs w:val="24"/>
                  <w:lang w:eastAsia="lt-LT"/>
                </w:rPr>
                <w:fldChar w:fldCharType="end"/>
              </w:r>
            </w:p>
            <w:p>
              <w:pPr>
                <w:tabs>
                  <w:tab w:val="center" w:pos="4819"/>
                  <w:tab w:val="right" w:pos="9638"/>
                </w:tabs>
                <w:rPr>
                  <w:szCs w:val="24"/>
                  <w:lang w:eastAsia="lt-LT"/>
                </w:rPr>
              </w:pPr>
            </w:p>
          </w:sdtContent>
        </w:sdt>
        <w:sdt>
          <w:sdtPr>
            <w:alias w:val="skirsnis"/>
            <w:tag w:val="part_596951a66d7a42828743362b037567c5"/>
            <w:lock w:val="sdtLocked"/>
            <w:richText/>
          </w:sdtPr>
          <w:sdtContent>
            <w:p>
              <w:pPr>
                <w:jc w:val="center"/>
                <w:rPr>
                  <w:rFonts w:ascii="Verdana" w:hAnsi="Verdana"/>
                  <w:b/>
                  <w:szCs w:val="24"/>
                  <w:lang w:eastAsia="lt-LT"/>
                </w:rPr>
              </w:pPr>
              <w:sdt>
                <w:sdtPr>
                  <w:alias w:val="Pavadinimas"/>
                  <w:tag w:val="title_596951a66d7a42828743362b037567c5"/>
                  <w:lock w:val="sdtLocked"/>
                  <w:richText/>
                </w:sdtPr>
                <w:sdtContent>
                  <w:r>
                    <w:rPr>
                      <w:rFonts w:ascii="Verdana" w:hAnsi="Verdana"/>
                      <w:b/>
                      <w:szCs w:val="24"/>
                      <w:lang w:eastAsia="lt-LT"/>
                    </w:rPr>
                    <w:t>MARIJAMPOLĖS SAVIVALDYBĖS ADMINISTRACIJOS</w:t>
                  </w:r>
                </w:sdtContent>
              </w:sdt>
            </w:p>
          </w:sdtContent>
        </w:sdt>
        <w:sdt>
          <w:sdtPr>
            <w:alias w:val="skyrius"/>
            <w:tag w:val="part_aa4e64497ee54aca91f9af9d5b302732"/>
            <w:lock w:val="sdtLocked"/>
            <w:richText/>
          </w:sdtPr>
          <w:sdtContent>
            <w:p>
              <w:pPr>
                <w:jc w:val="center"/>
                <w:rPr>
                  <w:rFonts w:ascii="Verdana" w:hAnsi="Verdana"/>
                  <w:szCs w:val="24"/>
                  <w:lang w:eastAsia="lt-LT"/>
                </w:rPr>
              </w:pPr>
              <w:r>
                <w:rPr>
                  <w:rFonts w:ascii="Verdana" w:hAnsi="Verdana"/>
                  <w:b/>
                  <w:szCs w:val="24"/>
                  <w:lang w:eastAsia="lt-LT"/>
                </w:rPr>
                <w:t>SOCIALINIŲ PASLAUGŲ SKYRIUS</w:t>
              </w:r>
            </w:p>
            <w:p>
              <w:pPr>
                <w:tabs>
                  <w:tab w:val="left" w:pos="5557"/>
                  <w:tab w:val="left" w:pos="6840"/>
                  <w:tab w:val="left" w:pos="7020"/>
                </w:tabs>
                <w:jc w:val="center"/>
                <w:rPr>
                  <w:rFonts w:ascii="Verdana" w:hAnsi="Verdana"/>
                  <w:szCs w:val="24"/>
                  <w:lang w:eastAsia="lt-LT"/>
                </w:rPr>
              </w:pPr>
            </w:p>
            <w:p>
              <w:pPr>
                <w:tabs>
                  <w:tab w:val="left" w:pos="5557"/>
                  <w:tab w:val="left" w:pos="6840"/>
                  <w:tab w:val="left" w:pos="7020"/>
                </w:tabs>
                <w:jc w:val="center"/>
                <w:rPr>
                  <w:rFonts w:ascii="Verdana" w:hAnsi="Verdana"/>
                  <w:b/>
                  <w:szCs w:val="24"/>
                  <w:lang w:eastAsia="lt-LT"/>
                </w:rPr>
              </w:pPr>
              <w:sdt>
                <w:sdtPr>
                  <w:alias w:val="Pavadinimas"/>
                  <w:tag w:val="title_aa4e64497ee54aca91f9af9d5b302732"/>
                  <w:lock w:val="sdtLocked"/>
                  <w:richText/>
                </w:sdtPr>
                <w:sdtContent>
                  <w:r>
                    <w:rPr>
                      <w:rFonts w:ascii="Verdana" w:hAnsi="Verdana"/>
                      <w:b/>
                      <w:szCs w:val="24"/>
                      <w:lang w:eastAsia="lt-LT"/>
                    </w:rPr>
                    <w:t>AIŠKINAMASIS RAŠTAS</w:t>
                  </w:r>
                </w:sdtContent>
              </w:sdt>
            </w:p>
            <w:p>
              <w:pPr>
                <w:tabs>
                  <w:tab w:val="left" w:pos="5557"/>
                  <w:tab w:val="left" w:pos="6840"/>
                  <w:tab w:val="left" w:pos="7020"/>
                </w:tabs>
                <w:jc w:val="center"/>
                <w:rPr>
                  <w:rFonts w:ascii="Verdana" w:hAnsi="Verdana"/>
                  <w:b/>
                  <w:szCs w:val="24"/>
                  <w:lang w:eastAsia="lt-LT"/>
                </w:rPr>
              </w:pPr>
            </w:p>
            <w:sdt>
              <w:sdtPr>
                <w:alias w:val="poskyris"/>
                <w:tag w:val="part_c2078f343fe948cdb42bba5398061f32"/>
                <w:lock w:val="sdtLocked"/>
                <w:richText/>
              </w:sdtPr>
              <w:sdtContent>
                <w:p>
                  <w:pPr>
                    <w:tabs>
                      <w:tab w:val="left" w:pos="5557"/>
                      <w:tab w:val="left" w:pos="6840"/>
                      <w:tab w:val="left" w:pos="7020"/>
                    </w:tabs>
                    <w:jc w:val="center"/>
                    <w:rPr>
                      <w:rFonts w:ascii="Verdana" w:hAnsi="Verdana"/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c2078f343fe948cdb42bba5398061f32"/>
                      <w:lock w:val="sdtLocked"/>
                      <w:richText/>
                    </w:sdtPr>
                    <w:sdtContent>
                      <w:r>
                        <w:rPr>
                          <w:rFonts w:ascii="Verdana" w:hAnsi="Verdana"/>
                          <w:b/>
                          <w:szCs w:val="24"/>
                          <w:lang w:eastAsia="lt-LT"/>
                        </w:rPr>
                        <w:t>DĖL ATLEIDIMO NUO MOKĖJIMO UŽ DIENOS SOCIALINĖS GLOBOS ASMENS NAMUOSE PASLAUGAS</w:t>
                      </w:r>
                    </w:sdtContent>
                  </w:sdt>
                </w:p>
                <w:p>
                  <w:pPr>
                    <w:tabs>
                      <w:tab w:val="left" w:pos="5557"/>
                      <w:tab w:val="left" w:pos="6840"/>
                      <w:tab w:val="left" w:pos="7020"/>
                    </w:tabs>
                    <w:jc w:val="center"/>
                    <w:rPr>
                      <w:rFonts w:ascii="Verdana" w:hAnsi="Verdana"/>
                      <w:b/>
                      <w:szCs w:val="24"/>
                      <w:lang w:eastAsia="lt-LT"/>
                    </w:rPr>
                  </w:pPr>
                </w:p>
                <w:tbl>
                  <w:tblPr>
                    <w:tblW w:w="0" w:type="auto"/>
                    <w:tblInd w:w="108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1E0" w:firstRow="1" w:lastRow="1" w:firstColumn="1" w:lastColumn="1" w:noHBand="0" w:noVBand="0"/>
                  </w:tblPr>
                  <w:tblGrid>
                    <w:gridCol w:w="3195"/>
                    <w:gridCol w:w="6325"/>
                  </w:tblGrid>
                  <w:tr>
                    <w:tc>
                      <w:tcPr>
                        <w:tcW w:w="319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Projekto pavadinimas</w:t>
                        </w:r>
                      </w:p>
                    </w:tc>
                    <w:tc>
                      <w:tcPr>
                        <w:tcW w:w="632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>
                        <w:pPr>
                          <w:tabs>
                            <w:tab w:val="left" w:pos="5557"/>
                            <w:tab w:val="left" w:pos="6840"/>
                            <w:tab w:val="left" w:pos="7020"/>
                          </w:tabs>
                          <w:rPr>
                            <w:rFonts w:ascii="Verdana" w:hAnsi="Verdana"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bCs/>
                            <w:szCs w:val="24"/>
                            <w:lang w:eastAsia="lt-LT"/>
                          </w:rPr>
                          <w:t>Dėl atleidimo nuo mokėjimo už dienos socialinės globos asmens namuose paslaugas</w:t>
                        </w:r>
                      </w:p>
                    </w:tc>
                  </w:tr>
                  <w:tr>
                    <w:trPr>
                      <w:trHeight w:val="1277"/>
                    </w:trPr>
                    <w:tc>
                      <w:tcPr>
                        <w:tcW w:w="319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Parengto sprendimo projekto tikslai ir uždaviniai</w:t>
                        </w:r>
                      </w:p>
                    </w:tc>
                    <w:tc>
                      <w:tcPr>
                        <w:tcW w:w="632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>
                        <w:pPr>
                          <w:shd w:val="clear" w:color="auto" w:fill="FFFFFF"/>
                          <w:ind w:right="118"/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Tikslas – atleisti fizinį asmenį nuo mokėjimo už teikiamas socialines paslaugas.</w:t>
                        </w:r>
                      </w:p>
                    </w:tc>
                  </w:tr>
                  <w:tr>
                    <w:tc>
                      <w:tcPr>
                        <w:tcW w:w="319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rPr>
                            <w:rFonts w:ascii="Verdana" w:hAnsi="Verdana"/>
                            <w:strike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Numatomos naujos teisinio reglamentavimo nuostatos, priėmus sprendimą laukiami rezultatai</w:t>
                        </w:r>
                      </w:p>
                    </w:tc>
                    <w:tc>
                      <w:tcPr>
                        <w:tcW w:w="632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shd w:val="clear" w:color="auto" w:fill="FFFFFF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shd w:val="clear" w:color="auto" w:fill="FFFFFF"/>
                            <w:lang w:eastAsia="lt-LT"/>
                          </w:rPr>
                          <w:t>Sprendimo projektas atitinka teisės aktų nuostatas.</w:t>
                        </w:r>
                      </w:p>
                      <w:p>
                        <w:pPr>
                          <w:shd w:val="clear" w:color="auto" w:fill="FFFFFF"/>
                          <w:ind w:right="118"/>
                          <w:rPr>
                            <w:rFonts w:ascii="Verdana" w:hAnsi="Verdana"/>
                            <w:color w:val="212529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shd w:val="clear" w:color="auto" w:fill="FFFFFF"/>
                            <w:lang w:eastAsia="lt-LT"/>
                          </w:rPr>
                          <w:t xml:space="preserve">Priėmus sprendimą, bus suteikta lengvata asmeniui, </w:t>
                        </w: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kuris serga sunkia, reta liga ir jam yra nustatyta sunki negalia.</w:t>
                        </w:r>
                      </w:p>
                    </w:tc>
                  </w:tr>
                  <w:tr>
                    <w:tc>
                      <w:tcPr>
                        <w:tcW w:w="319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Savivaldybės biudžeto lėšų poreikis ir šaltiniai</w:t>
                        </w:r>
                      </w:p>
                    </w:tc>
                    <w:tc>
                      <w:tcPr>
                        <w:tcW w:w="632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Papildomų lėšų nereikės.</w:t>
                        </w:r>
                      </w:p>
                    </w:tc>
                  </w:tr>
                  <w:tr>
                    <w:trPr>
                      <w:trHeight w:val="1350"/>
                    </w:trPr>
                    <w:tc>
                      <w:tcPr>
                        <w:tcW w:w="319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shd w:val="clear" w:color="auto" w:fill="FFFFFF"/>
                            <w:lang w:eastAsia="lt-LT"/>
                          </w:rPr>
                          <w:t>Kiti sprendimui priimti ar rengėjo nuomone reikalingi pagrindimai, skaičiavimai ar paaiškinimai</w:t>
                        </w:r>
                      </w:p>
                    </w:tc>
                    <w:tc>
                      <w:tcPr>
                        <w:tcW w:w="632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shd w:val="clear" w:color="auto" w:fill="FFFFFF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shd w:val="clear" w:color="auto" w:fill="FFFFFF"/>
                            <w:lang w:eastAsia="lt-LT"/>
                          </w:rPr>
                          <w:t xml:space="preserve">Socialinių paslaugų įstatyme numatyta, kad savivaldybės nustatyta tvarka asmuo gali būti atleidžiamas nuo mokesčio už socialines paslaugas. </w:t>
                        </w:r>
                      </w:p>
                      <w:p>
                        <w:pPr>
                          <w:rPr>
                            <w:rFonts w:ascii="Verdana" w:hAnsi="Verdana"/>
                            <w:color w:val="000000"/>
                            <w:szCs w:val="24"/>
                            <w:shd w:val="clear" w:color="auto" w:fill="FFFFFF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shd w:val="clear" w:color="auto" w:fill="FFFFFF"/>
                            <w:lang w:eastAsia="lt-LT"/>
                          </w:rPr>
                          <w:t xml:space="preserve">Vadovaujantis </w:t>
                        </w: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 xml:space="preserve">Marijampolės savivaldybės gyventojų mokėjimo už socialines paslaugas tvarkos aprašu, patvirtintu Marijampolės savivaldybės tarybos 2024 m. rugpjūčio 26 d. sprendimu Nr. </w:t>
                        </w:r>
                        <w:hyperlink r:id="rId17" w:history="1">
                          <w:r>
                            <w:rPr>
                              <w:rFonts w:ascii="Verdana" w:hAnsi="Verdana"/>
                              <w:szCs w:val="24"/>
                              <w:lang w:eastAsia="lt-LT"/>
                            </w:rPr>
                            <w:t>1-282</w:t>
                          </w:r>
                        </w:hyperlink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 xml:space="preserve"> „Dėl Marijampolės savivaldybės gyventojų mokėjimo už socialines paslaugas tvarkos aprašo patvirtinimo“ (toliau –Aprašas),</w:t>
                        </w:r>
                        <w:r>
                          <w:rPr>
                            <w:rFonts w:ascii="Verdana" w:hAnsi="Verdana"/>
                            <w:color w:val="000000"/>
                            <w:szCs w:val="24"/>
                            <w:shd w:val="clear" w:color="auto" w:fill="FFFFFF"/>
                            <w:lang w:eastAsia="lt-LT"/>
                          </w:rPr>
                          <w:t xml:space="preserve"> asmuo už paslaugas turėtų mokėti 40% nuo spec. nuolatinės slaugos poreikio mokamos kompensacijos. Atsižvelgiant į suteiktų paslaugų (valandų) kiekį, mokama suma sudarytų nuo 165 Eur/mėn. (paslauga gali būti teikiama nuo 11 iki 40 val. per savaitę).</w:t>
                        </w:r>
                      </w:p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Asmuo su prašymu pateikė pateisinamus dokumentus (pažymas iš gydymo įstaigos, vaistų pirkimo čekiai, mokėjimo už komunalinius patarnavimus išrašai), kuriuose matoma asmens išlaidos dėl sunkios ir retos ligos.</w:t>
                        </w:r>
                      </w:p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Įvertinus pagal Aprašo reikalavimus pristatytus dokumentus, konstatuotina, kad pagal faktinę situaciją asmuo patenka į Apraše nurodytus išskirtinius atvejus, dėl retos ligos bei dėl to patiriamų išlaidų, todėl teikiamas siūlymas dėl atleidimo nuo mokėjimo.</w:t>
                        </w:r>
                      </w:p>
                    </w:tc>
                  </w:tr>
                  <w:tr>
                    <w:tc>
                      <w:tcPr>
                        <w:tcW w:w="319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Sprendimo projekto rengėjas ar rengėjų grupė, sprendimo projekto iniciatoriai</w:t>
                        </w:r>
                      </w:p>
                    </w:tc>
                    <w:tc>
                      <w:tcPr>
                        <w:tcW w:w="632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Rengėja - Socialinių paslaugų skyriaus vyriausioji specialistė Daiva Lieguvienė.</w:t>
                        </w:r>
                      </w:p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Iniciatorius - Socialinių paslaugų skyrius</w:t>
                        </w:r>
                      </w:p>
                    </w:tc>
                  </w:tr>
                  <w:tr>
                    <w:tc>
                      <w:tcPr>
                        <w:tcW w:w="319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Numatomo teisinio reguliavimo poveikio vertinimo rezultatai (jei tokį vertinimą reikia atlikti)</w:t>
                        </w:r>
                      </w:p>
                    </w:tc>
                    <w:tc>
                      <w:tcPr>
                        <w:tcW w:w="632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</w:p>
                    </w:tc>
                  </w:tr>
                  <w:tr>
                    <w:tc>
                      <w:tcPr>
                        <w:tcW w:w="319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Projektas turi būti suderintas</w:t>
                        </w:r>
                      </w:p>
                    </w:tc>
                    <w:tc>
                      <w:tcPr>
                        <w:tcW w:w="632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Socialinių paslaugų skyriumi, Teisės ir civilinės metrikacijos skyriumi, Administracijos direktoriumi</w:t>
                        </w:r>
                      </w:p>
                    </w:tc>
                  </w:tr>
                  <w:tr>
                    <w:tc>
                      <w:tcPr>
                        <w:tcW w:w="319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Pranešėjas</w:t>
                        </w:r>
                      </w:p>
                    </w:tc>
                    <w:tc>
                      <w:tcPr>
                        <w:tcW w:w="632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Socialinių paslaugų skyriaus vedėja Jolita Žukelienė</w:t>
                        </w:r>
                      </w:p>
                    </w:tc>
                  </w:tr>
                  <w:tr>
                    <w:tc>
                      <w:tcPr>
                        <w:tcW w:w="319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Adresatai, kuriems reikia siųsti sprendimo nuorašą, arba asmenys, kuriems reikia siųsti sprendimą susipažinti</w:t>
                        </w:r>
                      </w:p>
                    </w:tc>
                    <w:tc>
                      <w:tcPr>
                        <w:tcW w:w="632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Socialinių paslaugų skyriui</w:t>
                        </w:r>
                      </w:p>
                    </w:tc>
                  </w:tr>
                </w:tbl>
                <w:p/>
              </w:sdtContent>
            </w:sdt>
          </w:sdtContent>
        </w:sdt>
        <w:sdt>
          <w:sdtPr>
            <w:alias w:val="signatura"/>
            <w:tag w:val="part_d2e4c1e1701b4d3ba5ff47aaad4ea75d"/>
            <w:lock w:val="sdtLocked"/>
            <w:richText/>
          </w:sdtPr>
          <w:sdtContent>
            <w:p>
              <w:pPr>
                <w:jc w:val="center"/>
                <w:rPr>
                  <w:rFonts w:ascii="Verdana" w:hAnsi="Verdana"/>
                  <w:szCs w:val="24"/>
                  <w:lang w:eastAsia="lt-LT"/>
                </w:rPr>
              </w:pPr>
              <w:r>
                <w:rPr>
                  <w:rFonts w:ascii="Verdana" w:hAnsi="Verdana"/>
                  <w:szCs w:val="24"/>
                  <w:lang w:eastAsia="lt-LT"/>
                </w:rPr>
                <w:t>_________________________</w:t>
              </w:r>
            </w:p>
            <w:p>
              <w:pPr>
                <w:rPr>
                  <w:rFonts w:ascii="Verdana" w:hAnsi="Verdana"/>
                  <w:szCs w:val="24"/>
                  <w:lang w:eastAsia="lt-LT"/>
                </w:rPr>
              </w:pPr>
            </w:p>
            <w:p>
              <w:pPr>
                <w:rPr>
                  <w:rFonts w:ascii="Verdana" w:hAnsi="Verdana"/>
                  <w:szCs w:val="24"/>
                  <w:lang w:eastAsia="lt-LT"/>
                </w:rPr>
              </w:pPr>
            </w:p>
            <w:p>
              <w:pPr>
                <w:rPr>
                  <w:rFonts w:ascii="Verdana" w:hAnsi="Verdana"/>
                  <w:szCs w:val="24"/>
                  <w:lang w:eastAsia="lt-LT"/>
                </w:rPr>
              </w:pPr>
            </w:p>
            <w:p>
              <w:pPr>
                <w:rPr>
                  <w:rFonts w:ascii="Verdana" w:hAnsi="Verdana"/>
                  <w:szCs w:val="24"/>
                  <w:lang w:eastAsia="lt-LT"/>
                </w:rPr>
              </w:pPr>
            </w:p>
          </w:sdtContent>
        </w:sdt>
      </w:sdtContent>
    </w:sdt>
    <w:sectPr>
      <w:pgSz w:w="11906" w:h="16838" w:code="9"/>
      <w:pgMar w:top="1134" w:right="567" w:bottom="1134" w:left="1701" w:header="567" w:footer="567" w:gutter="0"/>
      <w:pgNumType w:start="1"/>
      <w:cols w:space="1296"/>
      <w:formProt w:val="0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endnote>
  <w:endnote w:type="continuationSeparator" w:id="0">
    <w:p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BA"/>
    <w:family w:val="swiss"/>
    <w:pitch w:val="variable"/>
    <w:sig w:usb0="A10006FF" w:usb1="4000205B" w:usb2="0000001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altName w:val="Arial"/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right"/>
      <w:rPr>
        <w:sz w:val="20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right"/>
      <w:rPr>
        <w:rFonts w:ascii="Verdana" w:hAnsi="Verdana"/>
        <w:sz w:val="20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footnote>
  <w:footnote w:type="continuationSeparator" w:id="0">
    <w:p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center"/>
      <w:rPr>
        <w:rFonts w:ascii="Verdana" w:hAnsi="Verdana"/>
        <w:sz w:val="20"/>
        <w:lang w:eastAsia="lt-LT"/>
      </w:rPr>
    </w:pPr>
    <w:r>
      <w:rPr>
        <w:rFonts w:ascii="Verdana" w:hAnsi="Verdana"/>
        <w:sz w:val="20"/>
        <w:lang w:eastAsia="lt-LT"/>
      </w:rPr>
      <w:fldChar w:fldCharType="begin"/>
    </w:r>
    <w:r>
      <w:rPr>
        <w:rFonts w:ascii="Verdana" w:hAnsi="Verdana"/>
        <w:sz w:val="20"/>
        <w:lang w:eastAsia="lt-LT"/>
      </w:rPr>
      <w:instrText xml:space="preserve"> PAGE </w:instrText>
    </w:r>
    <w:r>
      <w:rPr>
        <w:rFonts w:ascii="Verdana" w:hAnsi="Verdana"/>
        <w:sz w:val="20"/>
        <w:lang w:eastAsia="lt-LT"/>
      </w:rPr>
      <w:fldChar w:fldCharType="separate"/>
    </w:r>
    <w:r>
      <w:rPr>
        <w:rFonts w:ascii="Verdana" w:hAnsi="Verdana"/>
        <w:sz w:val="20"/>
        <w:lang w:eastAsia="lt-LT"/>
      </w:rPr>
      <w:t>2</w:t>
    </w:r>
    <w:r>
      <w:rPr>
        <w:rFonts w:ascii="Verdana" w:hAnsi="Verdana"/>
        <w:sz w:val="20"/>
        <w:lang w:eastAsia="lt-LT"/>
      </w:rPr>
      <w:fldChar w:fldCharType="end"/>
    </w: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header4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20"/>
  <w:hyphenationZone w:val="396"/>
  <w:doNotHyphenateCaps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50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5:docId w15:val="{0192CBF9-E8C9-41E7-888B-457E7DBFA83E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59447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777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hyperlink" TargetMode="External" Target="https://www.e-tar.lt/portal/lt/legalAct/TAR.D0CD0966D67F/asr"/>
  <Relationship Id="rId14" Type="http://schemas.openxmlformats.org/officeDocument/2006/relationships/hyperlink" TargetMode="External" Target="https://www.e-tar.lt/portal/lt/legalAct/TAR.91609F53E29E/asr"/>
  <Relationship Id="rId15" Type="http://schemas.openxmlformats.org/officeDocument/2006/relationships/hyperlink" TargetMode="External" Target="https://www.e-tar.lt/portal/lt/legalAct/d479c5b0653f11efafbb8694c098bac5"/>
  <Relationship Id="rId16" Type="http://schemas.openxmlformats.org/officeDocument/2006/relationships/header" Target="header4.xml"/>
  <Relationship Id="rId17" Type="http://schemas.openxmlformats.org/officeDocument/2006/relationships/hyperlink" TargetMode="External" Target="https://www.e-tar.lt/portal/lt/legalAct/d479c5b0653f11efafbb8694c098bac5"/>
  <Relationship Id="rId18" Type="http://schemas.openxmlformats.org/officeDocument/2006/relationships/fontTable" Target="fontTable.xml"/>
  <Relationship Id="rId19" Type="http://schemas.openxmlformats.org/officeDocument/2006/relationships/theme" Target="theme/theme1.xml"/>
  <Relationship Id="rId2" Type="http://schemas.openxmlformats.org/officeDocument/2006/relationships/styles" Target="styles.xml"/>
  <Relationship Id="rId20" Type="http://schemas.openxmlformats.org/officeDocument/2006/relationships/customXml" Target="../customXml/item2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6d30e92a4d0d4eddbbcc649c3d7a08de" PartId="4d50e50cbfd74ced9eadcbacc3f885f2">
    <Part Type="preambule" DocPartId="ee1f9577a77c458f92696c5e9fca5687" PartId="5a1fee1e8ba948db931e9a7ef7718771"/>
    <Part Type="punktas" Nr="1" Abbr="1 p." DocPartId="599383d2c5ee4b9faa879674b90e5502" PartId="d5fd5559f8cd4355bb60781bb4b3341b"/>
    <Part Type="punktas" Nr="2" Abbr="2 p." DocPartId="b77a0c9c498d4a38a61c81f7569d5d99" PartId="d978ea8b13434867b3c1a2dff424b9d1"/>
    <Part Type="skirsnis" Title="MARIJAMPOLĖS SAVIVALDYBĖS ADMINISTRACIJOS" DocPartId="62c637d44114443ba837980001c19ba7" PartId="596951a66d7a42828743362b037567c5"/>
    <Part Type="skyrius" Nr="999" Title="AIŠKINAMASIS RAŠTAS" DocPartId="3e0e4f005e824811b4d0ed654ddfd420" PartId="aa4e64497ee54aca91f9af9d5b302732">
      <Part Type="poskyris" Title="DĖL ATLEIDIMO NUO MOKĖJIMO UŽ DIENOS SOCIALINĖS GLOBOS ASMENS NAMUOSE PASLAUGAS" DocPartId="4f20f7c3920d43d497fe25981c1d3002" PartId="c2078f343fe948cdb42bba5398061f32"/>
    </Part>
    <Part Type="signatura" DocPartId="a85f546333c247f69a99b57cb7ce4cc4" PartId="d2e4c1e1701b4d3ba5ff47aaad4ea75d"/>
  </Part>
</Parts>
</file>

<file path=customXml/itemProps1.xml><?xml version="1.0" encoding="utf-8"?>
<ds:datastoreItem xmlns:ds="http://schemas.openxmlformats.org/officeDocument/2006/customXml" ds:itemID="{BD29FCFE-6A21-4177-A576-93E9A4C3295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3B2DE7C-8B30-4A84-A5AD-981E8ED822B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567</Words>
  <Characters>4106</Characters>
  <Application>Microsoft Office Word</Application>
  <DocSecurity>4</DocSecurity>
  <Lines>164</Lines>
  <Paragraphs>48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 </vt:lpstr>
    </vt:vector>
  </TitlesOfParts>
  <Company>mas</Company>
  <LinksUpToDate>false</LinksUpToDate>
  <CharactersWithSpaces>4625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2024-12-09T07:52:00Z</dcterms:created>
  <dc:creator>ras.matu</dc:creator>
  <lastModifiedBy>adlibuser</lastModifiedBy>
  <lastPrinted>1899-12-31T22:00:00Z</lastPrinted>
  <dcterms:modified xsi:type="dcterms:W3CDTF">2024-12-09T07:52:00Z</dcterms:modified>
  <revision>2</revision>
</coreProperties>
</file>