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2c71fcbaf854b8ba82f33262b44db20"/>
        <w:lock w:val="sdtLocked"/>
        <w:richText/>
      </w:sdtPr>
      <w:sdtContent>
        <w:p>
          <w:pPr>
            <w:shd w:val="clear" w:color="auto" w:fill="FFFFFF"/>
            <w:ind w:left="7776"/>
            <w:rPr>
              <w:rFonts w:eastAsia="Calibri"/>
              <w:b/>
              <w:position w:val="6"/>
              <w:szCs w:val="24"/>
              <w14:cntxtAlts/>
            </w:rPr>
          </w:pPr>
          <w:r>
            <w:rPr>
              <w:rFonts w:eastAsia="Calibri"/>
              <w:b/>
              <w:position w:val="6"/>
              <w:szCs w:val="24"/>
              <w14:cntxtAlts/>
            </w:rPr>
            <w:t>Projektas</w:t>
          </w:r>
        </w:p>
        <w:p>
          <w:pPr>
            <w:shd w:val="clear" w:color="auto" w:fill="FFFFFF"/>
            <w:ind w:left="6480" w:right="424" w:firstLine="750"/>
            <w:jc w:val="center"/>
            <w:rPr>
              <w:rFonts w:eastAsia="Calibri"/>
              <w:bCs/>
              <w:position w:val="6"/>
              <w:szCs w:val="24"/>
              <w14:cntxtAlts/>
            </w:rPr>
          </w:pPr>
          <w:r>
            <w:rPr>
              <w:rFonts w:eastAsia="Calibri"/>
              <w:bCs/>
              <w:position w:val="6"/>
              <w:szCs w:val="24"/>
              <w14:cntxtAlts/>
            </w:rPr>
            <w:t>Nr. TSP-</w:t>
          </w:r>
        </w:p>
        <w:p>
          <w:pPr>
            <w:shd w:val="clear" w:color="auto" w:fill="FFFFFF"/>
            <w:jc w:val="center"/>
            <w:rPr>
              <w:rFonts w:eastAsia="Calibri"/>
              <w:bCs/>
              <w:position w:val="6"/>
              <w:szCs w:val="24"/>
              <w14:cntxtAlts/>
            </w:rPr>
          </w:pPr>
        </w:p>
        <w:p>
          <w:pPr>
            <w:shd w:val="clear" w:color="auto" w:fill="FFFFFF"/>
            <w:spacing w:line="276" w:lineRule="auto"/>
            <w:jc w:val="center"/>
            <w:rPr>
              <w:rFonts w:eastAsia="Calibri"/>
              <w:b/>
              <w:position w:val="6"/>
              <w:szCs w:val="24"/>
              <w14:cntxtAlts/>
            </w:rPr>
          </w:pPr>
          <w:r>
            <w:rPr>
              <w:rFonts w:eastAsia="Calibri"/>
              <w:b/>
              <w:position w:val="6"/>
              <w:szCs w:val="24"/>
              <w14:cntxtAlts/>
            </w:rPr>
            <w:t>RADVILIŠKIO RAJONO SAVIVALDYBĖS TARYBA</w:t>
          </w:r>
        </w:p>
        <w:p>
          <w:pPr>
            <w:rPr>
              <w:sz w:val="18"/>
              <w:szCs w:val="18"/>
            </w:rPr>
          </w:pPr>
        </w:p>
        <w:p>
          <w:pPr>
            <w:shd w:val="clear" w:color="auto" w:fill="FFFFFF"/>
            <w:jc w:val="center"/>
            <w:rPr>
              <w:b/>
              <w:position w:val="6"/>
              <w:szCs w:val="24"/>
              <w:lang w:eastAsia="lt-LT"/>
              <w14:cntxtAlts/>
            </w:rPr>
          </w:pPr>
          <w:r>
            <w:rPr>
              <w:b/>
              <w:position w:val="6"/>
              <w:szCs w:val="24"/>
              <w:lang w:eastAsia="lt-LT"/>
              <w14:cntxtAlts/>
            </w:rPr>
            <w:t>SPRENDIMAS</w:t>
          </w:r>
        </w:p>
        <w:p>
          <w:pPr>
            <w:shd w:val="clear" w:color="auto" w:fill="FFFFFF"/>
            <w:jc w:val="center"/>
            <w:rPr>
              <w:b/>
              <w:position w:val="6"/>
              <w:szCs w:val="24"/>
              <w:lang w:eastAsia="lt-LT"/>
              <w14:cntxtAlts/>
            </w:rPr>
          </w:pPr>
          <w:r>
            <w:rPr>
              <w:b/>
              <w:position w:val="6"/>
              <w:szCs w:val="24"/>
              <w:lang w:eastAsia="lt-LT"/>
              <w14:cntxtAlts/>
            </w:rPr>
            <w:t>DĖL RADVILIŠKIO RAJONO SAVIVALDYBĖS TARYBOS 2025 M. VASARIO 13 D. SPRENDIMO NR. T-557 „DĖL RADVILIŠKIO RAJONO SAVIVALDYBĖS 2025–2027 METŲ BIUDŽETO PATVIRTINIMO“ PAKEITIMO</w:t>
          </w:r>
        </w:p>
        <w:p>
          <w:pPr>
            <w:shd w:val="clear" w:color="auto" w:fill="FFFFFF"/>
            <w:jc w:val="center"/>
            <w:rPr>
              <w:b/>
              <w:position w:val="6"/>
              <w:szCs w:val="24"/>
              <w:lang w:eastAsia="lt-LT"/>
              <w14:cntxtAlts/>
            </w:rPr>
          </w:pPr>
        </w:p>
        <w:p>
          <w:pPr>
            <w:shd w:val="clear" w:color="auto" w:fill="FFFFFF"/>
            <w:jc w:val="center"/>
            <w:rPr>
              <w:position w:val="6"/>
              <w:szCs w:val="24"/>
              <w:lang w:eastAsia="lt-LT"/>
              <w14:cntxtAlts/>
            </w:rPr>
          </w:pPr>
          <w:r>
            <w:rPr>
              <w:position w:val="6"/>
              <w:szCs w:val="24"/>
              <w:lang w:eastAsia="lt-LT"/>
              <w14:cntxtAlts/>
            </w:rPr>
            <w:t xml:space="preserve">2025 m.                  d. Nr. T-</w:t>
          </w:r>
        </w:p>
        <w:p>
          <w:pPr>
            <w:shd w:val="clear" w:color="auto" w:fill="FFFFFF"/>
            <w:jc w:val="center"/>
            <w:rPr>
              <w:position w:val="6"/>
              <w:szCs w:val="24"/>
              <w:lang w:eastAsia="lt-LT"/>
              <w14:cntxtAlts/>
            </w:rPr>
          </w:pPr>
          <w:r>
            <w:rPr>
              <w:position w:val="6"/>
              <w:szCs w:val="24"/>
              <w:lang w:eastAsia="lt-LT"/>
              <w14:cntxtAlts/>
            </w:rPr>
            <w:t xml:space="preserve">Radviliškis </w:t>
          </w:r>
        </w:p>
        <w:p>
          <w:pPr>
            <w:jc w:val="both"/>
            <w:rPr>
              <w:szCs w:val="24"/>
            </w:rPr>
          </w:pPr>
        </w:p>
        <w:sdt>
          <w:sdtPr>
            <w:alias w:val="preambule"/>
            <w:tag w:val="part_792a3c5d953746508034c32f3f2e4924"/>
            <w:lock w:val="sdtLocked"/>
            <w:richText/>
          </w:sdtPr>
          <w:sdtContent>
            <w:p>
              <w:pPr>
                <w:ind w:firstLine="709"/>
                <w:jc w:val="both"/>
                <w:rPr>
                  <w:szCs w:val="24"/>
                </w:rPr>
              </w:pPr>
              <w:r>
                <w:rPr>
                  <w:szCs w:val="24"/>
                </w:rPr>
                <w:t>Vadovaudamasi Lietuvos Respublikos vietos savivaldos įstatymo 15 straipsnio 2 dalies 12 punktu, 66 straipsnio 2 dalimi, Lietuvos Respublikos biudžeto sandaros įstatymo 16 straipsnio 1 dalimi, 22 straipsnio 3 dalimi,</w:t>
              </w:r>
              <w:r>
                <w:rPr>
                  <w:sz w:val="22"/>
                  <w:szCs w:val="22"/>
                </w:rPr>
                <w:t xml:space="preserve"> </w:t>
              </w:r>
              <w:r>
                <w:rPr>
                  <w:szCs w:val="24"/>
                </w:rPr>
                <w:t xml:space="preserve">Asmens su negalia teisių apsaugos agentūros prie Lietuvos Respublikos socialinės apsaugos ir darbo ministerijos direktoriaus 2025 m. rugsėjo 15 d. įsakymu Nr. V-129 „Dėl Asmens su negalia teisių apsaugos agentūros prie Lietuvos Respublikos socialinės apsaugos ir darbo ministerijos direktoriaus 2024 m. gruodžio 30 d. įsakymu Nr. V-262 „Dėl 2025 metams asmeninei pagalbai teikti ir administruoti skirtų Lietuvos Respublikos valstybės biudžeto lėšų paskirstymo  savivaldybių administracijoms sąrašo patvirtinimo“ pakeitimo“, Lietuvos Respublikos socialinės apsaugos ir darbo ministro 2025 m. spalio 3 d. įsakymu Nr. A1-546 „Dėl Lietuvos Respublikos socialinės apsaugos ir darbo ministro 2024 m. gruodžio 23 d. įsakymo Nr. A1-933 „Dėl Lietuvos Respublikos valstybės biudžeto lėšų laikino atokvėpio paslaugai teikti ir administruoti  2025 metais paskirstymo savivaldybių administracijoms“ pakeitimo“, Lietuvos Respublikos švietimo, mokslo ir sporto ministro 2025 m. rugsėjo 30 d. įsakymu Nr. V-1003 „Dėl švietimo, mokslo ir sporto ministro 2025 m. sausio 17 d. įsakymo Nr. V-46 „Dėl vaikų, kuriems skirtas privalomas ugdymas pagal ikimokyklinio ugdymo programą, ugdymui, maitinimui ir vežiojimui skiriamų papildomų lėšų 2025 metais paskirstymo pagal savivaldybes patvirtinimo“ pakeitimo“, Lietuvos Respublikos socialinės apsaugos ir darbo ministro 2025 m. spalio 20 d. įsakymu Nr. A1-580 „Dėl valstybės biudžeto lėšų paskirstymo savivaldybių administracijoms 2025 metais, siekiant užtikrinti Lietuvos Respublikos piniginės socialinės paramos nepasiturintiems gyventojams įstatymo įgyvendinimą“, atsižvelgdama į 2024 m. liepos 15 d. Jungtinės veiklos sutartį Nr. 10-013-p-0001/051 su VšĮ Europos socialinio fondo agentūra, į gautus prašymus ir į</w:t>
              </w:r>
              <w:r>
                <w:rPr>
                  <w:sz w:val="22"/>
                  <w:szCs w:val="22"/>
                </w:rPr>
                <w:t xml:space="preserve"> </w:t>
              </w:r>
              <w:r>
                <w:rPr>
                  <w:szCs w:val="24"/>
                </w:rPr>
                <w:t>Radviliškio rajono savivaldybės</w:t>
              </w:r>
              <w:r>
                <w:rPr>
                  <w:sz w:val="22"/>
                  <w:szCs w:val="22"/>
                </w:rPr>
                <w:t xml:space="preserve"> </w:t>
              </w:r>
              <w:r>
                <w:rPr>
                  <w:szCs w:val="24"/>
                </w:rPr>
                <w:t xml:space="preserve">mero 2025 m. spalio 7 d. potvarkį Nr. M-497 (2.5 E) „Dėl  Radviliškio rajono savivaldybės tarybos 2025 m. vasario 13 d. sprendimo Nr. T-557 „Dėl Radviliškio rajono savivaldybės  2025–2027 metų biudžeto patvirtinimo“ pakeitimo“,  Radviliškio rajono savivaldybės taryba  </w:t>
              </w:r>
              <w:r>
                <w:rPr>
                  <w:spacing w:val="50"/>
                  <w:szCs w:val="24"/>
                </w:rPr>
                <w:t>nusprendži</w:t>
              </w:r>
              <w:r>
                <w:rPr>
                  <w:szCs w:val="24"/>
                </w:rPr>
                <w:t xml:space="preserve">a: </w:t>
              </w:r>
            </w:p>
          </w:sdtContent>
        </w:sdt>
        <w:sdt>
          <w:sdtPr>
            <w:alias w:val="1 p."/>
            <w:tag w:val="part_efb37a8dd4914c3c88c18084c0d3d10a"/>
            <w:lock w:val="sdtLocked"/>
            <w:richText/>
          </w:sdtPr>
          <w:sdtContent>
            <w:p>
              <w:pPr>
                <w:ind w:firstLine="709"/>
                <w:jc w:val="both"/>
                <w:rPr>
                  <w:szCs w:val="24"/>
                </w:rPr>
              </w:pPr>
              <w:sdt>
                <w:sdtPr>
                  <w:alias w:val="Numeris"/>
                  <w:tag w:val="nr_efb37a8dd4914c3c88c18084c0d3d10a"/>
                  <w:lock w:val="sdtLocked"/>
                  <w:richText/>
                </w:sdtPr>
                <w:sdtContent>
                  <w:r>
                    <w:rPr>
                      <w:szCs w:val="24"/>
                    </w:rPr>
                    <w:t>1</w:t>
                  </w:r>
                </w:sdtContent>
              </w:sdt>
              <w:r>
                <w:rPr>
                  <w:szCs w:val="24"/>
                </w:rPr>
                <w:t>. Pakeisti Radviliškio rajono savivaldybės tarybos 2025 m. vasario 13 d. sprendimo Nr. T-557 „Dėl Radviliškio rajono savivaldybės 2025–2027 metų biudžeto patvirtinimo“ (toliau – Sprendimas):</w:t>
              </w:r>
            </w:p>
            <w:sdt>
              <w:sdtPr>
                <w:alias w:val="1.1 pp."/>
                <w:tag w:val="part_ed9646f852a04dc8aaf10ec28ffa370e"/>
                <w:lock w:val="sdtLocked"/>
                <w:richText/>
              </w:sdtPr>
              <w:sdtContent>
                <w:p>
                  <w:pPr>
                    <w:ind w:firstLine="709"/>
                    <w:jc w:val="both"/>
                    <w:rPr>
                      <w:szCs w:val="24"/>
                    </w:rPr>
                  </w:pPr>
                  <w:sdt>
                    <w:sdtPr>
                      <w:alias w:val="Numeris"/>
                      <w:tag w:val="nr_ed9646f852a04dc8aaf10ec28ffa370e"/>
                      <w:lock w:val="sdtLocked"/>
                      <w:richText/>
                    </w:sdtPr>
                    <w:sdtContent>
                      <w:r>
                        <w:rPr>
                          <w:szCs w:val="24"/>
                        </w:rPr>
                        <w:t>1.1</w:t>
                      </w:r>
                    </w:sdtContent>
                  </w:sdt>
                  <w:r>
                    <w:rPr>
                      <w:szCs w:val="24"/>
                    </w:rPr>
                    <w:t>. Pakeisti 1.1 papunktį ir išdėstyti jį taip:</w:t>
                  </w:r>
                </w:p>
                <w:sdt>
                  <w:sdtPr>
                    <w:alias w:val="citata"/>
                    <w:tag w:val="part_b0866e6af9394d0090117260f3e74e9b"/>
                    <w:lock w:val="sdtLocked"/>
                    <w:richText/>
                  </w:sdtPr>
                  <w:sdtContent>
                    <w:sdt>
                      <w:sdtPr>
                        <w:alias w:val="1.1 pp."/>
                        <w:tag w:val="part_85cbd33007af44679cde704080eeb8a7"/>
                        <w:lock w:val="sdtLocked"/>
                        <w:richText/>
                      </w:sdtPr>
                      <w:sdtContent>
                        <w:p>
                          <w:pPr>
                            <w:ind w:firstLine="709"/>
                            <w:jc w:val="both"/>
                            <w:rPr>
                              <w:szCs w:val="24"/>
                            </w:rPr>
                          </w:pPr>
                          <w:r>
                            <w:rPr>
                              <w:szCs w:val="24"/>
                            </w:rPr>
                            <w:t>„</w:t>
                          </w:r>
                          <w:sdt>
                            <w:sdtPr>
                              <w:alias w:val="Numeris"/>
                              <w:tag w:val="nr_85cbd33007af44679cde704080eeb8a7"/>
                              <w:lock w:val="sdtLocked"/>
                              <w:richText/>
                            </w:sdtPr>
                            <w:sdtContent>
                              <w:r>
                                <w:rPr>
                                  <w:szCs w:val="24"/>
                                </w:rPr>
                                <w:t>1.1</w:t>
                              </w:r>
                            </w:sdtContent>
                          </w:sdt>
                          <w:r>
                            <w:rPr>
                              <w:szCs w:val="24"/>
                            </w:rPr>
                            <w:t>. pajamas – 87 430 482,04 Eur, iš jų lėšų likučiai iš 2024 metų – 3 996 483,22 Eur (1 priedas);“</w:t>
                          </w:r>
                        </w:p>
                      </w:sdtContent>
                    </w:sdt>
                  </w:sdtContent>
                </w:sdt>
              </w:sdtContent>
            </w:sdt>
            <w:sdt>
              <w:sdtPr>
                <w:alias w:val="1.2 pp."/>
                <w:tag w:val="part_6027f6338d09473c9915a22d206f6f63"/>
                <w:lock w:val="sdtLocked"/>
                <w:richText/>
              </w:sdtPr>
              <w:sdtContent>
                <w:p>
                  <w:pPr>
                    <w:ind w:firstLine="709"/>
                    <w:jc w:val="both"/>
                    <w:rPr>
                      <w:szCs w:val="24"/>
                    </w:rPr>
                  </w:pPr>
                  <w:sdt>
                    <w:sdtPr>
                      <w:alias w:val="Numeris"/>
                      <w:tag w:val="nr_6027f6338d09473c9915a22d206f6f63"/>
                      <w:lock w:val="sdtLocked"/>
                      <w:richText/>
                    </w:sdtPr>
                    <w:sdtContent>
                      <w:r>
                        <w:rPr>
                          <w:szCs w:val="24"/>
                        </w:rPr>
                        <w:t>1.2</w:t>
                      </w:r>
                    </w:sdtContent>
                  </w:sdt>
                  <w:r>
                    <w:rPr>
                      <w:szCs w:val="24"/>
                    </w:rPr>
                    <w:t>. Pakeisti 1.2 papunktį ir išdėstyti jį taip:</w:t>
                  </w:r>
                </w:p>
                <w:sdt>
                  <w:sdtPr>
                    <w:alias w:val="citata"/>
                    <w:tag w:val="part_581af9e297874002b6b9976abf5d8c46"/>
                    <w:lock w:val="sdtLocked"/>
                    <w:richText/>
                  </w:sdtPr>
                  <w:sdtContent>
                    <w:sdt>
                      <w:sdtPr>
                        <w:alias w:val="1.2 pp."/>
                        <w:tag w:val="part_f6341392a90f4be3a1c559c9bf3c2758"/>
                        <w:lock w:val="sdtLocked"/>
                        <w:richText/>
                      </w:sdtPr>
                      <w:sdtContent>
                        <w:p>
                          <w:pPr>
                            <w:ind w:firstLine="709"/>
                            <w:jc w:val="both"/>
                            <w:rPr>
                              <w:szCs w:val="24"/>
                            </w:rPr>
                          </w:pPr>
                          <w:r>
                            <w:rPr>
                              <w:szCs w:val="24"/>
                            </w:rPr>
                            <w:t xml:space="preserve">„ </w:t>
                          </w:r>
                          <w:sdt>
                            <w:sdtPr>
                              <w:alias w:val="Numeris"/>
                              <w:tag w:val="nr_f6341392a90f4be3a1c559c9bf3c2758"/>
                              <w:lock w:val="sdtLocked"/>
                              <w:richText/>
                            </w:sdtPr>
                            <w:sdtContent>
                              <w:r>
                                <w:rPr>
                                  <w:szCs w:val="24"/>
                                </w:rPr>
                                <w:t>1.2</w:t>
                              </w:r>
                            </w:sdtContent>
                          </w:sdt>
                          <w:r>
                            <w:rPr>
                              <w:szCs w:val="24"/>
                            </w:rPr>
                            <w:t>. asignavimus pagal programas, asignavimų valdytojus ir lėšų šaltinius – 87 430 482,04 Eur (2, 3 priedai), iš jų“.</w:t>
                          </w:r>
                        </w:p>
                      </w:sdtContent>
                    </w:sdt>
                  </w:sdtContent>
                </w:sdt>
              </w:sdtContent>
            </w:sdt>
            <w:sdt>
              <w:sdtPr>
                <w:alias w:val="1.3 pp."/>
                <w:tag w:val="part_26786cbfb8fd48af925a92a4bebb882f"/>
                <w:lock w:val="sdtLocked"/>
                <w:richText/>
              </w:sdtPr>
              <w:sdtContent>
                <w:p>
                  <w:pPr>
                    <w:ind w:firstLine="709"/>
                    <w:jc w:val="both"/>
                    <w:rPr>
                      <w:szCs w:val="24"/>
                    </w:rPr>
                  </w:pPr>
                  <w:sdt>
                    <w:sdtPr>
                      <w:alias w:val="Numeris"/>
                      <w:tag w:val="nr_26786cbfb8fd48af925a92a4bebb882f"/>
                      <w:lock w:val="sdtLocked"/>
                      <w:richText/>
                    </w:sdtPr>
                    <w:sdtContent>
                      <w:r>
                        <w:rPr>
                          <w:szCs w:val="24"/>
                        </w:rPr>
                        <w:t>1.3</w:t>
                      </w:r>
                    </w:sdtContent>
                  </w:sdt>
                  <w:r>
                    <w:rPr>
                      <w:szCs w:val="24"/>
                    </w:rPr>
                    <w:t xml:space="preserve">. Pakeisti Sprendimo 2.1 priedą, patvirtintą 1.2.1. papunkčiu, ir  išdėstyti jį nauja redakcija (pridedama).</w:t>
                  </w:r>
                </w:p>
                <w:p>
                  <w:pPr>
                    <w:jc w:val="both"/>
                    <w:rPr>
                      <w:szCs w:val="24"/>
                    </w:rPr>
                  </w:pPr>
                </w:p>
                <w:p>
                  <w:pPr>
                    <w:jc w:val="both"/>
                    <w:rPr>
                      <w:szCs w:val="24"/>
                    </w:rPr>
                  </w:pPr>
                </w:p>
                <w:p>
                  <w:pPr>
                    <w:jc w:val="both"/>
                    <w:rPr>
                      <w:szCs w:val="24"/>
                    </w:rPr>
                  </w:pPr>
                </w:p>
                <w:p>
                  <w:pPr>
                    <w:jc w:val="both"/>
                    <w:rPr>
                      <w:szCs w:val="24"/>
                    </w:rPr>
                  </w:pPr>
                  <w:r>
                    <w:rPr>
                      <w:szCs w:val="24"/>
                    </w:rPr>
                    <w:t>Savivaldybės meras</w:t>
                    <w:tab/>
                    <w:tab/>
                    <w:tab/>
                    <w:tab/>
                    <w:br w:type="page"/>
                  </w:r>
                </w:p>
              </w:sdtContent>
            </w:sdt>
          </w:sdtContent>
        </w:sdt>
        <w:sdt>
          <w:sdtPr>
            <w:alias w:val="skirsnis"/>
            <w:tag w:val="part_7e1a28542d52409297fddc52e14792b4"/>
            <w:lock w:val="sdtLocked"/>
            <w:richText/>
          </w:sdtPr>
          <w:sdtContent>
            <w:sdt>
              <w:sdtPr>
                <w:alias w:val="Pavadinimas"/>
                <w:tag w:val="title_7e1a28542d52409297fddc52e14792b4"/>
                <w:lock w:val="sdtLocked"/>
                <w:richText/>
              </w:sdtPr>
              <w:sdtContent>
                <w:p>
                  <w:pPr>
                    <w:shd w:val="clear" w:color="auto" w:fill="FFFFFF"/>
                    <w:jc w:val="center"/>
                    <w:rPr>
                      <w:b/>
                      <w:position w:val="6"/>
                      <w:szCs w:val="24"/>
                      <w:lang w:eastAsia="lt-LT"/>
                      <w14:cntxtAlts/>
                    </w:rPr>
                  </w:pPr>
                  <w:r>
                    <w:rPr>
                      <w:b/>
                      <w:position w:val="6"/>
                      <w:szCs w:val="24"/>
                      <w:lang w:eastAsia="lt-LT"/>
                      <w14:cntxtAlts/>
                    </w:rPr>
                    <w:t xml:space="preserve">RADVILIŠKIO RAJONO SAVIVALDYBĖS TARYBOS SPRENDIMO PROJEKTO </w:t>
                  </w:r>
                </w:p>
                <w:p>
                  <w:pPr>
                    <w:shd w:val="clear" w:color="auto" w:fill="FFFFFF"/>
                    <w:jc w:val="center"/>
                    <w:rPr>
                      <w:b/>
                      <w:position w:val="6"/>
                      <w:szCs w:val="24"/>
                      <w:lang w:eastAsia="lt-LT"/>
                      <w14:cntxtAlts/>
                    </w:rPr>
                  </w:pPr>
                  <w:r>
                    <w:rPr>
                      <w:rFonts w:eastAsia="Calibri"/>
                      <w:b/>
                      <w:position w:val="6"/>
                      <w:szCs w:val="24"/>
                      <w14:cntxtAlts/>
                    </w:rPr>
                    <w:t>„DĖL RADVILIŠKIO RAJONO SAVIVALDYBĖS TARYBOS 2025 M. VASARIO 13 D. SPRENDIMO NR. T-557 „DĖL RADVILIŠKIO RAJONO SAVIVALDYBĖS 2025–2027 METŲ BIUDŽETO PATVIRTINIMO“ PAKEITIMO“</w:t>
                  </w:r>
                </w:p>
                <w:p>
                  <w:pPr>
                    <w:shd w:val="clear" w:color="auto" w:fill="FFFFFF"/>
                    <w:jc w:val="center"/>
                    <w:rPr>
                      <w:b/>
                      <w:position w:val="6"/>
                      <w:szCs w:val="24"/>
                      <w:lang w:eastAsia="lt-LT"/>
                      <w14:cntxtAlts/>
                    </w:rPr>
                  </w:pPr>
                  <w:r>
                    <w:rPr>
                      <w:b/>
                      <w:position w:val="6"/>
                      <w:szCs w:val="24"/>
                      <w:lang w:eastAsia="lt-LT"/>
                      <w14:cntxtAlts/>
                    </w:rPr>
                    <w:t>AIŠKINAMASIS RAŠTAS</w:t>
                  </w:r>
                </w:p>
              </w:sdtContent>
            </w:sdt>
            <w:p>
              <w:pPr>
                <w:shd w:val="clear" w:color="auto" w:fill="FFFFFF"/>
                <w:jc w:val="center"/>
                <w:rPr>
                  <w:bCs/>
                  <w:position w:val="6"/>
                  <w:szCs w:val="24"/>
                  <w:lang w:eastAsia="lt-LT"/>
                  <w14:cntxtAlts/>
                </w:rPr>
              </w:pPr>
            </w:p>
            <w:p>
              <w:pPr>
                <w:shd w:val="clear" w:color="auto" w:fill="FFFFFF"/>
                <w:jc w:val="center"/>
                <w:rPr>
                  <w:bCs/>
                  <w:position w:val="6"/>
                  <w:szCs w:val="24"/>
                  <w:lang w:eastAsia="lt-LT"/>
                  <w14:cntxtAlts/>
                </w:rPr>
              </w:pPr>
              <w:r>
                <w:rPr>
                  <w:bCs/>
                  <w:position w:val="6"/>
                  <w:szCs w:val="24"/>
                  <w:lang w:eastAsia="lt-LT"/>
                  <w14:cntxtAlts/>
                </w:rPr>
                <w:t xml:space="preserve">2025 m. spalio 17  d.</w:t>
              </w:r>
            </w:p>
            <w:p>
              <w:pPr>
                <w:shd w:val="clear" w:color="auto" w:fill="FFFFFF"/>
                <w:jc w:val="center"/>
                <w:rPr>
                  <w:bCs/>
                  <w:sz w:val="28"/>
                  <w:szCs w:val="28"/>
                </w:rPr>
              </w:pPr>
              <w:r>
                <w:rPr>
                  <w:bCs/>
                  <w:position w:val="6"/>
                  <w:szCs w:val="24"/>
                  <w:lang w:eastAsia="lt-LT"/>
                  <w14:cntxtAlts/>
                </w:rPr>
                <w:t>Radviliškis</w:t>
              </w:r>
            </w:p>
            <w:p>
              <w:pPr>
                <w:rPr>
                  <w:b/>
                  <w:bCs/>
                  <w:szCs w:val="24"/>
                  <w:lang w:eastAsia="lt-LT"/>
                </w:rPr>
              </w:pPr>
            </w:p>
            <w:sdt>
              <w:sdtPr>
                <w:alias w:val="1 p."/>
                <w:tag w:val="part_83952a697c3042719f95529b93bf7ad5"/>
                <w:lock w:val="sdtLocked"/>
                <w:richText/>
              </w:sdtPr>
              <w:sdtContent>
                <w:p>
                  <w:pPr>
                    <w:spacing w:line="254" w:lineRule="auto"/>
                    <w:ind w:firstLine="720"/>
                    <w:jc w:val="both"/>
                    <w:rPr>
                      <w:b/>
                      <w:szCs w:val="24"/>
                    </w:rPr>
                  </w:pPr>
                  <w:sdt>
                    <w:sdtPr>
                      <w:alias w:val="Numeris"/>
                      <w:tag w:val="nr_83952a697c3042719f95529b93bf7ad5"/>
                      <w:lock w:val="sdtLocked"/>
                      <w:richText/>
                    </w:sdtPr>
                    <w:sdtContent>
                      <w:r>
                        <w:rPr>
                          <w:b/>
                          <w:szCs w:val="24"/>
                        </w:rPr>
                        <w:t>1</w:t>
                      </w:r>
                    </w:sdtContent>
                  </w:sdt>
                  <w:r>
                    <w:rPr>
                      <w:b/>
                      <w:szCs w:val="24"/>
                    </w:rPr>
                    <w:t xml:space="preserve">. Projekto rengimą paskatinusios priežastys, parengto projekto tikslai ir uždaviniai. </w:t>
                  </w:r>
                </w:p>
                <w:p>
                  <w:pPr>
                    <w:spacing w:line="254" w:lineRule="auto"/>
                    <w:ind w:firstLine="709"/>
                    <w:jc w:val="both"/>
                    <w:rPr>
                      <w:szCs w:val="24"/>
                    </w:rPr>
                  </w:pPr>
                  <w:r>
                    <w:rPr>
                      <w:szCs w:val="24"/>
                      <w:lang w:eastAsia="lt-LT"/>
                    </w:rPr>
                    <w:t>Patikslinti Radviliškio rajono savivaldybės 2025 metų biudžetą savivaldybei skirtomis tikslinėmis valstybės biudžeto dotacijomis ir kitomis lėšomis bei patikslinti patvirtintus savivaldybės biudžeto asignavimus.</w:t>
                  </w:r>
                  <w:r>
                    <w:rPr>
                      <w:sz w:val="22"/>
                      <w:szCs w:val="22"/>
                    </w:rPr>
                    <w:t xml:space="preserve"> </w:t>
                  </w:r>
                  <w:r>
                    <w:rPr>
                      <w:szCs w:val="24"/>
                    </w:rPr>
                    <w:t xml:space="preserve">Savivaldybės biudžeto asignavimai tikslinami, atsižvelgiant į 2025  m. rugsėjo 1 d. VšĮ „Radviliškio ligoninė“ prašymą „Dėl lėšų skyrimo ligoninės virtuvės remonto darbų“,  2025 m.  spalio 6 d. Radviliškio rajono savivaldybės administracijos švietimo ir sporto skyriaus prašymą „Dėl projekto „Ankstyvojo ugdymo užtikrinimas vaikams iš socialinę riziką patiriančių šeimų“ lėšų paskirstymo“,  2025 m.  spalio 1 d. Šeduvos globos namų prašymą „ Dėl papildomų lėšų už socialines paslaugas surinkimo“,</w:t>
                  </w:r>
                  <w:r>
                    <w:rPr>
                      <w:sz w:val="22"/>
                      <w:szCs w:val="22"/>
                    </w:rPr>
                    <w:t xml:space="preserve"> </w:t>
                  </w:r>
                  <w:r>
                    <w:rPr>
                      <w:szCs w:val="24"/>
                    </w:rPr>
                    <w:t xml:space="preserve"> 2025 m. rugsėjo 30 d. Radviliškio rajono etninės kultūros ir amatų centro prašymą „Dėl nepanaudotų asignavimų perkėlimo“,</w:t>
                  </w:r>
                  <w:r>
                    <w:rPr>
                      <w:sz w:val="22"/>
                      <w:szCs w:val="22"/>
                    </w:rPr>
                    <w:t xml:space="preserve"> </w:t>
                  </w:r>
                  <w:r>
                    <w:rPr>
                      <w:szCs w:val="24"/>
                    </w:rPr>
                    <w:t xml:space="preserve">2025 m. spalio 3 d. Šeduvos etninės kultūros ir amatų centro prašymą „Dėl asignavimų grąžinimo“, 2025 m. rugsėjo 15 d. ir 2025 m. rugsėjo 4 d. Baisogalos kultūros centro prašymus „Dėl papildomų lėšų“,  2025 m. spalio 7 d. Radviliškio viešosios bibliotekos prašymą „Dėl spec. lėšų padidinimo“, 2025 m. spalio 7 d. Šeduvos globos namų prašymą „Dėl lėšų skyrimo“, 2025 m. spalio 9 d. Radviliškio socialinių paslaugų centro prašymą „Dėl papildomo finansavimo skyrimo“.</w:t>
                  </w:r>
                </w:p>
                <w:p>
                  <w:pPr>
                    <w:spacing w:line="254" w:lineRule="auto"/>
                    <w:ind w:firstLine="709"/>
                    <w:jc w:val="both"/>
                    <w:rPr>
                      <w:szCs w:val="24"/>
                    </w:rPr>
                  </w:pPr>
                  <w:r>
                    <w:rPr>
                      <w:bCs/>
                      <w:szCs w:val="24"/>
                      <w:shd w:val="clear" w:color="auto" w:fill="FFFFFF"/>
                    </w:rPr>
                    <w:t>Nuo 2023 m. balandžio 1 d. pasikeitus Lietuvos Respublikos vietos savivaldos įstatymui savivaldybės meras administruoja savivaldybės biudžeto asignavimus ir kitus piniginius išteklius, organizuoja savivaldybės biudžeto vykdymą.</w:t>
                  </w:r>
                </w:p>
              </w:sdtContent>
            </w:sdt>
            <w:sdt>
              <w:sdtPr>
                <w:alias w:val="2 p."/>
                <w:tag w:val="part_45794ed0e4164500b747abf644f5c078"/>
                <w:lock w:val="sdtLocked"/>
                <w:richText/>
              </w:sdtPr>
              <w:sdtContent>
                <w:p>
                  <w:pPr>
                    <w:ind w:firstLine="709"/>
                    <w:jc w:val="both"/>
                    <w:rPr>
                      <w:b/>
                      <w:szCs w:val="24"/>
                      <w:shd w:val="clear" w:color="auto" w:fill="FFFFFF"/>
                    </w:rPr>
                  </w:pPr>
                  <w:sdt>
                    <w:sdtPr>
                      <w:alias w:val="Numeris"/>
                      <w:tag w:val="nr_45794ed0e4164500b747abf644f5c078"/>
                      <w:lock w:val="sdtLocked"/>
                      <w:richText/>
                    </w:sdtPr>
                    <w:sdtContent>
                      <w:r>
                        <w:rPr>
                          <w:b/>
                          <w:szCs w:val="24"/>
                          <w:shd w:val="clear" w:color="auto" w:fill="FFFFFF"/>
                        </w:rPr>
                        <w:t>2</w:t>
                      </w:r>
                    </w:sdtContent>
                  </w:sdt>
                  <w:r>
                    <w:rPr>
                      <w:b/>
                      <w:szCs w:val="24"/>
                      <w:shd w:val="clear" w:color="auto" w:fill="FFFFFF"/>
                    </w:rPr>
                    <w:t>. Projekto iniciatoriai (institucija, asmenys ar piliečių atstovai) ir rengėjai.</w:t>
                  </w:r>
                </w:p>
                <w:p>
                  <w:pPr>
                    <w:ind w:firstLine="709"/>
                    <w:jc w:val="both"/>
                    <w:rPr>
                      <w:b/>
                      <w:szCs w:val="24"/>
                      <w:shd w:val="clear" w:color="auto" w:fill="FFFFFF"/>
                    </w:rPr>
                  </w:pPr>
                  <w:r>
                    <w:rPr>
                      <w:bCs/>
                      <w:szCs w:val="24"/>
                      <w:shd w:val="clear" w:color="auto" w:fill="FFFFFF"/>
                    </w:rPr>
                    <w:t>Projekto iniciatorius – Radviliškio rajono savivaldybės meras. Projektą parengė Radviliškio rajono savivaldybės administracijos Finansų skyriaus vedėja Lina Baškevičienė, tel. (0 422) 69020.</w:t>
                  </w:r>
                  <w:r>
                    <w:rPr>
                      <w:b/>
                      <w:szCs w:val="24"/>
                      <w:shd w:val="clear" w:color="auto" w:fill="FFFFFF"/>
                    </w:rPr>
                    <w:t xml:space="preserve"> </w:t>
                  </w:r>
                </w:p>
              </w:sdtContent>
            </w:sdt>
            <w:sdt>
              <w:sdtPr>
                <w:alias w:val="3 p."/>
                <w:tag w:val="part_b12881b707ff4a6abef2a6ac2ceadf3a"/>
                <w:lock w:val="sdtLocked"/>
                <w:richText/>
              </w:sdtPr>
              <w:sdtContent>
                <w:p>
                  <w:pPr>
                    <w:tabs>
                      <w:tab w:val="left" w:pos="7513"/>
                    </w:tabs>
                    <w:spacing w:line="254" w:lineRule="auto"/>
                    <w:ind w:firstLine="709"/>
                    <w:rPr>
                      <w:b/>
                      <w:szCs w:val="24"/>
                      <w:shd w:val="clear" w:color="auto" w:fill="FFFFFF"/>
                    </w:rPr>
                  </w:pPr>
                  <w:sdt>
                    <w:sdtPr>
                      <w:alias w:val="Numeris"/>
                      <w:tag w:val="nr_b12881b707ff4a6abef2a6ac2ceadf3a"/>
                      <w:lock w:val="sdtLocked"/>
                      <w:richText/>
                    </w:sdtPr>
                    <w:sdtContent>
                      <w:r>
                        <w:rPr>
                          <w:b/>
                          <w:szCs w:val="24"/>
                          <w:shd w:val="clear" w:color="auto" w:fill="FFFFFF"/>
                        </w:rPr>
                        <w:t>3</w:t>
                      </w:r>
                    </w:sdtContent>
                  </w:sdt>
                  <w:r>
                    <w:rPr>
                      <w:b/>
                      <w:szCs w:val="24"/>
                      <w:shd w:val="clear" w:color="auto" w:fill="FFFFFF"/>
                    </w:rPr>
                    <w:t>. Kaip šiuo metu yra reguliuojami projekte aptarti teisiniai santykiai.</w:t>
                  </w:r>
                </w:p>
                <w:p>
                  <w:pPr>
                    <w:tabs>
                      <w:tab w:val="left" w:pos="7513"/>
                    </w:tabs>
                    <w:spacing w:line="254" w:lineRule="auto"/>
                    <w:ind w:firstLine="709"/>
                    <w:jc w:val="both"/>
                    <w:rPr>
                      <w:bCs/>
                      <w:szCs w:val="24"/>
                      <w:shd w:val="clear" w:color="auto" w:fill="FFFFFF"/>
                    </w:rPr>
                  </w:pPr>
                  <w:r>
                    <w:rPr>
                      <w:bCs/>
                      <w:szCs w:val="24"/>
                      <w:shd w:val="clear" w:color="auto" w:fill="FFFFFF"/>
                    </w:rPr>
                    <w:t>Lietuvos Respublikos vietos savivaldos įstatymo, 15 straipsnio 2 dalies 12 punktas numato savivaldybės tarybos kompetenciją tvirtinti ir tikslinti savivaldybės biudžetą,</w:t>
                  </w:r>
                  <w:r>
                    <w:rPr>
                      <w:sz w:val="22"/>
                      <w:szCs w:val="22"/>
                    </w:rPr>
                    <w:t xml:space="preserve"> </w:t>
                  </w:r>
                  <w:r>
                    <w:rPr>
                      <w:szCs w:val="24"/>
                    </w:rPr>
                    <w:t>66 straipsnio 2 dalis numato, kad biudžetiniais metais savivaldybės taryba mero siūlymu biudžetą gali tikslinti,</w:t>
                  </w:r>
                  <w:r>
                    <w:rPr>
                      <w:sz w:val="22"/>
                      <w:szCs w:val="22"/>
                    </w:rPr>
                    <w:t xml:space="preserve"> </w:t>
                  </w:r>
                  <w:r>
                    <w:rPr>
                      <w:bCs/>
                      <w:szCs w:val="24"/>
                      <w:shd w:val="clear" w:color="auto" w:fill="FFFFFF"/>
                    </w:rPr>
                    <w:t>Lietuvos Respublikos biudžeto sandaros įstatymo 16 straipsnio 1 dalis numato, kad biudžetus tvirtina savivaldybių taryba, 22 straipsnio 3 dalis, kad savivaldybės meras organizuoja biudžeto vykdymą, Lietuvos Respublikos 2025–2027 metų biudžeto patvirtinimo įstatymo 4 straipsnio 4 dalis numato, kad Savivaldybių tarybos, atsižvelgdamos į gautas valstybės biudžeto dotacijas, atitinkamai patikslina savo patvirtintus biudžetus.</w:t>
                  </w:r>
                </w:p>
              </w:sdtContent>
            </w:sdt>
            <w:sdt>
              <w:sdtPr>
                <w:alias w:val="4 p."/>
                <w:tag w:val="part_d44ac682f0774e85ad7d66a77ada30dc"/>
                <w:lock w:val="sdtLocked"/>
                <w:richText/>
              </w:sdtPr>
              <w:sdtContent>
                <w:p>
                  <w:pPr>
                    <w:tabs>
                      <w:tab w:val="left" w:pos="7513"/>
                    </w:tabs>
                    <w:spacing w:line="254" w:lineRule="auto"/>
                    <w:ind w:firstLine="709"/>
                    <w:jc w:val="both"/>
                    <w:rPr>
                      <w:bCs/>
                      <w:szCs w:val="24"/>
                      <w:shd w:val="clear" w:color="auto" w:fill="FFFFFF"/>
                    </w:rPr>
                  </w:pPr>
                  <w:sdt>
                    <w:sdtPr>
                      <w:alias w:val="Numeris"/>
                      <w:tag w:val="nr_d44ac682f0774e85ad7d66a77ada30dc"/>
                      <w:lock w:val="sdtLocked"/>
                      <w:richText/>
                    </w:sdtPr>
                    <w:sdtContent>
                      <w:r>
                        <w:rPr>
                          <w:b/>
                          <w:szCs w:val="24"/>
                          <w:shd w:val="clear" w:color="auto" w:fill="FFFFFF"/>
                        </w:rPr>
                        <w:t>4</w:t>
                      </w:r>
                    </w:sdtContent>
                  </w:sdt>
                  <w:r>
                    <w:rPr>
                      <w:bCs/>
                      <w:szCs w:val="24"/>
                      <w:shd w:val="clear" w:color="auto" w:fill="FFFFFF"/>
                    </w:rPr>
                    <w:t>.</w:t>
                  </w:r>
                  <w:r>
                    <w:rPr>
                      <w:sz w:val="22"/>
                      <w:szCs w:val="22"/>
                    </w:rPr>
                    <w:t xml:space="preserve"> </w:t>
                  </w:r>
                  <w:r>
                    <w:rPr>
                      <w:b/>
                      <w:szCs w:val="24"/>
                      <w:shd w:val="clear" w:color="auto" w:fill="FFFFFF"/>
                    </w:rPr>
                    <w:t>Kokios siūlomos naujos teisinio reguliavimo nuostatos, kokių teigiamų rezultatų laukiama</w:t>
                  </w:r>
                  <w:r>
                    <w:rPr>
                      <w:bCs/>
                      <w:szCs w:val="24"/>
                      <w:shd w:val="clear" w:color="auto" w:fill="FFFFFF"/>
                    </w:rPr>
                    <w:t>.</w:t>
                  </w:r>
                </w:p>
                <w:p>
                  <w:pPr>
                    <w:tabs>
                      <w:tab w:val="left" w:pos="7513"/>
                    </w:tabs>
                    <w:spacing w:line="254" w:lineRule="auto"/>
                    <w:ind w:firstLine="709"/>
                    <w:jc w:val="both"/>
                    <w:rPr>
                      <w:bCs/>
                      <w:szCs w:val="24"/>
                      <w:shd w:val="clear" w:color="auto" w:fill="FFFFFF"/>
                    </w:rPr>
                  </w:pPr>
                  <w:r>
                    <w:rPr>
                      <w:bCs/>
                      <w:szCs w:val="24"/>
                      <w:shd w:val="clear" w:color="auto" w:fill="FFFFFF"/>
                    </w:rPr>
                    <w:t xml:space="preserve">Pakeitus ir patikslinus 2025 m. Savivaldybės biudžetą, sprendimas atitiks galiojančius teisės aktus. Priimtas sprendimo  projektas įtakos kriminogeninei situacijai ir korupcijai neturės.</w:t>
                  </w:r>
                </w:p>
              </w:sdtContent>
            </w:sdt>
            <w:sdt>
              <w:sdtPr>
                <w:alias w:val="5 p."/>
                <w:tag w:val="part_1cb393dfe99649019a2a4c3ed8940b91"/>
                <w:lock w:val="sdtLocked"/>
                <w:richText/>
              </w:sdtPr>
              <w:sdtContent>
                <w:p>
                  <w:pPr>
                    <w:tabs>
                      <w:tab w:val="left" w:pos="0"/>
                    </w:tabs>
                    <w:spacing w:line="254" w:lineRule="auto"/>
                    <w:ind w:firstLine="709"/>
                    <w:jc w:val="both"/>
                    <w:rPr>
                      <w:b/>
                      <w:szCs w:val="24"/>
                      <w:shd w:val="clear" w:color="auto" w:fill="FFFFFF"/>
                    </w:rPr>
                  </w:pPr>
                  <w:sdt>
                    <w:sdtPr>
                      <w:alias w:val="Numeris"/>
                      <w:tag w:val="nr_1cb393dfe99649019a2a4c3ed8940b91"/>
                      <w:lock w:val="sdtLocked"/>
                      <w:richText/>
                    </w:sdtPr>
                    <w:sdtContent>
                      <w:r>
                        <w:rPr>
                          <w:b/>
                          <w:szCs w:val="24"/>
                          <w:shd w:val="clear" w:color="auto" w:fill="FFFFFF"/>
                        </w:rPr>
                        <w:t>5</w:t>
                      </w:r>
                    </w:sdtContent>
                  </w:sdt>
                  <w:r>
                    <w:rPr>
                      <w:b/>
                      <w:szCs w:val="24"/>
                      <w:shd w:val="clear" w:color="auto" w:fill="FFFFFF"/>
                    </w:rPr>
                    <w:t>. Galimos neigiamos priimto sprendimo projekto pasekmės ir kokių priemonių reikėtų imtis, kad tokių pasekmių būtų išvengta.</w:t>
                  </w:r>
                </w:p>
                <w:p>
                  <w:pPr>
                    <w:spacing w:line="254" w:lineRule="auto"/>
                    <w:ind w:left="-709" w:firstLine="1418"/>
                    <w:jc w:val="both"/>
                    <w:rPr>
                      <w:szCs w:val="24"/>
                    </w:rPr>
                  </w:pPr>
                  <w:r>
                    <w:rPr>
                      <w:szCs w:val="24"/>
                    </w:rPr>
                    <w:t xml:space="preserve">Priėmus sprendimo projektą, neigiamų pasekmių nenumatoma. </w:t>
                  </w:r>
                </w:p>
              </w:sdtContent>
            </w:sdt>
            <w:sdt>
              <w:sdtPr>
                <w:alias w:val="6 p."/>
                <w:tag w:val="part_b9cb26bbe50f44959297380c706980d5"/>
                <w:lock w:val="sdtLocked"/>
                <w:richText/>
              </w:sdtPr>
              <w:sdtContent>
                <w:p>
                  <w:pPr>
                    <w:spacing w:line="254" w:lineRule="auto"/>
                    <w:ind w:firstLine="709"/>
                    <w:jc w:val="both"/>
                    <w:rPr>
                      <w:b/>
                      <w:bCs/>
                      <w:szCs w:val="24"/>
                    </w:rPr>
                  </w:pPr>
                  <w:sdt>
                    <w:sdtPr>
                      <w:alias w:val="Numeris"/>
                      <w:tag w:val="nr_b9cb26bbe50f44959297380c706980d5"/>
                      <w:lock w:val="sdtLocked"/>
                      <w:richText/>
                    </w:sdtPr>
                    <w:sdtContent>
                      <w:r>
                        <w:rPr>
                          <w:b/>
                          <w:bCs/>
                          <w:szCs w:val="24"/>
                        </w:rPr>
                        <w:t>6</w:t>
                      </w:r>
                    </w:sdtContent>
                  </w:sdt>
                  <w:r>
                    <w:rPr>
                      <w:b/>
                      <w:bCs/>
                      <w:szCs w:val="24"/>
                    </w:rPr>
                    <w:t xml:space="preserve">. Kokius teisės aktus būtina priimti, kokius galiojančius teisės aktus būtina pakeisti ar    pripažinti netekusiais galios priėmus sprendimo projektą.</w:t>
                  </w:r>
                </w:p>
                <w:p>
                  <w:pPr>
                    <w:tabs>
                      <w:tab w:val="left" w:pos="0"/>
                    </w:tabs>
                    <w:spacing w:line="254" w:lineRule="auto"/>
                    <w:ind w:firstLine="709"/>
                    <w:jc w:val="both"/>
                    <w:rPr>
                      <w:bCs/>
                      <w:szCs w:val="24"/>
                      <w:shd w:val="clear" w:color="auto" w:fill="FFFFFF"/>
                    </w:rPr>
                  </w:pPr>
                  <w:r>
                    <w:rPr>
                      <w:bCs/>
                      <w:szCs w:val="24"/>
                      <w:shd w:val="clear" w:color="auto" w:fill="FFFFFF"/>
                    </w:rPr>
                    <w:t xml:space="preserve">Priėmus sprendimą bus dalinai pakeistas Radviliškio rajono savivaldybės tarybos </w:t>
                  </w:r>
                  <w:r>
                    <w:rPr>
                      <w:szCs w:val="24"/>
                      <w:lang w:eastAsia="lt-LT"/>
                    </w:rPr>
                    <w:t xml:space="preserve">2025  m. vasario 13 d. sprendimas  Nr. T-557 „ Dėl Radviliškio rajono savivaldybės 2025–2027 metų biudžeto patvirtinimo“</w:t>
                  </w:r>
                </w:p>
              </w:sdtContent>
            </w:sdt>
            <w:sdt>
              <w:sdtPr>
                <w:alias w:val="7 p."/>
                <w:tag w:val="part_116c92c90a5d472b922e46a3d9e4a202"/>
                <w:lock w:val="sdtLocked"/>
                <w:richText/>
              </w:sdtPr>
              <w:sdtContent>
                <w:p>
                  <w:pPr>
                    <w:tabs>
                      <w:tab w:val="left" w:pos="0"/>
                    </w:tabs>
                    <w:spacing w:line="254" w:lineRule="auto"/>
                    <w:ind w:firstLine="709"/>
                    <w:jc w:val="both"/>
                    <w:rPr>
                      <w:b/>
                      <w:szCs w:val="24"/>
                      <w:shd w:val="clear" w:color="auto" w:fill="FFFFFF"/>
                    </w:rPr>
                  </w:pPr>
                  <w:sdt>
                    <w:sdtPr>
                      <w:alias w:val="Numeris"/>
                      <w:tag w:val="nr_116c92c90a5d472b922e46a3d9e4a202"/>
                      <w:lock w:val="sdtLocked"/>
                      <w:richText/>
                    </w:sdtPr>
                    <w:sdtContent>
                      <w:r>
                        <w:rPr>
                          <w:b/>
                          <w:szCs w:val="24"/>
                          <w:shd w:val="clear" w:color="auto" w:fill="FFFFFF"/>
                        </w:rPr>
                        <w:t>7</w:t>
                      </w:r>
                    </w:sdtContent>
                  </w:sdt>
                  <w:r>
                    <w:rPr>
                      <w:b/>
                      <w:szCs w:val="24"/>
                      <w:shd w:val="clear" w:color="auto" w:fill="FFFFFF"/>
                    </w:rPr>
                    <w:t>. Sprendimui įgyvendinti reikalingos lėšos,</w:t>
                  </w:r>
                  <w:r>
                    <w:rPr>
                      <w:sz w:val="22"/>
                      <w:szCs w:val="22"/>
                    </w:rPr>
                    <w:t xml:space="preserve"> </w:t>
                  </w:r>
                  <w:r>
                    <w:rPr>
                      <w:b/>
                      <w:szCs w:val="24"/>
                      <w:shd w:val="clear" w:color="auto" w:fill="FFFFFF"/>
                    </w:rPr>
                    <w:t>finansavimo šaltiniai.</w:t>
                  </w:r>
                </w:p>
                <w:p>
                  <w:pPr>
                    <w:tabs>
                      <w:tab w:val="left" w:pos="0"/>
                    </w:tabs>
                    <w:spacing w:line="254" w:lineRule="auto"/>
                    <w:ind w:firstLine="709"/>
                    <w:jc w:val="both"/>
                    <w:rPr>
                      <w:bCs/>
                      <w:szCs w:val="24"/>
                      <w:shd w:val="clear" w:color="auto" w:fill="FFFFFF"/>
                    </w:rPr>
                  </w:pPr>
                  <w:r>
                    <w:rPr>
                      <w:bCs/>
                      <w:szCs w:val="24"/>
                      <w:shd w:val="clear" w:color="auto" w:fill="FFFFFF"/>
                    </w:rPr>
                    <w:t>Sprendimui įgyvendinti nebus reikalingos papildomos Savivaldybės biudžeto lėšos.</w:t>
                  </w:r>
                </w:p>
              </w:sdtContent>
            </w:sdt>
            <w:sdt>
              <w:sdtPr>
                <w:alias w:val="8 p."/>
                <w:tag w:val="part_aed7aa517a2f45659a00af751fcc8c3d"/>
                <w:lock w:val="sdtLocked"/>
                <w:richText/>
              </w:sdtPr>
              <w:sdtContent>
                <w:p>
                  <w:pPr>
                    <w:tabs>
                      <w:tab w:val="left" w:pos="0"/>
                    </w:tabs>
                    <w:spacing w:line="254" w:lineRule="auto"/>
                    <w:ind w:firstLine="709"/>
                    <w:jc w:val="both"/>
                    <w:rPr>
                      <w:b/>
                      <w:szCs w:val="24"/>
                      <w:shd w:val="clear" w:color="auto" w:fill="FFFFFF"/>
                    </w:rPr>
                  </w:pPr>
                  <w:sdt>
                    <w:sdtPr>
                      <w:alias w:val="Numeris"/>
                      <w:tag w:val="nr_aed7aa517a2f45659a00af751fcc8c3d"/>
                      <w:lock w:val="sdtLocked"/>
                      <w:richText/>
                    </w:sdtPr>
                    <w:sdtContent>
                      <w:r>
                        <w:rPr>
                          <w:b/>
                          <w:szCs w:val="24"/>
                          <w:shd w:val="clear" w:color="auto" w:fill="FFFFFF"/>
                        </w:rPr>
                        <w:t>8</w:t>
                      </w:r>
                    </w:sdtContent>
                  </w:sdt>
                  <w:r>
                    <w:rPr>
                      <w:b/>
                      <w:szCs w:val="24"/>
                      <w:shd w:val="clear" w:color="auto" w:fill="FFFFFF"/>
                    </w:rPr>
                    <w:t xml:space="preserve">. Sprendimo projekto rengimo metu gauti specialistų vertinimai ir išvados.     </w:t>
                  </w:r>
                </w:p>
                <w:p>
                  <w:pPr>
                    <w:tabs>
                      <w:tab w:val="left" w:pos="0"/>
                    </w:tabs>
                    <w:spacing w:line="254" w:lineRule="auto"/>
                    <w:ind w:firstLine="709"/>
                    <w:jc w:val="both"/>
                    <w:rPr>
                      <w:bCs/>
                      <w:szCs w:val="24"/>
                      <w:shd w:val="clear" w:color="auto" w:fill="FFFFFF"/>
                    </w:rPr>
                  </w:pPr>
                  <w:r>
                    <w:rPr>
                      <w:bCs/>
                      <w:szCs w:val="24"/>
                      <w:shd w:val="clear" w:color="auto" w:fill="FFFFFF"/>
                    </w:rPr>
                    <w:t xml:space="preserve">Sprendimo projektas suderintas su  juristu, kalbininku,</w:t>
                  </w:r>
                  <w:r>
                    <w:rPr>
                      <w:sz w:val="22"/>
                      <w:szCs w:val="22"/>
                    </w:rPr>
                    <w:t xml:space="preserve"> </w:t>
                  </w:r>
                  <w:r>
                    <w:rPr>
                      <w:bCs/>
                      <w:szCs w:val="24"/>
                      <w:shd w:val="clear" w:color="auto" w:fill="FFFFFF"/>
                    </w:rPr>
                    <w:t>administracijos direktoriumi, vicemerais ir meru.</w:t>
                  </w:r>
                </w:p>
              </w:sdtContent>
            </w:sdt>
            <w:sdt>
              <w:sdtPr>
                <w:alias w:val="9 p."/>
                <w:tag w:val="part_4645b590a21b48769405668541020587"/>
                <w:lock w:val="sdtLocked"/>
                <w:richText/>
              </w:sdtPr>
              <w:sdtContent>
                <w:p>
                  <w:pPr>
                    <w:tabs>
                      <w:tab w:val="left" w:pos="0"/>
                    </w:tabs>
                    <w:spacing w:line="254" w:lineRule="auto"/>
                    <w:ind w:firstLine="709"/>
                    <w:jc w:val="both"/>
                    <w:rPr>
                      <w:b/>
                      <w:szCs w:val="24"/>
                      <w:shd w:val="clear" w:color="auto" w:fill="FFFFFF"/>
                    </w:rPr>
                  </w:pPr>
                  <w:sdt>
                    <w:sdtPr>
                      <w:alias w:val="Numeris"/>
                      <w:tag w:val="nr_4645b590a21b48769405668541020587"/>
                      <w:lock w:val="sdtLocked"/>
                      <w:richText/>
                    </w:sdtPr>
                    <w:sdtContent>
                      <w:r>
                        <w:rPr>
                          <w:b/>
                          <w:szCs w:val="24"/>
                          <w:shd w:val="clear" w:color="auto" w:fill="FFFFFF"/>
                        </w:rPr>
                        <w:t>9</w:t>
                      </w:r>
                    </w:sdtContent>
                  </w:sdt>
                  <w:r>
                    <w:rPr>
                      <w:b/>
                      <w:szCs w:val="24"/>
                      <w:shd w:val="clear" w:color="auto" w:fill="FFFFFF"/>
                    </w:rPr>
                    <w:t>.</w:t>
                  </w:r>
                  <w:r>
                    <w:rPr>
                      <w:sz w:val="22"/>
                      <w:szCs w:val="22"/>
                    </w:rPr>
                    <w:t xml:space="preserve"> </w:t>
                  </w:r>
                  <w:r>
                    <w:rPr>
                      <w:b/>
                      <w:szCs w:val="24"/>
                      <w:shd w:val="clear" w:color="auto" w:fill="FFFFFF"/>
                    </w:rPr>
                    <w:t xml:space="preserve"> Numatomo teisinio reguliavimo poveikio vertinimo rezultatai. </w:t>
                  </w:r>
                </w:p>
                <w:p>
                  <w:pPr>
                    <w:spacing w:line="254" w:lineRule="auto"/>
                    <w:ind w:firstLine="798"/>
                    <w:rPr>
                      <w:szCs w:val="24"/>
                      <w:shd w:val="clear" w:color="auto" w:fill="FFFFFF"/>
                    </w:rPr>
                  </w:pPr>
                  <w:r>
                    <w:rPr>
                      <w:szCs w:val="24"/>
                      <w:shd w:val="clear" w:color="auto" w:fill="FFFFFF"/>
                    </w:rPr>
                    <w:t>Rezultatai nenumatomi.</w:t>
                  </w:r>
                </w:p>
              </w:sdtContent>
            </w:sdt>
            <w:sdt>
              <w:sdtPr>
                <w:alias w:val="10 p."/>
                <w:tag w:val="part_d39d47aeb49945828b769fa00aa9a857"/>
                <w:lock w:val="sdtLocked"/>
                <w:richText/>
              </w:sdtPr>
              <w:sdtContent>
                <w:p>
                  <w:pPr>
                    <w:tabs>
                      <w:tab w:val="left" w:pos="0"/>
                    </w:tabs>
                    <w:spacing w:line="254" w:lineRule="auto"/>
                    <w:ind w:firstLine="709"/>
                    <w:jc w:val="both"/>
                    <w:rPr>
                      <w:b/>
                      <w:szCs w:val="24"/>
                      <w:shd w:val="clear" w:color="auto" w:fill="FFFFFF"/>
                    </w:rPr>
                  </w:pPr>
                  <w:sdt>
                    <w:sdtPr>
                      <w:alias w:val="Numeris"/>
                      <w:tag w:val="nr_d39d47aeb49945828b769fa00aa9a857"/>
                      <w:lock w:val="sdtLocked"/>
                      <w:richText/>
                    </w:sdtPr>
                    <w:sdtContent>
                      <w:r>
                        <w:rPr>
                          <w:b/>
                          <w:szCs w:val="24"/>
                          <w:shd w:val="clear" w:color="auto" w:fill="FFFFFF"/>
                        </w:rPr>
                        <w:t>10</w:t>
                      </w:r>
                    </w:sdtContent>
                  </w:sdt>
                  <w:r>
                    <w:rPr>
                      <w:b/>
                      <w:szCs w:val="24"/>
                      <w:shd w:val="clear" w:color="auto" w:fill="FFFFFF"/>
                    </w:rPr>
                    <w:t>.</w:t>
                  </w:r>
                  <w:r>
                    <w:rPr>
                      <w:b/>
                      <w:sz w:val="22"/>
                      <w:szCs w:val="22"/>
                    </w:rPr>
                    <w:t xml:space="preserve"> </w:t>
                  </w:r>
                  <w:r>
                    <w:rPr>
                      <w:b/>
                      <w:szCs w:val="24"/>
                      <w:shd w:val="clear" w:color="auto" w:fill="FFFFFF"/>
                    </w:rPr>
                    <w:t>Sprendimo projekto antikorupcinis vertinimas.</w:t>
                  </w:r>
                </w:p>
                <w:p>
                  <w:pPr>
                    <w:tabs>
                      <w:tab w:val="left" w:pos="0"/>
                    </w:tabs>
                    <w:spacing w:line="254" w:lineRule="auto"/>
                    <w:ind w:firstLine="766"/>
                    <w:jc w:val="both"/>
                    <w:rPr>
                      <w:bCs/>
                      <w:szCs w:val="24"/>
                      <w:shd w:val="clear" w:color="auto" w:fill="FFFFFF"/>
                    </w:rPr>
                  </w:pPr>
                  <w:r>
                    <w:rPr>
                      <w:bCs/>
                      <w:szCs w:val="24"/>
                      <w:shd w:val="clear" w:color="auto" w:fill="FFFFFF"/>
                    </w:rPr>
                    <w:t>Teisės akto projektas antikorupciniam vertinimui neteikiamas.</w:t>
                  </w:r>
                </w:p>
              </w:sdtContent>
            </w:sdt>
            <w:sdt>
              <w:sdtPr>
                <w:alias w:val="11 p."/>
                <w:tag w:val="part_a5b87830c0a74ae59a8ef2d91f1b4a0d"/>
                <w:lock w:val="sdtLocked"/>
                <w:richText/>
              </w:sdtPr>
              <w:sdtContent>
                <w:p>
                  <w:pPr>
                    <w:tabs>
                      <w:tab w:val="left" w:pos="0"/>
                    </w:tabs>
                    <w:spacing w:line="254" w:lineRule="auto"/>
                    <w:ind w:firstLine="709"/>
                    <w:jc w:val="both"/>
                    <w:rPr>
                      <w:b/>
                      <w:szCs w:val="24"/>
                      <w:shd w:val="clear" w:color="auto" w:fill="FFFFFF"/>
                    </w:rPr>
                  </w:pPr>
                  <w:sdt>
                    <w:sdtPr>
                      <w:alias w:val="Numeris"/>
                      <w:tag w:val="nr_a5b87830c0a74ae59a8ef2d91f1b4a0d"/>
                      <w:lock w:val="sdtLocked"/>
                      <w:richText/>
                    </w:sdtPr>
                    <w:sdtContent>
                      <w:r>
                        <w:rPr>
                          <w:b/>
                          <w:szCs w:val="24"/>
                          <w:shd w:val="clear" w:color="auto" w:fill="FFFFFF"/>
                        </w:rPr>
                        <w:t>11</w:t>
                      </w:r>
                    </w:sdtContent>
                  </w:sdt>
                  <w:r>
                    <w:rPr>
                      <w:b/>
                      <w:szCs w:val="24"/>
                      <w:shd w:val="clear" w:color="auto" w:fill="FFFFFF"/>
                    </w:rPr>
                    <w:t xml:space="preserve">.  Kiti, iniciatoriaus nuomone, reikalingi pagrindimai ir paaiškinimai.    </w:t>
                  </w:r>
                </w:p>
                <w:p>
                  <w:pPr>
                    <w:tabs>
                      <w:tab w:val="left" w:pos="0"/>
                    </w:tabs>
                    <w:spacing w:line="254" w:lineRule="auto"/>
                    <w:ind w:firstLine="709"/>
                    <w:jc w:val="both"/>
                    <w:rPr>
                      <w:bCs/>
                      <w:szCs w:val="24"/>
                      <w:shd w:val="clear" w:color="auto" w:fill="FFFFFF"/>
                    </w:rPr>
                  </w:pPr>
                  <w:r>
                    <w:rPr>
                      <w:bCs/>
                      <w:szCs w:val="24"/>
                      <w:shd w:val="clear" w:color="auto" w:fill="FFFFFF"/>
                    </w:rPr>
                    <w:t>Sprendimo projektu:</w:t>
                  </w:r>
                </w:p>
              </w:sdtContent>
            </w:sdt>
            <w:sdt>
              <w:sdtPr>
                <w:alias w:val="1 p."/>
                <w:tag w:val="part_d38dbfb909ff4abf87047f6e6bc7576c"/>
                <w:lock w:val="sdtLocked"/>
                <w:richText/>
              </w:sdtPr>
              <w:sdtContent>
                <w:p>
                  <w:pPr>
                    <w:tabs>
                      <w:tab w:val="left" w:pos="0"/>
                    </w:tabs>
                    <w:spacing w:line="254" w:lineRule="auto"/>
                    <w:ind w:firstLine="771"/>
                    <w:jc w:val="both"/>
                    <w:rPr>
                      <w:b/>
                      <w:szCs w:val="24"/>
                      <w:shd w:val="clear" w:color="auto" w:fill="FFFFFF"/>
                    </w:rPr>
                  </w:pPr>
                  <w:sdt>
                    <w:sdtPr>
                      <w:alias w:val="Numeris"/>
                      <w:tag w:val="nr_d38dbfb909ff4abf87047f6e6bc7576c"/>
                      <w:lock w:val="sdtLocked"/>
                      <w:richText/>
                    </w:sdtPr>
                    <w:sdtContent>
                      <w:r>
                        <w:rPr>
                          <w:b/>
                          <w:szCs w:val="24"/>
                          <w:shd w:val="clear" w:color="auto" w:fill="FFFFFF"/>
                        </w:rPr>
                        <w:t>1</w:t>
                      </w:r>
                    </w:sdtContent>
                  </w:sdt>
                  <w:r>
                    <w:rPr>
                      <w:b/>
                      <w:szCs w:val="24"/>
                      <w:shd w:val="clear" w:color="auto" w:fill="FFFFFF"/>
                    </w:rPr>
                    <w:t xml:space="preserve">. Didinamos  Radviliškio rajono savivaldybės 2025 metų biudžeto pajamos 1 150 698,89   Eur, iš jų:</w:t>
                  </w:r>
                </w:p>
                <w:sdt>
                  <w:sdtPr>
                    <w:alias w:val="1.1 pp."/>
                    <w:tag w:val="part_7cf50e86333c4e8db10ed2cf20fa5e47"/>
                    <w:lock w:val="sdtLocked"/>
                    <w:richText/>
                  </w:sdtPr>
                  <w:sdtContent>
                    <w:p>
                      <w:pPr>
                        <w:spacing w:line="254" w:lineRule="auto"/>
                        <w:ind w:firstLine="709"/>
                        <w:jc w:val="both"/>
                        <w:rPr>
                          <w:szCs w:val="24"/>
                        </w:rPr>
                      </w:pPr>
                      <w:sdt>
                        <w:sdtPr>
                          <w:alias w:val="Numeris"/>
                          <w:tag w:val="nr_7cf50e86333c4e8db10ed2cf20fa5e47"/>
                          <w:lock w:val="sdtLocked"/>
                          <w:richText/>
                        </w:sdtPr>
                        <w:sdtContent>
                          <w:r>
                            <w:rPr>
                              <w:szCs w:val="24"/>
                            </w:rPr>
                            <w:t>1.1</w:t>
                          </w:r>
                        </w:sdtContent>
                      </w:sdt>
                      <w:r>
                        <w:rPr>
                          <w:szCs w:val="24"/>
                        </w:rPr>
                        <w:t>. Valstybės biudžeto lėšos, skirtos</w:t>
                      </w:r>
                      <w:r>
                        <w:rPr>
                          <w:sz w:val="22"/>
                          <w:szCs w:val="22"/>
                        </w:rPr>
                        <w:t xml:space="preserve"> </w:t>
                      </w:r>
                      <w:r>
                        <w:rPr>
                          <w:szCs w:val="24"/>
                        </w:rPr>
                        <w:t>vaikų, kuriems skirtas privalomas ugdymas pagal ikimokyklinio ugdymo programą, ugdymui, maitinimui ir vežiojimui – 64 486,00 Eur (VB);</w:t>
                      </w:r>
                    </w:p>
                  </w:sdtContent>
                </w:sdt>
                <w:sdt>
                  <w:sdtPr>
                    <w:alias w:val="1.2 pp."/>
                    <w:tag w:val="part_f543213f8b5b41d38320e6468f85303c"/>
                    <w:lock w:val="sdtLocked"/>
                    <w:richText/>
                  </w:sdtPr>
                  <w:sdtContent>
                    <w:p>
                      <w:pPr>
                        <w:spacing w:line="254" w:lineRule="auto"/>
                        <w:ind w:firstLine="709"/>
                        <w:jc w:val="both"/>
                        <w:rPr>
                          <w:szCs w:val="24"/>
                        </w:rPr>
                      </w:pPr>
                      <w:sdt>
                        <w:sdtPr>
                          <w:alias w:val="Numeris"/>
                          <w:tag w:val="nr_f543213f8b5b41d38320e6468f85303c"/>
                          <w:lock w:val="sdtLocked"/>
                          <w:richText/>
                        </w:sdtPr>
                        <w:sdtContent>
                          <w:r>
                            <w:rPr>
                              <w:szCs w:val="24"/>
                            </w:rPr>
                            <w:t>1.2</w:t>
                          </w:r>
                        </w:sdtContent>
                      </w:sdt>
                      <w:r>
                        <w:rPr>
                          <w:szCs w:val="24"/>
                        </w:rPr>
                        <w:t>.</w:t>
                      </w:r>
                      <w:r>
                        <w:rPr>
                          <w:sz w:val="22"/>
                          <w:szCs w:val="22"/>
                        </w:rPr>
                        <w:t xml:space="preserve"> </w:t>
                      </w:r>
                      <w:r>
                        <w:rPr>
                          <w:szCs w:val="24"/>
                        </w:rPr>
                        <w:t xml:space="preserve">Valstybės biudžeto lėšos, skirtos užtikrinti Lietuvos Respublikos piniginės socialinės paramos nepasiturintiems gyventojams įstatymo įgyvendinimą  – 600 000,00 Eur (VB);</w:t>
                      </w:r>
                    </w:p>
                  </w:sdtContent>
                </w:sdt>
                <w:sdt>
                  <w:sdtPr>
                    <w:alias w:val="1.3 pp."/>
                    <w:tag w:val="part_4950d19ad64b4df0866cb81c9f951bb4"/>
                    <w:lock w:val="sdtLocked"/>
                    <w:richText/>
                  </w:sdtPr>
                  <w:sdtContent>
                    <w:p>
                      <w:pPr>
                        <w:spacing w:line="254" w:lineRule="auto"/>
                        <w:ind w:firstLine="709"/>
                        <w:jc w:val="both"/>
                        <w:rPr>
                          <w:szCs w:val="24"/>
                        </w:rPr>
                      </w:pPr>
                      <w:sdt>
                        <w:sdtPr>
                          <w:alias w:val="Numeris"/>
                          <w:tag w:val="nr_4950d19ad64b4df0866cb81c9f951bb4"/>
                          <w:lock w:val="sdtLocked"/>
                          <w:richText/>
                        </w:sdtPr>
                        <w:sdtContent>
                          <w:r>
                            <w:rPr>
                              <w:szCs w:val="24"/>
                            </w:rPr>
                            <w:t>1.3</w:t>
                          </w:r>
                        </w:sdtContent>
                      </w:sdt>
                      <w:r>
                        <w:rPr>
                          <w:szCs w:val="24"/>
                        </w:rPr>
                        <w:t>.</w:t>
                      </w:r>
                      <w:r>
                        <w:rPr>
                          <w:sz w:val="22"/>
                          <w:szCs w:val="22"/>
                        </w:rPr>
                        <w:t xml:space="preserve"> </w:t>
                      </w:r>
                      <w:r>
                        <w:rPr>
                          <w:szCs w:val="24"/>
                        </w:rPr>
                        <w:t>Projekto „Ankstyvojo ugdymo užtikrinimas vaikams iš socialinę riziką patiriančių šeimų“ finansavimas iš Europos socialinio fondo agentūros – 81 712,89 Eur (ES – 69 455,96 Eur; VB – 12 256,93 Eur);</w:t>
                      </w:r>
                    </w:p>
                  </w:sdtContent>
                </w:sdt>
                <w:sdt>
                  <w:sdtPr>
                    <w:alias w:val="1.4 pp."/>
                    <w:tag w:val="part_5775689edf724269bdee3e8041b62ff1"/>
                    <w:lock w:val="sdtLocked"/>
                    <w:richText/>
                  </w:sdtPr>
                  <w:sdtContent>
                    <w:p>
                      <w:pPr>
                        <w:spacing w:line="254" w:lineRule="auto"/>
                        <w:ind w:firstLine="709"/>
                        <w:jc w:val="both"/>
                        <w:rPr>
                          <w:szCs w:val="24"/>
                        </w:rPr>
                      </w:pPr>
                      <w:sdt>
                        <w:sdtPr>
                          <w:alias w:val="Numeris"/>
                          <w:tag w:val="nr_5775689edf724269bdee3e8041b62ff1"/>
                          <w:lock w:val="sdtLocked"/>
                          <w:richText/>
                        </w:sdtPr>
                        <w:sdtContent>
                          <w:r>
                            <w:rPr>
                              <w:szCs w:val="24"/>
                            </w:rPr>
                            <w:t>1.4</w:t>
                          </w:r>
                        </w:sdtContent>
                      </w:sdt>
                      <w:r>
                        <w:rPr>
                          <w:szCs w:val="24"/>
                        </w:rPr>
                        <w:t xml:space="preserve">. Pajamos biudžetinių įstaigų už  teikiamas paslaugas – 54 500,00 Eur (SB SP);</w:t>
                      </w:r>
                    </w:p>
                  </w:sdtContent>
                </w:sdt>
                <w:sdt>
                  <w:sdtPr>
                    <w:alias w:val="1.5 pp."/>
                    <w:tag w:val="part_dd2bfe02de8243799b05d305e701a603"/>
                    <w:lock w:val="sdtLocked"/>
                    <w:richText/>
                  </w:sdtPr>
                  <w:sdtContent>
                    <w:p>
                      <w:pPr>
                        <w:spacing w:line="254" w:lineRule="auto"/>
                        <w:ind w:firstLine="709"/>
                        <w:jc w:val="both"/>
                        <w:rPr>
                          <w:szCs w:val="24"/>
                        </w:rPr>
                      </w:pPr>
                      <w:sdt>
                        <w:sdtPr>
                          <w:alias w:val="Numeris"/>
                          <w:tag w:val="nr_dd2bfe02de8243799b05d305e701a603"/>
                          <w:lock w:val="sdtLocked"/>
                          <w:richText/>
                        </w:sdtPr>
                        <w:sdtContent>
                          <w:r>
                            <w:rPr>
                              <w:szCs w:val="24"/>
                            </w:rPr>
                            <w:t>1.5</w:t>
                          </w:r>
                        </w:sdtContent>
                      </w:sdt>
                      <w:r>
                        <w:rPr>
                          <w:szCs w:val="24"/>
                        </w:rPr>
                        <w:t>. Pajamos už parduotus valstybinės žemės sklypus – 120 000,00 Eur (VB);</w:t>
                      </w:r>
                    </w:p>
                  </w:sdtContent>
                </w:sdt>
                <w:sdt>
                  <w:sdtPr>
                    <w:alias w:val="1.6 pp."/>
                    <w:tag w:val="part_e6a570d6e48c4083b9977a1900f1722c"/>
                    <w:lock w:val="sdtLocked"/>
                    <w:richText/>
                  </w:sdtPr>
                  <w:sdtContent>
                    <w:p>
                      <w:pPr>
                        <w:spacing w:line="254" w:lineRule="auto"/>
                        <w:ind w:firstLine="709"/>
                        <w:jc w:val="both"/>
                        <w:rPr>
                          <w:szCs w:val="24"/>
                        </w:rPr>
                      </w:pPr>
                      <w:sdt>
                        <w:sdtPr>
                          <w:alias w:val="Numeris"/>
                          <w:tag w:val="nr_e6a570d6e48c4083b9977a1900f1722c"/>
                          <w:lock w:val="sdtLocked"/>
                          <w:richText/>
                        </w:sdtPr>
                        <w:sdtContent>
                          <w:r>
                            <w:rPr>
                              <w:szCs w:val="24"/>
                            </w:rPr>
                            <w:t>1.6</w:t>
                          </w:r>
                        </w:sdtContent>
                      </w:sdt>
                      <w:r>
                        <w:rPr>
                          <w:szCs w:val="24"/>
                        </w:rPr>
                        <w:t>.</w:t>
                      </w:r>
                      <w:r>
                        <w:rPr>
                          <w:sz w:val="22"/>
                          <w:szCs w:val="22"/>
                        </w:rPr>
                        <w:t xml:space="preserve"> </w:t>
                      </w:r>
                      <w:r>
                        <w:rPr>
                          <w:szCs w:val="24"/>
                        </w:rPr>
                        <w:t>Gyventojų pajamų mokestis – 130 000,00 Eur (SB);</w:t>
                      </w:r>
                    </w:p>
                  </w:sdtContent>
                </w:sdt>
                <w:sdt>
                  <w:sdtPr>
                    <w:alias w:val="1.7 pp."/>
                    <w:tag w:val="part_74ce97cd634e423c842ba32d06ec00e5"/>
                    <w:lock w:val="sdtLocked"/>
                    <w:richText/>
                  </w:sdtPr>
                  <w:sdtContent>
                    <w:p>
                      <w:pPr>
                        <w:spacing w:line="254" w:lineRule="auto"/>
                        <w:ind w:firstLine="709"/>
                        <w:jc w:val="both"/>
                        <w:rPr>
                          <w:szCs w:val="24"/>
                        </w:rPr>
                      </w:pPr>
                      <w:sdt>
                        <w:sdtPr>
                          <w:alias w:val="Numeris"/>
                          <w:tag w:val="nr_74ce97cd634e423c842ba32d06ec00e5"/>
                          <w:lock w:val="sdtLocked"/>
                          <w:richText/>
                        </w:sdtPr>
                        <w:sdtContent>
                          <w:r>
                            <w:rPr>
                              <w:szCs w:val="24"/>
                            </w:rPr>
                            <w:t>1.7</w:t>
                          </w:r>
                        </w:sdtContent>
                      </w:sdt>
                      <w:r>
                        <w:rPr>
                          <w:szCs w:val="24"/>
                        </w:rPr>
                        <w:t>. Nekilnojamojo turto mokestis</w:t>
                      </w:r>
                      <w:r>
                        <w:rPr>
                          <w:sz w:val="22"/>
                          <w:szCs w:val="22"/>
                        </w:rPr>
                        <w:t xml:space="preserve"> – </w:t>
                      </w:r>
                      <w:r>
                        <w:rPr>
                          <w:szCs w:val="24"/>
                        </w:rPr>
                        <w:t>100 000,00 Eur (SB).</w:t>
                      </w:r>
                    </w:p>
                    <w:p>
                      <w:pPr>
                        <w:spacing w:line="254" w:lineRule="auto"/>
                        <w:ind w:firstLine="709"/>
                        <w:jc w:val="both"/>
                        <w:rPr>
                          <w:b/>
                          <w:szCs w:val="24"/>
                          <w:shd w:val="clear" w:color="auto" w:fill="FFFFFF"/>
                        </w:rPr>
                      </w:pPr>
                    </w:p>
                  </w:sdtContent>
                </w:sdt>
              </w:sdtContent>
            </w:sdt>
            <w:sdt>
              <w:sdtPr>
                <w:alias w:val="2 p."/>
                <w:tag w:val="part_3eb3bd47f83143f6abed31ee19fa6f82"/>
                <w:lock w:val="sdtLocked"/>
                <w:richText/>
              </w:sdtPr>
              <w:sdtContent>
                <w:p>
                  <w:pPr>
                    <w:spacing w:line="254" w:lineRule="auto"/>
                    <w:ind w:firstLine="709"/>
                    <w:jc w:val="both"/>
                    <w:rPr>
                      <w:b/>
                      <w:szCs w:val="24"/>
                      <w:shd w:val="clear" w:color="auto" w:fill="FFFFFF"/>
                    </w:rPr>
                  </w:pPr>
                  <w:sdt>
                    <w:sdtPr>
                      <w:alias w:val="Numeris"/>
                      <w:tag w:val="nr_3eb3bd47f83143f6abed31ee19fa6f82"/>
                      <w:lock w:val="sdtLocked"/>
                      <w:richText/>
                    </w:sdtPr>
                    <w:sdtContent>
                      <w:r>
                        <w:rPr>
                          <w:b/>
                          <w:szCs w:val="24"/>
                          <w:shd w:val="clear" w:color="auto" w:fill="FFFFFF"/>
                        </w:rPr>
                        <w:t>2</w:t>
                      </w:r>
                    </w:sdtContent>
                  </w:sdt>
                  <w:r>
                    <w:rPr>
                      <w:b/>
                      <w:szCs w:val="24"/>
                      <w:shd w:val="clear" w:color="auto" w:fill="FFFFFF"/>
                    </w:rPr>
                    <w:t>.</w:t>
                  </w:r>
                  <w:r>
                    <w:rPr>
                      <w:bCs/>
                      <w:szCs w:val="24"/>
                      <w:shd w:val="clear" w:color="auto" w:fill="FFFFFF"/>
                    </w:rPr>
                    <w:t xml:space="preserve"> </w:t>
                  </w:r>
                  <w:r>
                    <w:rPr>
                      <w:b/>
                      <w:szCs w:val="24"/>
                      <w:shd w:val="clear" w:color="auto" w:fill="FFFFFF"/>
                    </w:rPr>
                    <w:t>Sumažinti</w:t>
                  </w:r>
                  <w:r>
                    <w:rPr>
                      <w:sz w:val="22"/>
                      <w:szCs w:val="22"/>
                    </w:rPr>
                    <w:t xml:space="preserve"> </w:t>
                  </w:r>
                  <w:r>
                    <w:rPr>
                      <w:b/>
                      <w:szCs w:val="24"/>
                      <w:shd w:val="clear" w:color="auto" w:fill="FFFFFF"/>
                    </w:rPr>
                    <w:t xml:space="preserve">Radviliškio rajono savivaldybės 2025 metų biudžeto pajamas  25 500,00 Eur, iš jų:</w:t>
                  </w:r>
                </w:p>
                <w:sdt>
                  <w:sdtPr>
                    <w:alias w:val="2.1 pp."/>
                    <w:tag w:val="part_c70a1a9f1bc6450a90821018bd77ee76"/>
                    <w:lock w:val="sdtLocked"/>
                    <w:richText/>
                  </w:sdtPr>
                  <w:sdtContent>
                    <w:p>
                      <w:pPr>
                        <w:spacing w:line="254" w:lineRule="auto"/>
                        <w:ind w:firstLine="709"/>
                        <w:jc w:val="both"/>
                        <w:rPr>
                          <w:bCs/>
                          <w:szCs w:val="24"/>
                          <w:shd w:val="clear" w:color="auto" w:fill="FFFFFF"/>
                        </w:rPr>
                      </w:pPr>
                      <w:sdt>
                        <w:sdtPr>
                          <w:alias w:val="Numeris"/>
                          <w:tag w:val="nr_c70a1a9f1bc6450a90821018bd77ee76"/>
                          <w:lock w:val="sdtLocked"/>
                          <w:richText/>
                        </w:sdtPr>
                        <w:sdtContent>
                          <w:r>
                            <w:rPr>
                              <w:bCs/>
                              <w:szCs w:val="24"/>
                              <w:shd w:val="clear" w:color="auto" w:fill="FFFFFF"/>
                            </w:rPr>
                            <w:t>2.1</w:t>
                          </w:r>
                        </w:sdtContent>
                      </w:sdt>
                      <w:r>
                        <w:rPr>
                          <w:bCs/>
                          <w:szCs w:val="24"/>
                          <w:shd w:val="clear" w:color="auto" w:fill="FFFFFF"/>
                        </w:rPr>
                        <w:t>. Valstybės biudžeto lėšas, skirtas</w:t>
                      </w:r>
                      <w:r>
                        <w:rPr>
                          <w:sz w:val="22"/>
                          <w:szCs w:val="22"/>
                        </w:rPr>
                        <w:t xml:space="preserve"> </w:t>
                      </w:r>
                      <w:r>
                        <w:rPr>
                          <w:bCs/>
                          <w:szCs w:val="24"/>
                          <w:shd w:val="clear" w:color="auto" w:fill="FFFFFF"/>
                        </w:rPr>
                        <w:t>asmeninei pagalbai teikti ir administruoti – 5 100,00 Eur (VB);</w:t>
                      </w:r>
                    </w:p>
                  </w:sdtContent>
                </w:sdt>
                <w:sdt>
                  <w:sdtPr>
                    <w:alias w:val="2.2 pp."/>
                    <w:tag w:val="part_2a43b048974d4ad3b500ed07ae3dd8f1"/>
                    <w:lock w:val="sdtLocked"/>
                    <w:richText/>
                  </w:sdtPr>
                  <w:sdtContent>
                    <w:p>
                      <w:pPr>
                        <w:spacing w:line="254" w:lineRule="auto"/>
                        <w:ind w:firstLine="709"/>
                        <w:jc w:val="both"/>
                        <w:rPr>
                          <w:bCs/>
                          <w:szCs w:val="24"/>
                          <w:shd w:val="clear" w:color="auto" w:fill="FFFFFF"/>
                        </w:rPr>
                      </w:pPr>
                      <w:sdt>
                        <w:sdtPr>
                          <w:alias w:val="Numeris"/>
                          <w:tag w:val="nr_2a43b048974d4ad3b500ed07ae3dd8f1"/>
                          <w:lock w:val="sdtLocked"/>
                          <w:richText/>
                        </w:sdtPr>
                        <w:sdtContent>
                          <w:r>
                            <w:rPr>
                              <w:bCs/>
                              <w:szCs w:val="24"/>
                              <w:shd w:val="clear" w:color="auto" w:fill="FFFFFF"/>
                            </w:rPr>
                            <w:t>2.2</w:t>
                          </w:r>
                        </w:sdtContent>
                      </w:sdt>
                      <w:r>
                        <w:rPr>
                          <w:bCs/>
                          <w:szCs w:val="24"/>
                          <w:shd w:val="clear" w:color="auto" w:fill="FFFFFF"/>
                        </w:rPr>
                        <w:t>.</w:t>
                      </w:r>
                      <w:r>
                        <w:rPr>
                          <w:sz w:val="22"/>
                          <w:szCs w:val="22"/>
                        </w:rPr>
                        <w:t xml:space="preserve"> </w:t>
                      </w:r>
                      <w:r>
                        <w:rPr>
                          <w:bCs/>
                          <w:szCs w:val="24"/>
                          <w:shd w:val="clear" w:color="auto" w:fill="FFFFFF"/>
                        </w:rPr>
                        <w:t>Valstybės biudžeto lėšas, skirtas</w:t>
                      </w:r>
                      <w:r>
                        <w:rPr>
                          <w:sz w:val="22"/>
                          <w:szCs w:val="22"/>
                        </w:rPr>
                        <w:t xml:space="preserve"> </w:t>
                      </w:r>
                      <w:r>
                        <w:rPr>
                          <w:bCs/>
                          <w:szCs w:val="24"/>
                          <w:shd w:val="clear" w:color="auto" w:fill="FFFFFF"/>
                        </w:rPr>
                        <w:t xml:space="preserve">laikino atokvėpio paslaugai teikti ir administruoti  – 20 400,00 Eur (VB);</w:t>
                      </w:r>
                    </w:p>
                    <w:p>
                      <w:pPr>
                        <w:spacing w:line="254" w:lineRule="auto"/>
                        <w:ind w:firstLine="709"/>
                        <w:jc w:val="both"/>
                        <w:rPr>
                          <w:bCs/>
                          <w:szCs w:val="24"/>
                          <w:shd w:val="clear" w:color="auto" w:fill="FFFFFF"/>
                        </w:rPr>
                      </w:pPr>
                    </w:p>
                  </w:sdtContent>
                </w:sdt>
              </w:sdtContent>
            </w:sdt>
            <w:sdt>
              <w:sdtPr>
                <w:alias w:val="3 p."/>
                <w:tag w:val="part_65c4e91183a24abea56d2dea398c7bbc"/>
                <w:lock w:val="sdtLocked"/>
                <w:richText/>
              </w:sdtPr>
              <w:sdtContent>
                <w:p>
                  <w:pPr>
                    <w:spacing w:line="254" w:lineRule="auto"/>
                    <w:ind w:firstLine="709"/>
                    <w:jc w:val="both"/>
                    <w:rPr>
                      <w:b/>
                      <w:szCs w:val="24"/>
                      <w:lang w:eastAsia="lt-LT"/>
                    </w:rPr>
                  </w:pPr>
                  <w:sdt>
                    <w:sdtPr>
                      <w:alias w:val="Numeris"/>
                      <w:tag w:val="nr_65c4e91183a24abea56d2dea398c7bbc"/>
                      <w:lock w:val="sdtLocked"/>
                      <w:richText/>
                    </w:sdtPr>
                    <w:sdtContent>
                      <w:r>
                        <w:rPr>
                          <w:b/>
                          <w:szCs w:val="24"/>
                          <w:shd w:val="clear" w:color="auto" w:fill="FFFFFF"/>
                        </w:rPr>
                        <w:t>3</w:t>
                      </w:r>
                    </w:sdtContent>
                  </w:sdt>
                  <w:r>
                    <w:rPr>
                      <w:b/>
                      <w:szCs w:val="24"/>
                      <w:shd w:val="clear" w:color="auto" w:fill="FFFFFF"/>
                    </w:rPr>
                    <w:t>.</w:t>
                  </w:r>
                  <w:r>
                    <w:rPr>
                      <w:b/>
                      <w:szCs w:val="24"/>
                      <w:lang w:eastAsia="lt-LT"/>
                    </w:rPr>
                    <w:t xml:space="preserve"> Didinami Radviliškio rajono savivaldybės 2025 metų biudžeto asignavimai  pagal programas  1 150 698,89 Eur, iš jų:</w:t>
                  </w:r>
                </w:p>
                <w:p>
                  <w:pPr>
                    <w:spacing w:line="254" w:lineRule="auto"/>
                    <w:ind w:firstLine="709"/>
                    <w:jc w:val="both"/>
                    <w:rPr>
                      <w:b/>
                      <w:szCs w:val="24"/>
                      <w:lang w:eastAsia="lt-LT"/>
                    </w:rPr>
                  </w:pPr>
                </w:p>
                <w:sdt>
                  <w:sdtPr>
                    <w:alias w:val="3.1 pp."/>
                    <w:tag w:val="part_6c3c7382a36e4f4c9f5e78949ce0b708"/>
                    <w:lock w:val="sdtLocked"/>
                    <w:richText/>
                  </w:sdtPr>
                  <w:sdtContent>
                    <w:p>
                      <w:pPr>
                        <w:spacing w:line="254" w:lineRule="auto"/>
                        <w:ind w:firstLine="709"/>
                        <w:jc w:val="both"/>
                        <w:rPr>
                          <w:szCs w:val="24"/>
                        </w:rPr>
                      </w:pPr>
                      <w:sdt>
                        <w:sdtPr>
                          <w:alias w:val="Numeris"/>
                          <w:tag w:val="nr_6c3c7382a36e4f4c9f5e78949ce0b708"/>
                          <w:lock w:val="sdtLocked"/>
                          <w:richText/>
                        </w:sdtPr>
                        <w:sdtContent>
                          <w:r>
                            <w:rPr>
                              <w:bCs/>
                              <w:szCs w:val="24"/>
                              <w:lang w:eastAsia="lt-LT"/>
                            </w:rPr>
                            <w:t>3.1</w:t>
                          </w:r>
                        </w:sdtContent>
                      </w:sdt>
                      <w:r>
                        <w:rPr>
                          <w:bCs/>
                          <w:szCs w:val="24"/>
                          <w:lang w:eastAsia="lt-LT"/>
                        </w:rPr>
                        <w:t>.</w:t>
                      </w:r>
                      <w:r>
                        <w:rPr>
                          <w:szCs w:val="24"/>
                        </w:rPr>
                        <w:t xml:space="preserve"> Radviliškio rajono savivaldybės administracijos Socialinės paramos skyriui:</w:t>
                      </w:r>
                    </w:p>
                    <w:sdt>
                      <w:sdtPr>
                        <w:alias w:val="3.1.1 pp."/>
                        <w:tag w:val="part_bd6c07cac4a947bb9f9c1163986612b6"/>
                        <w:lock w:val="sdtLocked"/>
                        <w:richText/>
                      </w:sdtPr>
                      <w:sdtContent>
                        <w:p>
                          <w:pPr>
                            <w:spacing w:line="254" w:lineRule="auto"/>
                            <w:ind w:firstLine="709"/>
                            <w:jc w:val="both"/>
                            <w:rPr>
                              <w:szCs w:val="24"/>
                            </w:rPr>
                          </w:pPr>
                          <w:sdt>
                            <w:sdtPr>
                              <w:alias w:val="Numeris"/>
                              <w:tag w:val="nr_bd6c07cac4a947bb9f9c1163986612b6"/>
                              <w:lock w:val="sdtLocked"/>
                              <w:richText/>
                            </w:sdtPr>
                            <w:sdtContent>
                              <w:r>
                                <w:rPr>
                                  <w:szCs w:val="24"/>
                                </w:rPr>
                                <w:t>3.1.1</w:t>
                              </w:r>
                            </w:sdtContent>
                          </w:sdt>
                          <w:r>
                            <w:rPr>
                              <w:szCs w:val="24"/>
                            </w:rPr>
                            <w:t>. Savivaldybės biudžeto lėšos, skirtos socialinėms pašalpoms ir kompensacijoms mokėti – 200 000,00 Eur (SB, 03 programa);</w:t>
                          </w:r>
                        </w:p>
                      </w:sdtContent>
                    </w:sdt>
                    <w:sdt>
                      <w:sdtPr>
                        <w:alias w:val="3.1.2 pp."/>
                        <w:tag w:val="part_35edb696022444afb49cc82f4fb4dc16"/>
                        <w:lock w:val="sdtLocked"/>
                        <w:richText/>
                      </w:sdtPr>
                      <w:sdtContent>
                        <w:p>
                          <w:pPr>
                            <w:spacing w:line="254" w:lineRule="auto"/>
                            <w:ind w:firstLine="709"/>
                            <w:jc w:val="both"/>
                            <w:rPr>
                              <w:szCs w:val="24"/>
                            </w:rPr>
                          </w:pPr>
                          <w:sdt>
                            <w:sdtPr>
                              <w:alias w:val="Numeris"/>
                              <w:tag w:val="nr_35edb696022444afb49cc82f4fb4dc16"/>
                              <w:lock w:val="sdtLocked"/>
                              <w:richText/>
                            </w:sdtPr>
                            <w:sdtContent>
                              <w:r>
                                <w:rPr>
                                  <w:szCs w:val="24"/>
                                </w:rPr>
                                <w:t>3.1.2</w:t>
                              </w:r>
                            </w:sdtContent>
                          </w:sdt>
                          <w:r>
                            <w:rPr>
                              <w:szCs w:val="24"/>
                            </w:rPr>
                            <w:t>.</w:t>
                          </w:r>
                          <w:r>
                            <w:rPr>
                              <w:sz w:val="22"/>
                              <w:szCs w:val="22"/>
                            </w:rPr>
                            <w:t xml:space="preserve"> </w:t>
                          </w:r>
                          <w:r>
                            <w:rPr>
                              <w:szCs w:val="24"/>
                            </w:rPr>
                            <w:t xml:space="preserve">Valstybės biudžeto lėšos, skirtos užtikrinti Lietuvos Respublikos piniginės socialinės paramos nepasiturintiems gyventojams įstatymo įgyvendinimą  – 600 000,00 Eur (VB, 03 programa);</w:t>
                          </w:r>
                        </w:p>
                      </w:sdtContent>
                    </w:sdt>
                  </w:sdtContent>
                </w:sdt>
                <w:sdt>
                  <w:sdtPr>
                    <w:alias w:val="3.2 pp."/>
                    <w:tag w:val="part_8798603aeae44c87a5c60ec16af1fb24"/>
                    <w:lock w:val="sdtLocked"/>
                    <w:richText/>
                  </w:sdtPr>
                  <w:sdtContent>
                    <w:p>
                      <w:pPr>
                        <w:spacing w:line="254" w:lineRule="auto"/>
                        <w:ind w:firstLine="709"/>
                        <w:jc w:val="both"/>
                        <w:rPr>
                          <w:bCs/>
                          <w:szCs w:val="24"/>
                        </w:rPr>
                      </w:pPr>
                      <w:sdt>
                        <w:sdtPr>
                          <w:alias w:val="Numeris"/>
                          <w:tag w:val="nr_8798603aeae44c87a5c60ec16af1fb24"/>
                          <w:lock w:val="sdtLocked"/>
                          <w:richText/>
                        </w:sdtPr>
                        <w:sdtContent>
                          <w:r>
                            <w:rPr>
                              <w:szCs w:val="24"/>
                            </w:rPr>
                            <w:t>3.2</w:t>
                          </w:r>
                        </w:sdtContent>
                      </w:sdt>
                      <w:r>
                        <w:rPr>
                          <w:szCs w:val="24"/>
                        </w:rPr>
                        <w:t>.</w:t>
                      </w:r>
                      <w:r>
                        <w:rPr>
                          <w:bCs/>
                          <w:szCs w:val="24"/>
                        </w:rPr>
                        <w:t xml:space="preserve"> Radviliškio rajono savivaldybės administracijai:</w:t>
                      </w:r>
                    </w:p>
                    <w:sdt>
                      <w:sdtPr>
                        <w:alias w:val="3.2.1 pp."/>
                        <w:tag w:val="part_7715ded2b219417b8c0507a9c75fb599"/>
                        <w:lock w:val="sdtLocked"/>
                        <w:richText/>
                      </w:sdtPr>
                      <w:sdtContent>
                        <w:p>
                          <w:pPr>
                            <w:spacing w:line="254" w:lineRule="auto"/>
                            <w:ind w:firstLine="709"/>
                            <w:jc w:val="both"/>
                            <w:rPr>
                              <w:bCs/>
                              <w:szCs w:val="24"/>
                            </w:rPr>
                          </w:pPr>
                          <w:sdt>
                            <w:sdtPr>
                              <w:alias w:val="Numeris"/>
                              <w:tag w:val="nr_7715ded2b219417b8c0507a9c75fb599"/>
                              <w:lock w:val="sdtLocked"/>
                              <w:richText/>
                            </w:sdtPr>
                            <w:sdtContent>
                              <w:r>
                                <w:rPr>
                                  <w:bCs/>
                                  <w:szCs w:val="24"/>
                                </w:rPr>
                                <w:t>3.2.1</w:t>
                              </w:r>
                            </w:sdtContent>
                          </w:sdt>
                          <w:r>
                            <w:rPr>
                              <w:bCs/>
                              <w:szCs w:val="24"/>
                            </w:rPr>
                            <w:t xml:space="preserve">. Savivaldybės biudžeto lėšos, skirtos VšĮ „Radviliškio ligoninė“ ligoninės virtuvės ir pagalbinių  patalpų remontui – 30 000,00 Eur (SB, 06 programa);  </w:t>
                          </w:r>
                        </w:p>
                      </w:sdtContent>
                    </w:sdt>
                    <w:sdt>
                      <w:sdtPr>
                        <w:alias w:val="3.2.2 pp."/>
                        <w:tag w:val="part_ffc13e988c83464383a31210a94eaf82"/>
                        <w:lock w:val="sdtLocked"/>
                        <w:richText/>
                      </w:sdtPr>
                      <w:sdtContent>
                        <w:p>
                          <w:pPr>
                            <w:spacing w:line="254" w:lineRule="auto"/>
                            <w:ind w:firstLine="709"/>
                            <w:jc w:val="both"/>
                            <w:rPr>
                              <w:bCs/>
                              <w:szCs w:val="24"/>
                            </w:rPr>
                          </w:pPr>
                          <w:sdt>
                            <w:sdtPr>
                              <w:alias w:val="Numeris"/>
                              <w:tag w:val="nr_ffc13e988c83464383a31210a94eaf82"/>
                              <w:lock w:val="sdtLocked"/>
                              <w:richText/>
                            </w:sdtPr>
                            <w:sdtContent>
                              <w:r>
                                <w:rPr>
                                  <w:bCs/>
                                  <w:szCs w:val="24"/>
                                </w:rPr>
                                <w:t>3.2.2</w:t>
                              </w:r>
                            </w:sdtContent>
                          </w:sdt>
                          <w:r>
                            <w:rPr>
                              <w:bCs/>
                              <w:szCs w:val="24"/>
                            </w:rPr>
                            <w:t>. Valstybės biudžeto lėšos, skirtos Radviliškio rajono savivaldybės prisidėjimui pagal bendradarbiavimo sutartis su AB Via Lietuva</w:t>
                          </w:r>
                          <w:r>
                            <w:rPr>
                              <w:sz w:val="22"/>
                              <w:szCs w:val="22"/>
                            </w:rPr>
                            <w:t xml:space="preserve"> </w:t>
                          </w:r>
                          <w:r>
                            <w:rPr>
                              <w:bCs/>
                              <w:szCs w:val="24"/>
                            </w:rPr>
                            <w:t>– 120 000,00 Eur (VB, 04 programa);</w:t>
                          </w:r>
                        </w:p>
                        <w:p>
                          <w:pPr>
                            <w:spacing w:line="254" w:lineRule="auto"/>
                            <w:ind w:firstLine="833"/>
                            <w:jc w:val="both"/>
                            <w:rPr>
                              <w:bCs/>
                              <w:szCs w:val="24"/>
                            </w:rPr>
                          </w:pPr>
                        </w:p>
                      </w:sdtContent>
                    </w:sdt>
                  </w:sdtContent>
                </w:sdt>
                <w:sdt>
                  <w:sdtPr>
                    <w:alias w:val="3.3 pp."/>
                    <w:tag w:val="part_0def47fd6c2041b5a38a37860f526d32"/>
                    <w:lock w:val="sdtLocked"/>
                    <w:richText/>
                  </w:sdtPr>
                  <w:sdtContent>
                    <w:p>
                      <w:pPr>
                        <w:spacing w:line="254" w:lineRule="auto"/>
                        <w:ind w:firstLine="709"/>
                        <w:rPr>
                          <w:bCs/>
                          <w:szCs w:val="24"/>
                        </w:rPr>
                      </w:pPr>
                      <w:sdt>
                        <w:sdtPr>
                          <w:alias w:val="Numeris"/>
                          <w:tag w:val="nr_0def47fd6c2041b5a38a37860f526d32"/>
                          <w:lock w:val="sdtLocked"/>
                          <w:richText/>
                        </w:sdtPr>
                        <w:sdtContent>
                          <w:r>
                            <w:rPr>
                              <w:bCs/>
                              <w:szCs w:val="24"/>
                            </w:rPr>
                            <w:t>3.3</w:t>
                          </w:r>
                        </w:sdtContent>
                      </w:sdt>
                      <w:r>
                        <w:rPr>
                          <w:bCs/>
                          <w:szCs w:val="24"/>
                        </w:rPr>
                        <w:t>. Projekto „Ankstyvojo ugdymo užtikrinimas vaikams iš socialinę riziką patiriančių šeimų“ finansavimas iš Europos socialinio fondo agentūros – 69 455,96 Eur (ES, 02 programa):</w:t>
                      </w:r>
                    </w:p>
                    <w:p>
                      <w:pPr>
                        <w:rPr>
                          <w:sz w:val="14"/>
                          <w:szCs w:val="14"/>
                        </w:rPr>
                      </w:pPr>
                    </w:p>
                    <w:tbl>
                      <w:tblPr>
                        <w:tblW w:w="8648" w:type="dxa"/>
                        <w:jc w:val="center"/>
                        <w:tblLook w:val="04A0" w:firstRow="1" w:lastRow="0" w:firstColumn="1" w:lastColumn="0" w:noHBand="0" w:noVBand="1"/>
                      </w:tblPr>
                      <w:tblGrid>
                        <w:gridCol w:w="6096"/>
                        <w:gridCol w:w="2552"/>
                      </w:tblGrid>
                      <w:tr>
                        <w:trPr>
                          <w:trHeight w:val="300"/>
                          <w:jc w:val="center"/>
                        </w:trPr>
                        <w:tc>
                          <w:tcPr>
                            <w:tcW w:w="609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2552"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6096"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Alksniupių pagrindinė mokykla</w:t>
                            </w:r>
                          </w:p>
                        </w:tc>
                        <w:tc>
                          <w:tcPr>
                            <w:tcW w:w="255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4 301,64</w:t>
                            </w:r>
                          </w:p>
                        </w:tc>
                      </w:tr>
                      <w:tr>
                        <w:trPr>
                          <w:trHeight w:val="315"/>
                          <w:jc w:val="center"/>
                        </w:trPr>
                        <w:tc>
                          <w:tcPr>
                            <w:tcW w:w="6096"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Baisogalos mokykla-darželis</w:t>
                            </w:r>
                          </w:p>
                        </w:tc>
                        <w:tc>
                          <w:tcPr>
                            <w:tcW w:w="255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12 171,83</w:t>
                            </w:r>
                          </w:p>
                        </w:tc>
                      </w:tr>
                      <w:tr>
                        <w:trPr>
                          <w:trHeight w:val="315"/>
                          <w:jc w:val="center"/>
                        </w:trPr>
                        <w:tc>
                          <w:tcPr>
                            <w:tcW w:w="6096"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lopšelis-darželis „Eglutė“</w:t>
                            </w:r>
                          </w:p>
                        </w:tc>
                        <w:tc>
                          <w:tcPr>
                            <w:tcW w:w="255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3 079,84</w:t>
                            </w:r>
                          </w:p>
                        </w:tc>
                      </w:tr>
                      <w:tr>
                        <w:trPr>
                          <w:trHeight w:val="315"/>
                          <w:jc w:val="center"/>
                        </w:trPr>
                        <w:tc>
                          <w:tcPr>
                            <w:tcW w:w="6096"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Gražinos pagrindinė mokykla</w:t>
                            </w:r>
                          </w:p>
                        </w:tc>
                        <w:tc>
                          <w:tcPr>
                            <w:tcW w:w="255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826,93</w:t>
                            </w:r>
                          </w:p>
                        </w:tc>
                      </w:tr>
                      <w:tr>
                        <w:trPr>
                          <w:trHeight w:val="315"/>
                          <w:jc w:val="center"/>
                        </w:trPr>
                        <w:tc>
                          <w:tcPr>
                            <w:tcW w:w="6096"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Grinkiškio J. Poderio pagrindinė mokykla</w:t>
                            </w:r>
                          </w:p>
                        </w:tc>
                        <w:tc>
                          <w:tcPr>
                            <w:tcW w:w="255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4 357,24</w:t>
                            </w:r>
                          </w:p>
                        </w:tc>
                      </w:tr>
                      <w:tr>
                        <w:trPr>
                          <w:trHeight w:val="315"/>
                          <w:jc w:val="center"/>
                        </w:trPr>
                        <w:tc>
                          <w:tcPr>
                            <w:tcW w:w="6096"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lopšelis-darželis „Kregždutė“</w:t>
                            </w:r>
                          </w:p>
                        </w:tc>
                        <w:tc>
                          <w:tcPr>
                            <w:tcW w:w="255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11 554,85</w:t>
                            </w:r>
                          </w:p>
                        </w:tc>
                      </w:tr>
                      <w:tr>
                        <w:trPr>
                          <w:trHeight w:val="315"/>
                          <w:jc w:val="center"/>
                        </w:trPr>
                        <w:tc>
                          <w:tcPr>
                            <w:tcW w:w="6096"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 Kudirkos progimnazija</w:t>
                            </w:r>
                          </w:p>
                        </w:tc>
                        <w:tc>
                          <w:tcPr>
                            <w:tcW w:w="255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2 301,50</w:t>
                            </w:r>
                          </w:p>
                        </w:tc>
                      </w:tr>
                      <w:tr>
                        <w:trPr>
                          <w:trHeight w:val="315"/>
                          <w:jc w:val="center"/>
                        </w:trPr>
                        <w:tc>
                          <w:tcPr>
                            <w:tcW w:w="6096"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Sidabravo pagrindinė mokykla</w:t>
                            </w:r>
                          </w:p>
                        </w:tc>
                        <w:tc>
                          <w:tcPr>
                            <w:tcW w:w="255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7 248,93</w:t>
                            </w:r>
                          </w:p>
                        </w:tc>
                      </w:tr>
                      <w:tr>
                        <w:trPr>
                          <w:trHeight w:val="315"/>
                          <w:jc w:val="center"/>
                        </w:trPr>
                        <w:tc>
                          <w:tcPr>
                            <w:tcW w:w="6096"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Šeduvos lopšelis-darželis</w:t>
                            </w:r>
                          </w:p>
                        </w:tc>
                        <w:tc>
                          <w:tcPr>
                            <w:tcW w:w="255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11 616,32</w:t>
                            </w:r>
                          </w:p>
                        </w:tc>
                      </w:tr>
                      <w:tr>
                        <w:trPr>
                          <w:trHeight w:val="315"/>
                          <w:jc w:val="center"/>
                        </w:trPr>
                        <w:tc>
                          <w:tcPr>
                            <w:tcW w:w="6096"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Šiaulėnų Marcelino Šikšnio gimnazija</w:t>
                            </w:r>
                          </w:p>
                        </w:tc>
                        <w:tc>
                          <w:tcPr>
                            <w:tcW w:w="255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1 991,29</w:t>
                            </w:r>
                          </w:p>
                        </w:tc>
                      </w:tr>
                      <w:tr>
                        <w:trPr>
                          <w:trHeight w:val="315"/>
                          <w:jc w:val="center"/>
                        </w:trPr>
                        <w:tc>
                          <w:tcPr>
                            <w:tcW w:w="609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Vaižganto progimnazija</w:t>
                            </w:r>
                          </w:p>
                        </w:tc>
                        <w:tc>
                          <w:tcPr>
                            <w:tcW w:w="2552"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826,93</w:t>
                            </w:r>
                          </w:p>
                        </w:tc>
                      </w:tr>
                      <w:tr>
                        <w:trPr>
                          <w:trHeight w:val="315"/>
                          <w:jc w:val="center"/>
                        </w:trPr>
                        <w:tc>
                          <w:tcPr>
                            <w:tcW w:w="60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lopšelis-darželis „Žvaigždutė"</w:t>
                            </w:r>
                          </w:p>
                        </w:tc>
                        <w:tc>
                          <w:tcPr>
                            <w:tcW w:w="2552"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6 599,35</w:t>
                            </w:r>
                          </w:p>
                        </w:tc>
                      </w:tr>
                      <w:tr>
                        <w:trPr>
                          <w:trHeight w:val="315"/>
                          <w:jc w:val="center"/>
                        </w:trPr>
                        <w:tc>
                          <w:tcPr>
                            <w:tcW w:w="609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savivaldybės administracija</w:t>
                            </w:r>
                          </w:p>
                        </w:tc>
                        <w:tc>
                          <w:tcPr>
                            <w:tcW w:w="2552"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2 579,31</w:t>
                            </w:r>
                          </w:p>
                        </w:tc>
                      </w:tr>
                      <w:tr>
                        <w:trPr>
                          <w:trHeight w:val="315"/>
                          <w:jc w:val="center"/>
                        </w:trPr>
                        <w:tc>
                          <w:tcPr>
                            <w:tcW w:w="60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rPr>
                                <w:b/>
                                <w:bCs/>
                                <w:color w:val="000000"/>
                                <w:szCs w:val="24"/>
                                <w:lang w:eastAsia="lt-LT"/>
                              </w:rPr>
                            </w:pPr>
                            <w:r>
                              <w:rPr>
                                <w:b/>
                                <w:bCs/>
                                <w:color w:val="000000"/>
                                <w:szCs w:val="24"/>
                                <w:lang w:eastAsia="lt-LT"/>
                              </w:rPr>
                              <w:t>Iš viso:</w:t>
                            </w:r>
                          </w:p>
                        </w:tc>
                        <w:tc>
                          <w:tcPr>
                            <w:tcW w:w="2552" w:type="dxa"/>
                            <w:tcBorders>
                              <w:top w:val="single" w:sz="4" w:space="0" w:color="auto"/>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 xml:space="preserve">69 455,96 </w:t>
                            </w:r>
                          </w:p>
                        </w:tc>
                      </w:tr>
                    </w:tbl>
                    <w:p>
                      <w:pPr>
                        <w:spacing w:line="254" w:lineRule="auto"/>
                        <w:rPr>
                          <w:bCs/>
                          <w:szCs w:val="24"/>
                        </w:rPr>
                      </w:pPr>
                    </w:p>
                    <w:p>
                      <w:pPr>
                        <w:rPr>
                          <w:sz w:val="14"/>
                          <w:szCs w:val="14"/>
                        </w:rPr>
                      </w:pPr>
                    </w:p>
                  </w:sdtContent>
                </w:sdt>
                <w:sdt>
                  <w:sdtPr>
                    <w:alias w:val="3.4 pp."/>
                    <w:tag w:val="part_496b5ffcad8c4662a5246b4c18e830d1"/>
                    <w:lock w:val="sdtLocked"/>
                    <w:richText/>
                  </w:sdtPr>
                  <w:sdtContent>
                    <w:p>
                      <w:pPr>
                        <w:spacing w:line="254" w:lineRule="auto"/>
                        <w:ind w:firstLine="709"/>
                        <w:rPr>
                          <w:bCs/>
                          <w:szCs w:val="24"/>
                        </w:rPr>
                      </w:pPr>
                      <w:sdt>
                        <w:sdtPr>
                          <w:alias w:val="Numeris"/>
                          <w:tag w:val="nr_496b5ffcad8c4662a5246b4c18e830d1"/>
                          <w:lock w:val="sdtLocked"/>
                          <w:richText/>
                        </w:sdtPr>
                        <w:sdtContent>
                          <w:r>
                            <w:rPr>
                              <w:bCs/>
                              <w:szCs w:val="24"/>
                            </w:rPr>
                            <w:t>3.4</w:t>
                          </w:r>
                        </w:sdtContent>
                      </w:sdt>
                      <w:r>
                        <w:rPr>
                          <w:bCs/>
                          <w:szCs w:val="24"/>
                        </w:rPr>
                        <w:t>.</w:t>
                      </w:r>
                      <w:r>
                        <w:rPr>
                          <w:sz w:val="22"/>
                          <w:szCs w:val="22"/>
                        </w:rPr>
                        <w:t xml:space="preserve"> </w:t>
                      </w:r>
                      <w:r>
                        <w:rPr>
                          <w:bCs/>
                          <w:szCs w:val="24"/>
                        </w:rPr>
                        <w:t xml:space="preserve"> Projekto „Ankstyvojo ugdymo užtikrinimas vaikams iš socialinę riziką patiriančių šeimų“ finansavimas iš Europos socialinio fondo agentūros – 12 256,93 Eur (VB, 02 programa):</w:t>
                      </w:r>
                    </w:p>
                    <w:p>
                      <w:pPr>
                        <w:rPr>
                          <w:sz w:val="14"/>
                          <w:szCs w:val="14"/>
                        </w:rPr>
                      </w:pPr>
                    </w:p>
                    <w:tbl>
                      <w:tblPr>
                        <w:tblW w:w="8648" w:type="dxa"/>
                        <w:jc w:val="center"/>
                        <w:tblLook w:val="04A0" w:firstRow="1" w:lastRow="0" w:firstColumn="1" w:lastColumn="0" w:noHBand="0" w:noVBand="1"/>
                      </w:tblPr>
                      <w:tblGrid>
                        <w:gridCol w:w="6096"/>
                        <w:gridCol w:w="2552"/>
                      </w:tblGrid>
                      <w:tr>
                        <w:trPr>
                          <w:trHeight w:val="300"/>
                          <w:jc w:val="center"/>
                        </w:trPr>
                        <w:tc>
                          <w:tcPr>
                            <w:tcW w:w="609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2552"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6096"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 xml:space="preserve">Radviliškio lopšelis-darželis  „Žvaigždutė“</w:t>
                            </w:r>
                          </w:p>
                        </w:tc>
                        <w:tc>
                          <w:tcPr>
                            <w:tcW w:w="255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12 256,93</w:t>
                            </w:r>
                          </w:p>
                        </w:tc>
                      </w:tr>
                      <w:tr>
                        <w:trPr>
                          <w:trHeight w:val="315"/>
                          <w:jc w:val="center"/>
                        </w:trPr>
                        <w:tc>
                          <w:tcPr>
                            <w:tcW w:w="6096" w:type="dxa"/>
                            <w:tcBorders>
                              <w:top w:val="nil"/>
                              <w:left w:val="single" w:sz="4" w:space="0" w:color="auto"/>
                              <w:bottom w:val="single" w:sz="4" w:space="0" w:color="auto"/>
                              <w:right w:val="single" w:sz="4" w:space="0" w:color="auto"/>
                            </w:tcBorders>
                            <w:shd w:val="clear" w:color="000000" w:fill="FFFFFF"/>
                            <w:noWrap/>
                            <w:vAlign w:val="center"/>
                            <w:hideMark/>
                          </w:tcPr>
                          <w:p>
                            <w:pPr>
                              <w:rPr>
                                <w:b/>
                                <w:bCs/>
                                <w:color w:val="000000"/>
                                <w:szCs w:val="24"/>
                                <w:lang w:eastAsia="lt-LT"/>
                              </w:rPr>
                            </w:pPr>
                            <w:r>
                              <w:rPr>
                                <w:b/>
                                <w:bCs/>
                                <w:color w:val="000000"/>
                                <w:szCs w:val="24"/>
                                <w:lang w:eastAsia="lt-LT"/>
                              </w:rPr>
                              <w:t>Iš viso:</w:t>
                            </w:r>
                          </w:p>
                        </w:tc>
                        <w:tc>
                          <w:tcPr>
                            <w:tcW w:w="2552" w:type="dxa"/>
                            <w:tcBorders>
                              <w:top w:val="nil"/>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12 256,93</w:t>
                            </w:r>
                          </w:p>
                        </w:tc>
                      </w:tr>
                    </w:tbl>
                    <w:p>
                      <w:pPr>
                        <w:spacing w:line="254" w:lineRule="auto"/>
                        <w:ind w:firstLine="62"/>
                        <w:rPr>
                          <w:bCs/>
                          <w:szCs w:val="24"/>
                        </w:rPr>
                      </w:pPr>
                    </w:p>
                    <w:p>
                      <w:pPr>
                        <w:rPr>
                          <w:sz w:val="14"/>
                          <w:szCs w:val="14"/>
                        </w:rPr>
                      </w:pPr>
                    </w:p>
                  </w:sdtContent>
                </w:sdt>
                <w:sdt>
                  <w:sdtPr>
                    <w:alias w:val="3.5 pp."/>
                    <w:tag w:val="part_868b787c5d0e49fe824743a0ad5f8490"/>
                    <w:lock w:val="sdtLocked"/>
                    <w:richText/>
                  </w:sdtPr>
                  <w:sdtContent>
                    <w:p>
                      <w:pPr>
                        <w:spacing w:line="254" w:lineRule="auto"/>
                        <w:ind w:firstLine="709"/>
                        <w:jc w:val="both"/>
                        <w:rPr>
                          <w:bCs/>
                          <w:szCs w:val="24"/>
                        </w:rPr>
                      </w:pPr>
                      <w:sdt>
                        <w:sdtPr>
                          <w:alias w:val="Numeris"/>
                          <w:tag w:val="nr_868b787c5d0e49fe824743a0ad5f8490"/>
                          <w:lock w:val="sdtLocked"/>
                          <w:richText/>
                        </w:sdtPr>
                        <w:sdtContent>
                          <w:r>
                            <w:rPr>
                              <w:bCs/>
                              <w:szCs w:val="24"/>
                            </w:rPr>
                            <w:t>3.5</w:t>
                          </w:r>
                        </w:sdtContent>
                      </w:sdt>
                      <w:r>
                        <w:rPr>
                          <w:bCs/>
                          <w:szCs w:val="24"/>
                        </w:rPr>
                        <w:t>. Valstybės biudžeto lėšos, skirtos vaikų, kuriems skirtas privalomas ugdymas pagal ikimokyklinio ugdymo programą, ugdymui, maitinimui ir vežiojimui užtikrinti – 64 486,00 Eur (VB, 02 programa):</w:t>
                      </w:r>
                    </w:p>
                    <w:p>
                      <w:pPr>
                        <w:rPr>
                          <w:sz w:val="14"/>
                          <w:szCs w:val="14"/>
                        </w:rPr>
                      </w:pPr>
                    </w:p>
                    <w:tbl>
                      <w:tblPr>
                        <w:tblW w:w="8954" w:type="dxa"/>
                        <w:jc w:val="center"/>
                        <w:tblLook w:val="04A0" w:firstRow="1" w:lastRow="0" w:firstColumn="1" w:lastColumn="0" w:noHBand="0" w:noVBand="1"/>
                      </w:tblPr>
                      <w:tblGrid>
                        <w:gridCol w:w="5710"/>
                        <w:gridCol w:w="3244"/>
                      </w:tblGrid>
                      <w:tr>
                        <w:trPr>
                          <w:trHeight w:val="300"/>
                          <w:jc w:val="center"/>
                        </w:trPr>
                        <w:tc>
                          <w:tcPr>
                            <w:tcW w:w="57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3244"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 Kudirkos progimnazija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4 447,34</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Šiaulėnų M. Šikšnio 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4 447,34</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Grinkiškio Jono Poderio pagrindinė mokykla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8 894,68</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Sidabravo pagrindinė mokykla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4 447,34</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Šeduvos lopšelis-darželis</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11 118,35</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Baisogalos mokykla-darželis</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22 236,27</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 xml:space="preserve">Radviliškio lopšelis - darželis  „Kregždutė“</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8 894,68</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b/>
                                <w:bCs/>
                                <w:color w:val="000000"/>
                                <w:szCs w:val="24"/>
                                <w:lang w:eastAsia="lt-LT"/>
                              </w:rPr>
                            </w:pPr>
                            <w:r>
                              <w:rPr>
                                <w:b/>
                                <w:bCs/>
                                <w:color w:val="000000"/>
                                <w:szCs w:val="24"/>
                                <w:lang w:eastAsia="lt-LT"/>
                              </w:rPr>
                              <w:t>Iš viso</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64 486,00</w:t>
                            </w:r>
                          </w:p>
                        </w:tc>
                      </w:tr>
                    </w:tbl>
                    <w:p>
                      <w:pPr>
                        <w:spacing w:line="254" w:lineRule="auto"/>
                        <w:rPr>
                          <w:bCs/>
                          <w:szCs w:val="24"/>
                        </w:rPr>
                      </w:pPr>
                    </w:p>
                    <w:p>
                      <w:pPr>
                        <w:rPr>
                          <w:sz w:val="14"/>
                          <w:szCs w:val="14"/>
                        </w:rPr>
                      </w:pPr>
                    </w:p>
                  </w:sdtContent>
                </w:sdt>
                <w:sdt>
                  <w:sdtPr>
                    <w:alias w:val="3.6 pp."/>
                    <w:tag w:val="part_b19983e3cc7c404f9e606582dc50e3d2"/>
                    <w:lock w:val="sdtLocked"/>
                    <w:richText/>
                  </w:sdtPr>
                  <w:sdtContent>
                    <w:p>
                      <w:pPr>
                        <w:spacing w:line="254" w:lineRule="auto"/>
                        <w:ind w:firstLine="709"/>
                        <w:rPr>
                          <w:bCs/>
                          <w:szCs w:val="24"/>
                        </w:rPr>
                      </w:pPr>
                      <w:sdt>
                        <w:sdtPr>
                          <w:alias w:val="Numeris"/>
                          <w:tag w:val="nr_b19983e3cc7c404f9e606582dc50e3d2"/>
                          <w:lock w:val="sdtLocked"/>
                          <w:richText/>
                        </w:sdtPr>
                        <w:sdtContent>
                          <w:r>
                            <w:rPr>
                              <w:bCs/>
                              <w:szCs w:val="24"/>
                            </w:rPr>
                            <w:t>3.6</w:t>
                          </w:r>
                        </w:sdtContent>
                      </w:sdt>
                      <w:r>
                        <w:rPr>
                          <w:bCs/>
                          <w:szCs w:val="24"/>
                        </w:rPr>
                        <w:t>. Šeduvos globos namams teikiamų socialinių paslaugų pajamos – 50 000,00 Eur (SB SP, 03 programa);</w:t>
                      </w:r>
                    </w:p>
                    <w:p>
                      <w:pPr>
                        <w:rPr>
                          <w:sz w:val="14"/>
                          <w:szCs w:val="14"/>
                        </w:rPr>
                      </w:pPr>
                    </w:p>
                  </w:sdtContent>
                </w:sdt>
                <w:sdt>
                  <w:sdtPr>
                    <w:alias w:val="3.7 pp."/>
                    <w:tag w:val="part_9dd05e5d1eec4032842533ee8a17c9b1"/>
                    <w:lock w:val="sdtLocked"/>
                    <w:richText/>
                  </w:sdtPr>
                  <w:sdtContent>
                    <w:p>
                      <w:pPr>
                        <w:spacing w:line="254" w:lineRule="auto"/>
                        <w:ind w:firstLine="709"/>
                        <w:rPr>
                          <w:bCs/>
                          <w:szCs w:val="24"/>
                        </w:rPr>
                      </w:pPr>
                      <w:sdt>
                        <w:sdtPr>
                          <w:alias w:val="Numeris"/>
                          <w:tag w:val="nr_9dd05e5d1eec4032842533ee8a17c9b1"/>
                          <w:lock w:val="sdtLocked"/>
                          <w:richText/>
                        </w:sdtPr>
                        <w:sdtContent>
                          <w:r>
                            <w:rPr>
                              <w:bCs/>
                              <w:szCs w:val="24"/>
                            </w:rPr>
                            <w:t>3.7</w:t>
                          </w:r>
                        </w:sdtContent>
                      </w:sdt>
                      <w:r>
                        <w:rPr>
                          <w:bCs/>
                          <w:szCs w:val="24"/>
                        </w:rPr>
                        <w:t>. Radviliškio viešajai bibliotekai</w:t>
                      </w:r>
                      <w:r>
                        <w:rPr>
                          <w:sz w:val="22"/>
                          <w:szCs w:val="22"/>
                        </w:rPr>
                        <w:t xml:space="preserve"> </w:t>
                      </w:r>
                      <w:r>
                        <w:rPr>
                          <w:bCs/>
                          <w:szCs w:val="24"/>
                        </w:rPr>
                        <w:t>teikiamų paslaugų pajamos – 2 500,00 Eur (SB SP, 05 programa);</w:t>
                      </w:r>
                    </w:p>
                    <w:p>
                      <w:pPr>
                        <w:rPr>
                          <w:sz w:val="14"/>
                          <w:szCs w:val="14"/>
                        </w:rPr>
                      </w:pPr>
                    </w:p>
                  </w:sdtContent>
                </w:sdt>
                <w:sdt>
                  <w:sdtPr>
                    <w:alias w:val="3.8 pp."/>
                    <w:tag w:val="part_d2e81d9387fa403197263f285ac44b77"/>
                    <w:lock w:val="sdtLocked"/>
                    <w:richText/>
                  </w:sdtPr>
                  <w:sdtContent>
                    <w:p>
                      <w:pPr>
                        <w:spacing w:line="254" w:lineRule="auto"/>
                        <w:ind w:firstLine="709"/>
                        <w:jc w:val="both"/>
                        <w:rPr>
                          <w:bCs/>
                          <w:szCs w:val="24"/>
                        </w:rPr>
                      </w:pPr>
                      <w:sdt>
                        <w:sdtPr>
                          <w:alias w:val="Numeris"/>
                          <w:tag w:val="nr_d2e81d9387fa403197263f285ac44b77"/>
                          <w:lock w:val="sdtLocked"/>
                          <w:richText/>
                        </w:sdtPr>
                        <w:sdtContent>
                          <w:r>
                            <w:rPr>
                              <w:bCs/>
                              <w:szCs w:val="24"/>
                            </w:rPr>
                            <w:t>3.8</w:t>
                          </w:r>
                        </w:sdtContent>
                      </w:sdt>
                      <w:r>
                        <w:rPr>
                          <w:bCs/>
                          <w:szCs w:val="24"/>
                        </w:rPr>
                        <w:t>. Radviliškio rajono visuomenės sveikatos biurui</w:t>
                      </w:r>
                      <w:r>
                        <w:rPr>
                          <w:sz w:val="22"/>
                          <w:szCs w:val="22"/>
                        </w:rPr>
                        <w:t xml:space="preserve"> </w:t>
                      </w:r>
                      <w:r>
                        <w:rPr>
                          <w:bCs/>
                          <w:szCs w:val="24"/>
                        </w:rPr>
                        <w:t>teikiamų paslaugų pajamos– 2 000,00 Eur (SB SP, 06 programa);</w:t>
                      </w:r>
                    </w:p>
                    <w:p>
                      <w:pPr>
                        <w:rPr>
                          <w:sz w:val="14"/>
                          <w:szCs w:val="14"/>
                        </w:rPr>
                      </w:pPr>
                    </w:p>
                  </w:sdtContent>
                </w:sdt>
              </w:sdtContent>
            </w:sdt>
            <w:sdt>
              <w:sdtPr>
                <w:alias w:val="4 p."/>
                <w:tag w:val="part_741662f0cc5f421fb4d19b0d1d904487"/>
                <w:lock w:val="sdtLocked"/>
                <w:richText/>
              </w:sdtPr>
              <w:sdtContent>
                <w:p>
                  <w:pPr>
                    <w:spacing w:line="254" w:lineRule="auto"/>
                    <w:ind w:firstLine="709"/>
                    <w:jc w:val="both"/>
                    <w:rPr>
                      <w:bCs/>
                      <w:szCs w:val="24"/>
                    </w:rPr>
                  </w:pPr>
                  <w:sdt>
                    <w:sdtPr>
                      <w:alias w:val="Numeris"/>
                      <w:tag w:val="nr_741662f0cc5f421fb4d19b0d1d904487"/>
                      <w:lock w:val="sdtLocked"/>
                      <w:richText/>
                    </w:sdtPr>
                    <w:sdtContent>
                      <w:r>
                        <w:rPr>
                          <w:bCs/>
                          <w:szCs w:val="24"/>
                        </w:rPr>
                        <w:t>4</w:t>
                      </w:r>
                    </w:sdtContent>
                  </w:sdt>
                  <w:r>
                    <w:rPr>
                      <w:bCs/>
                      <w:szCs w:val="24"/>
                    </w:rPr>
                    <w:t xml:space="preserve">. Sumažinti Radviliškio rajono savivaldybės administracijos Socialinės paramos skyriaus asignavimus, skirtus laikino atokvėpio paslaugai teikti ir administruoti  – 20 000 ,00 Eur (VB, 03 programa), administravimas – 400,00</w:t>
                  </w:r>
                  <w:r>
                    <w:rPr>
                      <w:sz w:val="22"/>
                      <w:szCs w:val="22"/>
                    </w:rPr>
                    <w:t xml:space="preserve"> </w:t>
                  </w:r>
                  <w:r>
                    <w:rPr>
                      <w:bCs/>
                      <w:szCs w:val="24"/>
                    </w:rPr>
                    <w:t>Eur (VB, 01 programa);</w:t>
                  </w:r>
                </w:p>
                <w:p>
                  <w:pPr>
                    <w:rPr>
                      <w:sz w:val="14"/>
                      <w:szCs w:val="14"/>
                    </w:rPr>
                  </w:pPr>
                </w:p>
              </w:sdtContent>
            </w:sdt>
            <w:sdt>
              <w:sdtPr>
                <w:alias w:val="5 p."/>
                <w:tag w:val="part_41d0902889264f5cbaa9a536ed6d62d4"/>
                <w:lock w:val="sdtLocked"/>
                <w:richText/>
              </w:sdtPr>
              <w:sdtContent>
                <w:p>
                  <w:pPr>
                    <w:spacing w:line="254" w:lineRule="auto"/>
                    <w:ind w:firstLine="709"/>
                    <w:jc w:val="both"/>
                    <w:rPr>
                      <w:bCs/>
                      <w:szCs w:val="24"/>
                    </w:rPr>
                  </w:pPr>
                  <w:sdt>
                    <w:sdtPr>
                      <w:alias w:val="Numeris"/>
                      <w:tag w:val="nr_41d0902889264f5cbaa9a536ed6d62d4"/>
                      <w:lock w:val="sdtLocked"/>
                      <w:richText/>
                    </w:sdtPr>
                    <w:sdtContent>
                      <w:r>
                        <w:rPr>
                          <w:bCs/>
                          <w:szCs w:val="24"/>
                        </w:rPr>
                        <w:t>5</w:t>
                      </w:r>
                    </w:sdtContent>
                  </w:sdt>
                  <w:r>
                    <w:rPr>
                      <w:bCs/>
                      <w:szCs w:val="24"/>
                    </w:rPr>
                    <w:t xml:space="preserve">. Sumažinti Radviliškio socialinių paslaugų centro  asignavimus, skirtus asmeninei pagalbai teikti ir administruoti – 5 100,00 Eur (VB, 03 programa);  </w:t>
                  </w:r>
                </w:p>
                <w:p>
                  <w:pPr>
                    <w:rPr>
                      <w:sz w:val="14"/>
                      <w:szCs w:val="14"/>
                    </w:rPr>
                  </w:pPr>
                </w:p>
              </w:sdtContent>
            </w:sdt>
            <w:sdt>
              <w:sdtPr>
                <w:alias w:val="6 p."/>
                <w:tag w:val="part_81f04868e328480d8074b56357ff2d08"/>
                <w:lock w:val="sdtLocked"/>
                <w:richText/>
              </w:sdtPr>
              <w:sdtContent>
                <w:p>
                  <w:pPr>
                    <w:spacing w:line="254" w:lineRule="auto"/>
                    <w:ind w:firstLine="709"/>
                    <w:jc w:val="both"/>
                    <w:rPr>
                      <w:bCs/>
                      <w:szCs w:val="24"/>
                    </w:rPr>
                  </w:pPr>
                  <w:sdt>
                    <w:sdtPr>
                      <w:alias w:val="Numeris"/>
                      <w:tag w:val="nr_81f04868e328480d8074b56357ff2d08"/>
                      <w:lock w:val="sdtLocked"/>
                      <w:richText/>
                    </w:sdtPr>
                    <w:sdtContent>
                      <w:r>
                        <w:rPr>
                          <w:bCs/>
                          <w:szCs w:val="24"/>
                          <w:shd w:val="clear" w:color="auto" w:fill="FFFFFF"/>
                        </w:rPr>
                        <w:t>6</w:t>
                      </w:r>
                    </w:sdtContent>
                  </w:sdt>
                  <w:r>
                    <w:rPr>
                      <w:bCs/>
                      <w:szCs w:val="24"/>
                      <w:shd w:val="clear" w:color="auto" w:fill="FFFFFF"/>
                    </w:rPr>
                    <w:t>. Tikslinami asignavimai pagal asignavimų valdytojus, programas, funkcinę ir ekonominę klasifikaciją, sąmatą:</w:t>
                  </w:r>
                </w:p>
                <w:p>
                  <w:pPr>
                    <w:rPr>
                      <w:sz w:val="14"/>
                      <w:szCs w:val="1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689"/>
                    <w:gridCol w:w="708"/>
                    <w:gridCol w:w="993"/>
                    <w:gridCol w:w="2835"/>
                    <w:gridCol w:w="1842"/>
                  </w:tblGrid>
                  <w:tr>
                    <w:trPr>
                      <w:trHeight w:val="1063"/>
                      <w:tblHeader/>
                    </w:trPr>
                    <w:tc>
                      <w:tcPr>
                        <w:tcW w:w="567" w:type="dxa"/>
                        <w:tcBorders>
                          <w:bottom w:val="single" w:sz="4" w:space="0" w:color="auto"/>
                        </w:tcBorders>
                      </w:tcPr>
                      <w:p>
                        <w:pPr>
                          <w:spacing w:line="254" w:lineRule="auto"/>
                          <w:jc w:val="both"/>
                          <w:rPr>
                            <w:b/>
                            <w:bCs/>
                            <w:sz w:val="20"/>
                          </w:rPr>
                        </w:pPr>
                        <w:r>
                          <w:rPr>
                            <w:b/>
                            <w:bCs/>
                            <w:sz w:val="20"/>
                          </w:rPr>
                          <w:t>Eil. Nr.</w:t>
                        </w:r>
                      </w:p>
                    </w:tc>
                    <w:tc>
                      <w:tcPr>
                        <w:tcW w:w="2689" w:type="dxa"/>
                        <w:tcBorders>
                          <w:bottom w:val="single" w:sz="4" w:space="0" w:color="auto"/>
                        </w:tcBorders>
                      </w:tcPr>
                      <w:p>
                        <w:pPr>
                          <w:spacing w:line="254" w:lineRule="auto"/>
                          <w:jc w:val="both"/>
                          <w:rPr>
                            <w:b/>
                            <w:bCs/>
                            <w:sz w:val="20"/>
                          </w:rPr>
                        </w:pPr>
                        <w:r>
                          <w:rPr>
                            <w:b/>
                            <w:bCs/>
                            <w:sz w:val="20"/>
                          </w:rPr>
                          <w:t>Asignavimų valdytojas/ finansavimo šaltinis</w:t>
                        </w:r>
                      </w:p>
                    </w:tc>
                    <w:tc>
                      <w:tcPr>
                        <w:tcW w:w="708" w:type="dxa"/>
                        <w:tcBorders>
                          <w:bottom w:val="single" w:sz="4" w:space="0" w:color="auto"/>
                        </w:tcBorders>
                      </w:tcPr>
                      <w:p>
                        <w:pPr>
                          <w:spacing w:line="254" w:lineRule="auto"/>
                          <w:jc w:val="both"/>
                          <w:rPr>
                            <w:b/>
                            <w:bCs/>
                            <w:sz w:val="20"/>
                          </w:rPr>
                        </w:pPr>
                        <w:r>
                          <w:rPr>
                            <w:b/>
                            <w:bCs/>
                            <w:sz w:val="20"/>
                          </w:rPr>
                          <w:t>Programa</w:t>
                        </w:r>
                      </w:p>
                    </w:tc>
                    <w:tc>
                      <w:tcPr>
                        <w:tcW w:w="993" w:type="dxa"/>
                      </w:tcPr>
                      <w:p>
                        <w:pPr>
                          <w:spacing w:line="254" w:lineRule="auto"/>
                          <w:jc w:val="both"/>
                          <w:rPr>
                            <w:b/>
                            <w:bCs/>
                            <w:sz w:val="20"/>
                          </w:rPr>
                        </w:pPr>
                        <w:r>
                          <w:rPr>
                            <w:b/>
                            <w:bCs/>
                            <w:sz w:val="20"/>
                          </w:rPr>
                          <w:t>Fun-kcinė klasi-fikacija</w:t>
                        </w:r>
                      </w:p>
                    </w:tc>
                    <w:tc>
                      <w:tcPr>
                        <w:tcW w:w="2835" w:type="dxa"/>
                      </w:tcPr>
                      <w:p>
                        <w:pPr>
                          <w:spacing w:line="254" w:lineRule="auto"/>
                          <w:jc w:val="center"/>
                          <w:rPr>
                            <w:b/>
                            <w:bCs/>
                            <w:sz w:val="20"/>
                          </w:rPr>
                        </w:pPr>
                        <w:r>
                          <w:rPr>
                            <w:b/>
                            <w:bCs/>
                            <w:sz w:val="20"/>
                          </w:rPr>
                          <w:t>Ekonominė klasifikacija/sąmata</w:t>
                        </w:r>
                      </w:p>
                    </w:tc>
                    <w:tc>
                      <w:tcPr>
                        <w:tcW w:w="1842" w:type="dxa"/>
                      </w:tcPr>
                      <w:p>
                        <w:pPr>
                          <w:spacing w:line="254" w:lineRule="auto"/>
                          <w:ind w:right="315"/>
                          <w:jc w:val="both"/>
                          <w:rPr>
                            <w:b/>
                            <w:bCs/>
                            <w:sz w:val="20"/>
                          </w:rPr>
                        </w:pPr>
                        <w:r>
                          <w:rPr>
                            <w:b/>
                            <w:bCs/>
                            <w:sz w:val="20"/>
                          </w:rPr>
                          <w:t>Tikslinama suma (+,-)</w:t>
                        </w:r>
                      </w:p>
                    </w:tc>
                  </w:tr>
                  <w:tr>
                    <w:trPr>
                      <w:trHeight w:val="615"/>
                    </w:trPr>
                    <w:tc>
                      <w:tcPr>
                        <w:tcW w:w="567" w:type="dxa"/>
                        <w:tcBorders>
                          <w:top w:val="single" w:sz="4" w:space="0" w:color="auto"/>
                          <w:bottom w:val="nil"/>
                        </w:tcBorders>
                      </w:tcPr>
                      <w:p>
                        <w:pPr>
                          <w:spacing w:line="254" w:lineRule="auto"/>
                          <w:jc w:val="both"/>
                          <w:rPr>
                            <w:sz w:val="22"/>
                            <w:szCs w:val="22"/>
                          </w:rPr>
                        </w:pPr>
                        <w:r>
                          <w:rPr>
                            <w:sz w:val="22"/>
                            <w:szCs w:val="22"/>
                          </w:rPr>
                          <w:t>1.</w:t>
                        </w:r>
                      </w:p>
                    </w:tc>
                    <w:tc>
                      <w:tcPr>
                        <w:tcW w:w="2689" w:type="dxa"/>
                        <w:tcBorders>
                          <w:top w:val="single" w:sz="4" w:space="0" w:color="auto"/>
                          <w:bottom w:val="nil"/>
                        </w:tcBorders>
                      </w:tcPr>
                      <w:p>
                        <w:pPr>
                          <w:spacing w:line="254" w:lineRule="auto"/>
                          <w:rPr>
                            <w:sz w:val="22"/>
                            <w:szCs w:val="22"/>
                          </w:rPr>
                        </w:pPr>
                        <w:r>
                          <w:rPr>
                            <w:sz w:val="22"/>
                            <w:szCs w:val="22"/>
                          </w:rPr>
                          <w:t>Radviliškio rajono savivaldybės administracijos Investicijų ir turto valdymo skyrius (SBLIK)</w:t>
                        </w: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06</w:t>
                        </w:r>
                      </w:p>
                    </w:tc>
                    <w:tc>
                      <w:tcPr>
                        <w:tcW w:w="2835" w:type="dxa"/>
                      </w:tcPr>
                      <w:p>
                        <w:pPr>
                          <w:spacing w:line="254" w:lineRule="auto"/>
                          <w:rPr>
                            <w:sz w:val="22"/>
                            <w:szCs w:val="22"/>
                          </w:rPr>
                        </w:pPr>
                        <w:r>
                          <w:rPr>
                            <w:sz w:val="22"/>
                            <w:szCs w:val="22"/>
                          </w:rPr>
                          <w:t>Socialinio būsto fondo plėtra Radviliškio rajono savivaldybėje</w:t>
                        </w:r>
                      </w:p>
                    </w:tc>
                    <w:tc>
                      <w:tcPr>
                        <w:tcW w:w="1842" w:type="dxa"/>
                      </w:tcPr>
                      <w:p>
                        <w:pPr>
                          <w:spacing w:line="254" w:lineRule="auto"/>
                          <w:ind w:right="315"/>
                          <w:jc w:val="center"/>
                          <w:rPr>
                            <w:sz w:val="22"/>
                            <w:szCs w:val="22"/>
                          </w:rPr>
                        </w:pPr>
                        <w:r>
                          <w:rPr>
                            <w:sz w:val="22"/>
                            <w:szCs w:val="22"/>
                          </w:rPr>
                          <w:t>-14 000,00</w:t>
                        </w:r>
                      </w:p>
                    </w:tc>
                  </w:tr>
                  <w:tr>
                    <w:trPr>
                      <w:trHeight w:val="615"/>
                    </w:trPr>
                    <w:tc>
                      <w:tcPr>
                        <w:tcW w:w="567" w:type="dxa"/>
                        <w:tcBorders>
                          <w:top w:val="nil"/>
                          <w:bottom w:val="nil"/>
                        </w:tcBorders>
                      </w:tcPr>
                      <w:p>
                        <w:pPr>
                          <w:spacing w:line="254" w:lineRule="auto"/>
                          <w:jc w:val="both"/>
                          <w:rPr>
                            <w:sz w:val="22"/>
                            <w:szCs w:val="22"/>
                          </w:rPr>
                        </w:pPr>
                      </w:p>
                    </w:tc>
                    <w:tc>
                      <w:tcPr>
                        <w:tcW w:w="2689"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Šiaulėnų Marcelino Šikšnio gimnazijos pastato atnaujinimas (modernizavimas)</w:t>
                        </w:r>
                      </w:p>
                    </w:tc>
                    <w:tc>
                      <w:tcPr>
                        <w:tcW w:w="1842" w:type="dxa"/>
                      </w:tcPr>
                      <w:p>
                        <w:pPr>
                          <w:spacing w:line="254" w:lineRule="auto"/>
                          <w:ind w:right="315"/>
                          <w:jc w:val="center"/>
                          <w:rPr>
                            <w:sz w:val="22"/>
                            <w:szCs w:val="22"/>
                          </w:rPr>
                        </w:pPr>
                        <w:r>
                          <w:rPr>
                            <w:sz w:val="22"/>
                            <w:szCs w:val="22"/>
                          </w:rPr>
                          <w:t>-20 000,00</w:t>
                        </w:r>
                      </w:p>
                    </w:tc>
                  </w:tr>
                  <w:tr>
                    <w:trPr>
                      <w:trHeight w:val="615"/>
                    </w:trPr>
                    <w:tc>
                      <w:tcPr>
                        <w:tcW w:w="567" w:type="dxa"/>
                        <w:tcBorders>
                          <w:top w:val="nil"/>
                          <w:bottom w:val="nil"/>
                        </w:tcBorders>
                      </w:tcPr>
                      <w:p>
                        <w:pPr>
                          <w:spacing w:line="254" w:lineRule="auto"/>
                          <w:jc w:val="both"/>
                          <w:rPr>
                            <w:sz w:val="22"/>
                            <w:szCs w:val="22"/>
                          </w:rPr>
                        </w:pPr>
                      </w:p>
                    </w:tc>
                    <w:tc>
                      <w:tcPr>
                        <w:tcW w:w="2689"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04</w:t>
                        </w:r>
                      </w:p>
                    </w:tc>
                    <w:tc>
                      <w:tcPr>
                        <w:tcW w:w="2835" w:type="dxa"/>
                      </w:tcPr>
                      <w:p>
                        <w:pPr>
                          <w:spacing w:line="254" w:lineRule="auto"/>
                          <w:rPr>
                            <w:sz w:val="22"/>
                            <w:szCs w:val="22"/>
                          </w:rPr>
                        </w:pPr>
                        <w:r>
                          <w:rPr>
                            <w:sz w:val="22"/>
                            <w:szCs w:val="22"/>
                          </w:rPr>
                          <w:t>Radviliškio r. savivaldybės viešojo keleivinio transporto infrastruktūros plėtra ir modernizavimas</w:t>
                        </w:r>
                      </w:p>
                    </w:tc>
                    <w:tc>
                      <w:tcPr>
                        <w:tcW w:w="1842" w:type="dxa"/>
                      </w:tcPr>
                      <w:p>
                        <w:pPr>
                          <w:spacing w:line="254" w:lineRule="auto"/>
                          <w:ind w:right="315"/>
                          <w:jc w:val="center"/>
                          <w:rPr>
                            <w:sz w:val="22"/>
                            <w:szCs w:val="22"/>
                          </w:rPr>
                        </w:pPr>
                        <w:r>
                          <w:rPr>
                            <w:sz w:val="22"/>
                            <w:szCs w:val="22"/>
                          </w:rPr>
                          <w:t>-40 000,00</w:t>
                        </w:r>
                      </w:p>
                    </w:tc>
                  </w:tr>
                  <w:tr>
                    <w:trPr>
                      <w:trHeight w:val="615"/>
                    </w:trPr>
                    <w:tc>
                      <w:tcPr>
                        <w:tcW w:w="567" w:type="dxa"/>
                        <w:tcBorders>
                          <w:top w:val="nil"/>
                          <w:bottom w:val="nil"/>
                        </w:tcBorders>
                      </w:tcPr>
                      <w:p>
                        <w:pPr>
                          <w:spacing w:line="254" w:lineRule="auto"/>
                          <w:jc w:val="both"/>
                          <w:rPr>
                            <w:sz w:val="22"/>
                            <w:szCs w:val="22"/>
                          </w:rPr>
                        </w:pPr>
                      </w:p>
                    </w:tc>
                    <w:tc>
                      <w:tcPr>
                        <w:tcW w:w="2689"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Edukacinių erdvių įrengimas Šeduvos gimnazijoje, kuriant visos dienos mokyklą</w:t>
                        </w:r>
                      </w:p>
                    </w:tc>
                    <w:tc>
                      <w:tcPr>
                        <w:tcW w:w="1842" w:type="dxa"/>
                      </w:tcPr>
                      <w:p>
                        <w:pPr>
                          <w:spacing w:line="254" w:lineRule="auto"/>
                          <w:ind w:right="315"/>
                          <w:jc w:val="center"/>
                          <w:rPr>
                            <w:sz w:val="22"/>
                            <w:szCs w:val="22"/>
                          </w:rPr>
                        </w:pPr>
                        <w:r>
                          <w:rPr>
                            <w:sz w:val="22"/>
                            <w:szCs w:val="22"/>
                          </w:rPr>
                          <w:t>50 000,00</w:t>
                        </w:r>
                      </w:p>
                    </w:tc>
                  </w:tr>
                  <w:tr>
                    <w:trPr>
                      <w:trHeight w:val="615"/>
                    </w:trPr>
                    <w:tc>
                      <w:tcPr>
                        <w:tcW w:w="567" w:type="dxa"/>
                        <w:tcBorders>
                          <w:top w:val="nil"/>
                          <w:bottom w:val="nil"/>
                        </w:tcBorders>
                      </w:tcPr>
                      <w:p>
                        <w:pPr>
                          <w:spacing w:line="254" w:lineRule="auto"/>
                          <w:jc w:val="both"/>
                          <w:rPr>
                            <w:sz w:val="22"/>
                            <w:szCs w:val="22"/>
                          </w:rPr>
                        </w:pPr>
                      </w:p>
                    </w:tc>
                    <w:tc>
                      <w:tcPr>
                        <w:tcW w:w="2689"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07</w:t>
                        </w:r>
                      </w:p>
                    </w:tc>
                    <w:tc>
                      <w:tcPr>
                        <w:tcW w:w="2835" w:type="dxa"/>
                      </w:tcPr>
                      <w:p>
                        <w:pPr>
                          <w:spacing w:line="254" w:lineRule="auto"/>
                          <w:rPr>
                            <w:sz w:val="22"/>
                            <w:szCs w:val="22"/>
                          </w:rPr>
                        </w:pPr>
                        <w:r>
                          <w:rPr>
                            <w:sz w:val="22"/>
                            <w:szCs w:val="22"/>
                          </w:rPr>
                          <w:t>Psichiatrijos dienos stacionaro įkūrimas ir paslaugų plėtra Radviliškio rajone</w:t>
                        </w:r>
                      </w:p>
                    </w:tc>
                    <w:tc>
                      <w:tcPr>
                        <w:tcW w:w="1842" w:type="dxa"/>
                      </w:tcPr>
                      <w:p>
                        <w:pPr>
                          <w:spacing w:line="254" w:lineRule="auto"/>
                          <w:ind w:right="315"/>
                          <w:jc w:val="center"/>
                          <w:rPr>
                            <w:sz w:val="22"/>
                            <w:szCs w:val="22"/>
                          </w:rPr>
                        </w:pPr>
                        <w:r>
                          <w:rPr>
                            <w:sz w:val="22"/>
                            <w:szCs w:val="22"/>
                          </w:rPr>
                          <w:t>-38 807,00</w:t>
                        </w:r>
                      </w:p>
                    </w:tc>
                  </w:tr>
                  <w:tr>
                    <w:trPr>
                      <w:trHeight w:val="615"/>
                    </w:trPr>
                    <w:tc>
                      <w:tcPr>
                        <w:tcW w:w="567" w:type="dxa"/>
                        <w:tcBorders>
                          <w:top w:val="nil"/>
                          <w:bottom w:val="nil"/>
                        </w:tcBorders>
                      </w:tcPr>
                      <w:p>
                        <w:pPr>
                          <w:spacing w:line="254" w:lineRule="auto"/>
                          <w:jc w:val="both"/>
                          <w:rPr>
                            <w:sz w:val="22"/>
                            <w:szCs w:val="22"/>
                          </w:rPr>
                        </w:pPr>
                      </w:p>
                    </w:tc>
                    <w:tc>
                      <w:tcPr>
                        <w:tcW w:w="2689"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05</w:t>
                        </w:r>
                      </w:p>
                    </w:tc>
                    <w:tc>
                      <w:tcPr>
                        <w:tcW w:w="2835" w:type="dxa"/>
                      </w:tcPr>
                      <w:p>
                        <w:pPr>
                          <w:spacing w:line="254" w:lineRule="auto"/>
                          <w:rPr>
                            <w:sz w:val="22"/>
                            <w:szCs w:val="22"/>
                          </w:rPr>
                        </w:pPr>
                        <w:r>
                          <w:rPr>
                            <w:sz w:val="22"/>
                            <w:szCs w:val="22"/>
                          </w:rPr>
                          <w:t>Rūšiuojamojo atliekų surinkimo skatinimas Radviliškio rajone</w:t>
                        </w:r>
                      </w:p>
                      <w:p>
                        <w:pPr>
                          <w:spacing w:line="254" w:lineRule="auto"/>
                          <w:rPr>
                            <w:sz w:val="22"/>
                            <w:szCs w:val="22"/>
                          </w:rPr>
                        </w:pPr>
                      </w:p>
                    </w:tc>
                    <w:tc>
                      <w:tcPr>
                        <w:tcW w:w="1842" w:type="dxa"/>
                      </w:tcPr>
                      <w:p>
                        <w:pPr>
                          <w:spacing w:line="254" w:lineRule="auto"/>
                          <w:ind w:right="315"/>
                          <w:jc w:val="center"/>
                          <w:rPr>
                            <w:sz w:val="22"/>
                            <w:szCs w:val="22"/>
                          </w:rPr>
                        </w:pPr>
                        <w:r>
                          <w:rPr>
                            <w:sz w:val="22"/>
                            <w:szCs w:val="22"/>
                          </w:rPr>
                          <w:t>-10 000,00</w:t>
                        </w:r>
                      </w:p>
                    </w:tc>
                  </w:tr>
                  <w:tr>
                    <w:trPr>
                      <w:trHeight w:val="615"/>
                    </w:trPr>
                    <w:tc>
                      <w:tcPr>
                        <w:tcW w:w="567" w:type="dxa"/>
                        <w:tcBorders>
                          <w:top w:val="nil"/>
                          <w:bottom w:val="nil"/>
                        </w:tcBorders>
                      </w:tcPr>
                      <w:p>
                        <w:pPr>
                          <w:spacing w:line="254" w:lineRule="auto"/>
                          <w:jc w:val="both"/>
                          <w:rPr>
                            <w:sz w:val="22"/>
                            <w:szCs w:val="22"/>
                          </w:rPr>
                        </w:pPr>
                      </w:p>
                    </w:tc>
                    <w:tc>
                      <w:tcPr>
                        <w:tcW w:w="2689"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08</w:t>
                        </w:r>
                      </w:p>
                    </w:tc>
                    <w:tc>
                      <w:tcPr>
                        <w:tcW w:w="2835" w:type="dxa"/>
                      </w:tcPr>
                      <w:p>
                        <w:pPr>
                          <w:spacing w:line="254" w:lineRule="auto"/>
                          <w:rPr>
                            <w:sz w:val="22"/>
                            <w:szCs w:val="22"/>
                          </w:rPr>
                        </w:pPr>
                        <w:r>
                          <w:rPr>
                            <w:sz w:val="22"/>
                            <w:szCs w:val="22"/>
                          </w:rPr>
                          <w:t>Burbiškio dvaro sodybos pritaikymas lankymui</w:t>
                        </w:r>
                      </w:p>
                    </w:tc>
                    <w:tc>
                      <w:tcPr>
                        <w:tcW w:w="1842" w:type="dxa"/>
                      </w:tcPr>
                      <w:p>
                        <w:pPr>
                          <w:spacing w:line="254" w:lineRule="auto"/>
                          <w:ind w:right="315"/>
                          <w:jc w:val="center"/>
                          <w:rPr>
                            <w:sz w:val="22"/>
                            <w:szCs w:val="22"/>
                          </w:rPr>
                        </w:pPr>
                        <w:r>
                          <w:rPr>
                            <w:sz w:val="22"/>
                            <w:szCs w:val="22"/>
                          </w:rPr>
                          <w:t>-5 000,00</w:t>
                        </w:r>
                      </w:p>
                    </w:tc>
                  </w:tr>
                  <w:tr>
                    <w:trPr>
                      <w:trHeight w:val="615"/>
                    </w:trPr>
                    <w:tc>
                      <w:tcPr>
                        <w:tcW w:w="567" w:type="dxa"/>
                        <w:tcBorders>
                          <w:top w:val="nil"/>
                          <w:bottom w:val="nil"/>
                        </w:tcBorders>
                      </w:tcPr>
                      <w:p>
                        <w:pPr>
                          <w:spacing w:line="254" w:lineRule="auto"/>
                          <w:jc w:val="both"/>
                          <w:rPr>
                            <w:sz w:val="22"/>
                            <w:szCs w:val="22"/>
                          </w:rPr>
                        </w:pPr>
                      </w:p>
                    </w:tc>
                    <w:tc>
                      <w:tcPr>
                        <w:tcW w:w="2689"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08</w:t>
                        </w:r>
                      </w:p>
                    </w:tc>
                    <w:tc>
                      <w:tcPr>
                        <w:tcW w:w="2835" w:type="dxa"/>
                      </w:tcPr>
                      <w:p>
                        <w:pPr>
                          <w:spacing w:line="254" w:lineRule="auto"/>
                          <w:rPr>
                            <w:sz w:val="22"/>
                            <w:szCs w:val="22"/>
                          </w:rPr>
                        </w:pPr>
                        <w:r>
                          <w:rPr>
                            <w:sz w:val="22"/>
                            <w:szCs w:val="22"/>
                          </w:rPr>
                          <w:t>Šeduvos kultūros ir gamtos objektų pritaikymas lankymui</w:t>
                        </w:r>
                      </w:p>
                    </w:tc>
                    <w:tc>
                      <w:tcPr>
                        <w:tcW w:w="1842" w:type="dxa"/>
                      </w:tcPr>
                      <w:p>
                        <w:pPr>
                          <w:spacing w:line="254" w:lineRule="auto"/>
                          <w:ind w:right="315"/>
                          <w:jc w:val="center"/>
                          <w:rPr>
                            <w:sz w:val="22"/>
                            <w:szCs w:val="22"/>
                          </w:rPr>
                        </w:pPr>
                        <w:r>
                          <w:rPr>
                            <w:sz w:val="22"/>
                            <w:szCs w:val="22"/>
                          </w:rPr>
                          <w:t>-100 000,00</w:t>
                        </w:r>
                      </w:p>
                    </w:tc>
                  </w:tr>
                  <w:tr>
                    <w:trPr>
                      <w:trHeight w:val="615"/>
                    </w:trPr>
                    <w:tc>
                      <w:tcPr>
                        <w:tcW w:w="567" w:type="dxa"/>
                        <w:tcBorders>
                          <w:top w:val="nil"/>
                          <w:bottom w:val="nil"/>
                        </w:tcBorders>
                      </w:tcPr>
                      <w:p>
                        <w:pPr>
                          <w:spacing w:line="254" w:lineRule="auto"/>
                          <w:jc w:val="both"/>
                          <w:rPr>
                            <w:sz w:val="22"/>
                            <w:szCs w:val="22"/>
                          </w:rPr>
                        </w:pPr>
                      </w:p>
                    </w:tc>
                    <w:tc>
                      <w:tcPr>
                        <w:tcW w:w="2689"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08</w:t>
                        </w:r>
                      </w:p>
                    </w:tc>
                    <w:tc>
                      <w:tcPr>
                        <w:tcW w:w="2835" w:type="dxa"/>
                      </w:tcPr>
                      <w:p>
                        <w:pPr>
                          <w:spacing w:line="254" w:lineRule="auto"/>
                          <w:rPr>
                            <w:sz w:val="22"/>
                            <w:szCs w:val="22"/>
                          </w:rPr>
                        </w:pPr>
                        <w:r>
                          <w:rPr>
                            <w:sz w:val="22"/>
                            <w:szCs w:val="22"/>
                          </w:rPr>
                          <w:t>Kudinų piliakalnio (kitaip vadinamo Šiaulės kalnu) pritaikymas lankymui</w:t>
                        </w:r>
                      </w:p>
                    </w:tc>
                    <w:tc>
                      <w:tcPr>
                        <w:tcW w:w="1842" w:type="dxa"/>
                      </w:tcPr>
                      <w:p>
                        <w:pPr>
                          <w:spacing w:line="254" w:lineRule="auto"/>
                          <w:ind w:right="315"/>
                          <w:jc w:val="center"/>
                          <w:rPr>
                            <w:sz w:val="22"/>
                            <w:szCs w:val="22"/>
                          </w:rPr>
                        </w:pPr>
                        <w:r>
                          <w:rPr>
                            <w:sz w:val="22"/>
                            <w:szCs w:val="22"/>
                          </w:rPr>
                          <w:t>-50 000,00</w:t>
                        </w:r>
                      </w:p>
                    </w:tc>
                  </w:tr>
                  <w:tr>
                    <w:trPr>
                      <w:trHeight w:val="615"/>
                    </w:trPr>
                    <w:tc>
                      <w:tcPr>
                        <w:tcW w:w="567" w:type="dxa"/>
                        <w:tcBorders>
                          <w:top w:val="nil"/>
                          <w:bottom w:val="single" w:sz="4" w:space="0" w:color="auto"/>
                        </w:tcBorders>
                      </w:tcPr>
                      <w:p>
                        <w:pPr>
                          <w:spacing w:line="254" w:lineRule="auto"/>
                          <w:jc w:val="both"/>
                          <w:rPr>
                            <w:sz w:val="22"/>
                            <w:szCs w:val="22"/>
                          </w:rPr>
                        </w:pPr>
                      </w:p>
                    </w:tc>
                    <w:tc>
                      <w:tcPr>
                        <w:tcW w:w="2689" w:type="dxa"/>
                        <w:tcBorders>
                          <w:top w:val="nil"/>
                          <w:bottom w:val="single" w:sz="4" w:space="0" w:color="auto"/>
                        </w:tcBorders>
                      </w:tcPr>
                      <w:p>
                        <w:pPr>
                          <w:spacing w:line="254" w:lineRule="auto"/>
                          <w:rPr>
                            <w:sz w:val="22"/>
                            <w:szCs w:val="22"/>
                          </w:rPr>
                        </w:pP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08</w:t>
                        </w:r>
                      </w:p>
                    </w:tc>
                    <w:tc>
                      <w:tcPr>
                        <w:tcW w:w="2835" w:type="dxa"/>
                      </w:tcPr>
                      <w:p>
                        <w:pPr>
                          <w:spacing w:line="254" w:lineRule="auto"/>
                          <w:rPr>
                            <w:sz w:val="22"/>
                            <w:szCs w:val="22"/>
                          </w:rPr>
                        </w:pPr>
                        <w:r>
                          <w:rPr>
                            <w:sz w:val="22"/>
                            <w:szCs w:val="22"/>
                          </w:rPr>
                          <w:t>Baisogalos dvare esančių kultūros paveldo objektų aktualizavimas ir pritaikymas kultūrinėms, edukacinėms ir visuomeninėms reikmėms. Arklidės su ratine remontas ir pritaikymas mokslinei, edukacinei ir kultūrinei veiklai</w:t>
                        </w:r>
                      </w:p>
                    </w:tc>
                    <w:tc>
                      <w:tcPr>
                        <w:tcW w:w="1842" w:type="dxa"/>
                      </w:tcPr>
                      <w:p>
                        <w:pPr>
                          <w:spacing w:line="254" w:lineRule="auto"/>
                          <w:ind w:right="315"/>
                          <w:jc w:val="center"/>
                          <w:rPr>
                            <w:sz w:val="22"/>
                            <w:szCs w:val="22"/>
                          </w:rPr>
                        </w:pPr>
                        <w:r>
                          <w:rPr>
                            <w:sz w:val="22"/>
                            <w:szCs w:val="22"/>
                          </w:rPr>
                          <w:t>-20 000,00</w:t>
                        </w:r>
                      </w:p>
                    </w:tc>
                  </w:tr>
                  <w:tr>
                    <w:trPr>
                      <w:trHeight w:val="615"/>
                    </w:trPr>
                    <w:tc>
                      <w:tcPr>
                        <w:tcW w:w="567" w:type="dxa"/>
                        <w:tcBorders>
                          <w:top w:val="single" w:sz="4" w:space="0" w:color="auto"/>
                          <w:bottom w:val="single" w:sz="4" w:space="0" w:color="auto"/>
                        </w:tcBorders>
                      </w:tcPr>
                      <w:p>
                        <w:pPr>
                          <w:spacing w:line="254" w:lineRule="auto"/>
                          <w:jc w:val="both"/>
                          <w:rPr>
                            <w:sz w:val="22"/>
                            <w:szCs w:val="22"/>
                          </w:rPr>
                        </w:pPr>
                        <w:r>
                          <w:rPr>
                            <w:sz w:val="22"/>
                            <w:szCs w:val="22"/>
                          </w:rPr>
                          <w:t>2.</w:t>
                        </w:r>
                      </w:p>
                    </w:tc>
                    <w:tc>
                      <w:tcPr>
                        <w:tcW w:w="2689" w:type="dxa"/>
                        <w:tcBorders>
                          <w:top w:val="single" w:sz="4" w:space="0" w:color="auto"/>
                          <w:bottom w:val="single" w:sz="4" w:space="0" w:color="auto"/>
                        </w:tcBorders>
                      </w:tcPr>
                      <w:p>
                        <w:pPr>
                          <w:spacing w:line="254" w:lineRule="auto"/>
                          <w:rPr>
                            <w:sz w:val="22"/>
                            <w:szCs w:val="22"/>
                          </w:rPr>
                        </w:pPr>
                        <w:r>
                          <w:rPr>
                            <w:sz w:val="22"/>
                            <w:szCs w:val="22"/>
                          </w:rPr>
                          <w:t>Šeduvos globos namai (SBLIK)</w:t>
                        </w:r>
                      </w:p>
                    </w:tc>
                    <w:tc>
                      <w:tcPr>
                        <w:tcW w:w="708" w:type="dxa"/>
                      </w:tcPr>
                      <w:p>
                        <w:pPr>
                          <w:spacing w:line="254" w:lineRule="auto"/>
                          <w:jc w:val="both"/>
                          <w:rPr>
                            <w:sz w:val="22"/>
                            <w:szCs w:val="22"/>
                          </w:rPr>
                        </w:pPr>
                        <w:r>
                          <w:rPr>
                            <w:sz w:val="22"/>
                            <w:szCs w:val="22"/>
                          </w:rPr>
                          <w:t>03</w:t>
                        </w:r>
                      </w:p>
                    </w:tc>
                    <w:tc>
                      <w:tcPr>
                        <w:tcW w:w="993" w:type="dxa"/>
                      </w:tcPr>
                      <w:p>
                        <w:pPr>
                          <w:spacing w:line="254" w:lineRule="auto"/>
                          <w:jc w:val="both"/>
                          <w:rPr>
                            <w:sz w:val="22"/>
                            <w:szCs w:val="22"/>
                          </w:rPr>
                        </w:pPr>
                        <w:r>
                          <w:rPr>
                            <w:sz w:val="22"/>
                            <w:szCs w:val="22"/>
                          </w:rPr>
                          <w:t>10</w:t>
                        </w:r>
                      </w:p>
                    </w:tc>
                    <w:tc>
                      <w:tcPr>
                        <w:tcW w:w="2835" w:type="dxa"/>
                      </w:tcPr>
                      <w:p>
                        <w:pPr>
                          <w:spacing w:line="254" w:lineRule="auto"/>
                          <w:rPr>
                            <w:sz w:val="22"/>
                            <w:szCs w:val="22"/>
                          </w:rPr>
                        </w:pPr>
                        <w:r>
                          <w:rPr>
                            <w:sz w:val="22"/>
                            <w:szCs w:val="22"/>
                          </w:rPr>
                          <w:t>Projekto „Paslaugų reikalingų institucinės globos pertvarkai įgyvendinti, infrastruktūros modernizavimas ir plėtra Radviliškio rajone“ projektinei dokumentacijai parengti</w:t>
                        </w:r>
                      </w:p>
                    </w:tc>
                    <w:tc>
                      <w:tcPr>
                        <w:tcW w:w="1842" w:type="dxa"/>
                      </w:tcPr>
                      <w:p>
                        <w:pPr>
                          <w:spacing w:line="254" w:lineRule="auto"/>
                          <w:ind w:right="315"/>
                          <w:jc w:val="center"/>
                          <w:rPr>
                            <w:sz w:val="22"/>
                            <w:szCs w:val="22"/>
                          </w:rPr>
                        </w:pPr>
                        <w:r>
                          <w:rPr>
                            <w:sz w:val="22"/>
                            <w:szCs w:val="22"/>
                          </w:rPr>
                          <w:t>18 000,00</w:t>
                        </w:r>
                      </w:p>
                    </w:tc>
                  </w:tr>
                  <w:tr>
                    <w:trPr>
                      <w:trHeight w:val="606"/>
                    </w:trPr>
                    <w:tc>
                      <w:tcPr>
                        <w:tcW w:w="567" w:type="dxa"/>
                        <w:tcBorders>
                          <w:top w:val="single" w:sz="4" w:space="0" w:color="auto"/>
                          <w:bottom w:val="nil"/>
                        </w:tcBorders>
                      </w:tcPr>
                      <w:p>
                        <w:pPr>
                          <w:spacing w:line="254" w:lineRule="auto"/>
                          <w:jc w:val="both"/>
                          <w:rPr>
                            <w:sz w:val="22"/>
                            <w:szCs w:val="22"/>
                          </w:rPr>
                        </w:pPr>
                        <w:r>
                          <w:rPr>
                            <w:sz w:val="22"/>
                            <w:szCs w:val="22"/>
                          </w:rPr>
                          <w:t>3.</w:t>
                        </w:r>
                      </w:p>
                    </w:tc>
                    <w:tc>
                      <w:tcPr>
                        <w:tcW w:w="2689" w:type="dxa"/>
                        <w:tcBorders>
                          <w:top w:val="single" w:sz="4" w:space="0" w:color="auto"/>
                          <w:bottom w:val="nil"/>
                        </w:tcBorders>
                      </w:tcPr>
                      <w:p>
                        <w:pPr>
                          <w:spacing w:line="254" w:lineRule="auto"/>
                          <w:rPr>
                            <w:sz w:val="22"/>
                            <w:szCs w:val="22"/>
                          </w:rPr>
                        </w:pPr>
                        <w:r>
                          <w:rPr>
                            <w:sz w:val="22"/>
                            <w:szCs w:val="22"/>
                          </w:rPr>
                          <w:t>Radviliškio rajono savivaldybės administracija (SBLIK)</w:t>
                        </w: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06</w:t>
                        </w:r>
                      </w:p>
                    </w:tc>
                    <w:tc>
                      <w:tcPr>
                        <w:tcW w:w="2835" w:type="dxa"/>
                      </w:tcPr>
                      <w:p>
                        <w:pPr>
                          <w:spacing w:line="254" w:lineRule="auto"/>
                          <w:ind w:firstLine="57"/>
                          <w:rPr>
                            <w:sz w:val="22"/>
                            <w:szCs w:val="22"/>
                          </w:rPr>
                        </w:pPr>
                        <w:r>
                          <w:rPr>
                            <w:sz w:val="22"/>
                            <w:szCs w:val="22"/>
                          </w:rPr>
                          <w:t>Socialinio būsto fondo plėtra Radviliškio rajono savivaldybėje</w:t>
                        </w:r>
                      </w:p>
                    </w:tc>
                    <w:tc>
                      <w:tcPr>
                        <w:tcW w:w="1842" w:type="dxa"/>
                      </w:tcPr>
                      <w:p>
                        <w:pPr>
                          <w:spacing w:line="254" w:lineRule="auto"/>
                          <w:ind w:right="315"/>
                          <w:jc w:val="center"/>
                          <w:rPr>
                            <w:sz w:val="22"/>
                            <w:szCs w:val="22"/>
                          </w:rPr>
                        </w:pPr>
                        <w:r>
                          <w:rPr>
                            <w:sz w:val="22"/>
                            <w:szCs w:val="22"/>
                          </w:rPr>
                          <w:t>14 000,00</w:t>
                        </w:r>
                      </w:p>
                    </w:tc>
                  </w:tr>
                  <w:tr>
                    <w:trPr>
                      <w:trHeight w:val="606"/>
                    </w:trPr>
                    <w:tc>
                      <w:tcPr>
                        <w:tcW w:w="567" w:type="dxa"/>
                        <w:tcBorders>
                          <w:top w:val="nil"/>
                          <w:bottom w:val="nil"/>
                        </w:tcBorders>
                      </w:tcPr>
                      <w:p>
                        <w:pPr>
                          <w:spacing w:line="254" w:lineRule="auto"/>
                          <w:jc w:val="both"/>
                          <w:rPr>
                            <w:sz w:val="22"/>
                            <w:szCs w:val="22"/>
                          </w:rPr>
                        </w:pPr>
                      </w:p>
                    </w:tc>
                    <w:tc>
                      <w:tcPr>
                        <w:tcW w:w="2689" w:type="dxa"/>
                        <w:tcBorders>
                          <w:top w:val="nil"/>
                          <w:bottom w:val="single" w:sz="4" w:space="0" w:color="auto"/>
                        </w:tcBorders>
                      </w:tcPr>
                      <w:p>
                        <w:pPr>
                          <w:spacing w:line="254" w:lineRule="auto"/>
                          <w:rPr>
                            <w:sz w:val="22"/>
                            <w:szCs w:val="22"/>
                          </w:rPr>
                        </w:pPr>
                      </w:p>
                    </w:tc>
                    <w:tc>
                      <w:tcPr>
                        <w:tcW w:w="708" w:type="dxa"/>
                      </w:tcPr>
                      <w:p>
                        <w:pPr>
                          <w:spacing w:line="254" w:lineRule="auto"/>
                          <w:jc w:val="both"/>
                          <w:rPr>
                            <w:sz w:val="22"/>
                            <w:szCs w:val="22"/>
                          </w:rPr>
                        </w:pPr>
                        <w:r>
                          <w:rPr>
                            <w:sz w:val="22"/>
                            <w:szCs w:val="22"/>
                          </w:rPr>
                          <w:t>03</w:t>
                        </w:r>
                      </w:p>
                    </w:tc>
                    <w:tc>
                      <w:tcPr>
                        <w:tcW w:w="993" w:type="dxa"/>
                      </w:tcPr>
                      <w:p>
                        <w:pPr>
                          <w:spacing w:line="254" w:lineRule="auto"/>
                          <w:jc w:val="both"/>
                          <w:rPr>
                            <w:sz w:val="22"/>
                            <w:szCs w:val="22"/>
                          </w:rPr>
                        </w:pPr>
                        <w:r>
                          <w:rPr>
                            <w:sz w:val="22"/>
                            <w:szCs w:val="22"/>
                          </w:rPr>
                          <w:t>10</w:t>
                        </w:r>
                      </w:p>
                    </w:tc>
                    <w:tc>
                      <w:tcPr>
                        <w:tcW w:w="2835" w:type="dxa"/>
                      </w:tcPr>
                      <w:p>
                        <w:pPr>
                          <w:spacing w:line="254" w:lineRule="auto"/>
                          <w:rPr>
                            <w:sz w:val="22"/>
                            <w:szCs w:val="22"/>
                          </w:rPr>
                        </w:pPr>
                        <w:r>
                          <w:rPr>
                            <w:sz w:val="22"/>
                            <w:szCs w:val="22"/>
                          </w:rPr>
                          <w:t>Visuomeninio transporto kompensavimas</w:t>
                        </w:r>
                      </w:p>
                    </w:tc>
                    <w:tc>
                      <w:tcPr>
                        <w:tcW w:w="1842" w:type="dxa"/>
                      </w:tcPr>
                      <w:p>
                        <w:pPr>
                          <w:spacing w:line="254" w:lineRule="auto"/>
                          <w:ind w:right="315"/>
                          <w:jc w:val="center"/>
                          <w:rPr>
                            <w:sz w:val="22"/>
                            <w:szCs w:val="22"/>
                          </w:rPr>
                        </w:pPr>
                        <w:r>
                          <w:rPr>
                            <w:sz w:val="22"/>
                            <w:szCs w:val="22"/>
                          </w:rPr>
                          <w:t>215 807,00</w:t>
                        </w:r>
                      </w:p>
                    </w:tc>
                  </w:tr>
                  <w:tr>
                    <w:trPr>
                      <w:trHeight w:val="606"/>
                    </w:trPr>
                    <w:tc>
                      <w:tcPr>
                        <w:tcW w:w="567" w:type="dxa"/>
                        <w:tcBorders>
                          <w:top w:val="nil"/>
                          <w:bottom w:val="nil"/>
                        </w:tcBorders>
                      </w:tcPr>
                      <w:p>
                        <w:pPr>
                          <w:spacing w:line="254" w:lineRule="auto"/>
                          <w:jc w:val="both"/>
                          <w:rPr>
                            <w:sz w:val="22"/>
                            <w:szCs w:val="22"/>
                          </w:rPr>
                        </w:pP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rajono savivaldybės administracija (SB)</w:t>
                        </w:r>
                      </w:p>
                    </w:tc>
                    <w:tc>
                      <w:tcPr>
                        <w:tcW w:w="708" w:type="dxa"/>
                      </w:tcPr>
                      <w:p>
                        <w:pPr>
                          <w:spacing w:line="254" w:lineRule="auto"/>
                          <w:jc w:val="both"/>
                          <w:rPr>
                            <w:sz w:val="22"/>
                            <w:szCs w:val="22"/>
                          </w:rPr>
                        </w:pPr>
                        <w:r>
                          <w:rPr>
                            <w:sz w:val="22"/>
                            <w:szCs w:val="22"/>
                          </w:rPr>
                          <w:t>05</w:t>
                        </w:r>
                      </w:p>
                    </w:tc>
                    <w:tc>
                      <w:tcPr>
                        <w:tcW w:w="993" w:type="dxa"/>
                      </w:tcPr>
                      <w:p>
                        <w:pPr>
                          <w:spacing w:line="254" w:lineRule="auto"/>
                          <w:jc w:val="both"/>
                          <w:rPr>
                            <w:sz w:val="22"/>
                            <w:szCs w:val="22"/>
                          </w:rPr>
                        </w:pPr>
                        <w:r>
                          <w:rPr>
                            <w:sz w:val="22"/>
                            <w:szCs w:val="22"/>
                          </w:rPr>
                          <w:t>08</w:t>
                        </w:r>
                      </w:p>
                    </w:tc>
                    <w:tc>
                      <w:tcPr>
                        <w:tcW w:w="2835" w:type="dxa"/>
                      </w:tcPr>
                      <w:p>
                        <w:pPr>
                          <w:spacing w:line="254" w:lineRule="auto"/>
                          <w:rPr>
                            <w:sz w:val="22"/>
                            <w:szCs w:val="22"/>
                          </w:rPr>
                        </w:pPr>
                        <w:r>
                          <w:rPr>
                            <w:sz w:val="22"/>
                            <w:szCs w:val="22"/>
                          </w:rPr>
                          <w:t>Prisidėjimas prie Radviliškio raj. kultūros įstaigų vykdomų projektų</w:t>
                        </w:r>
                      </w:p>
                    </w:tc>
                    <w:tc>
                      <w:tcPr>
                        <w:tcW w:w="1842" w:type="dxa"/>
                      </w:tcPr>
                      <w:p>
                        <w:pPr>
                          <w:spacing w:line="254" w:lineRule="auto"/>
                          <w:ind w:right="315"/>
                          <w:jc w:val="center"/>
                          <w:rPr>
                            <w:sz w:val="22"/>
                            <w:szCs w:val="22"/>
                          </w:rPr>
                        </w:pPr>
                        <w:r>
                          <w:rPr>
                            <w:sz w:val="22"/>
                            <w:szCs w:val="22"/>
                          </w:rPr>
                          <w:t>-5 160,00</w:t>
                        </w:r>
                      </w:p>
                    </w:tc>
                  </w:tr>
                  <w:tr>
                    <w:trPr>
                      <w:trHeight w:val="606"/>
                    </w:trPr>
                    <w:tc>
                      <w:tcPr>
                        <w:tcW w:w="567" w:type="dxa"/>
                        <w:tcBorders>
                          <w:top w:val="single" w:sz="4" w:space="0" w:color="auto"/>
                          <w:bottom w:val="nil"/>
                        </w:tcBorders>
                      </w:tcPr>
                      <w:p>
                        <w:pPr>
                          <w:spacing w:line="254" w:lineRule="auto"/>
                          <w:jc w:val="both"/>
                          <w:rPr>
                            <w:sz w:val="22"/>
                            <w:szCs w:val="22"/>
                          </w:rPr>
                        </w:pPr>
                        <w:r>
                          <w:rPr>
                            <w:sz w:val="22"/>
                            <w:szCs w:val="22"/>
                          </w:rPr>
                          <w:t>4.</w:t>
                        </w:r>
                      </w:p>
                    </w:tc>
                    <w:tc>
                      <w:tcPr>
                        <w:tcW w:w="2689" w:type="dxa"/>
                        <w:tcBorders>
                          <w:top w:val="single" w:sz="4" w:space="0" w:color="auto"/>
                          <w:bottom w:val="nil"/>
                        </w:tcBorders>
                      </w:tcPr>
                      <w:p>
                        <w:pPr>
                          <w:spacing w:line="254" w:lineRule="auto"/>
                          <w:rPr>
                            <w:sz w:val="22"/>
                            <w:szCs w:val="22"/>
                          </w:rPr>
                        </w:pPr>
                        <w:r>
                          <w:rPr>
                            <w:sz w:val="22"/>
                            <w:szCs w:val="22"/>
                          </w:rPr>
                          <w:t>Baisogalos kultūros centras (SB)</w:t>
                        </w:r>
                      </w:p>
                    </w:tc>
                    <w:tc>
                      <w:tcPr>
                        <w:tcW w:w="708" w:type="dxa"/>
                      </w:tcPr>
                      <w:p>
                        <w:pPr>
                          <w:spacing w:line="254" w:lineRule="auto"/>
                          <w:jc w:val="both"/>
                          <w:rPr>
                            <w:sz w:val="22"/>
                            <w:szCs w:val="22"/>
                          </w:rPr>
                        </w:pPr>
                        <w:r>
                          <w:rPr>
                            <w:sz w:val="22"/>
                            <w:szCs w:val="22"/>
                          </w:rPr>
                          <w:t>05</w:t>
                        </w:r>
                      </w:p>
                    </w:tc>
                    <w:tc>
                      <w:tcPr>
                        <w:tcW w:w="993" w:type="dxa"/>
                      </w:tcPr>
                      <w:p>
                        <w:pPr>
                          <w:spacing w:line="254" w:lineRule="auto"/>
                          <w:jc w:val="both"/>
                          <w:rPr>
                            <w:sz w:val="22"/>
                            <w:szCs w:val="22"/>
                          </w:rPr>
                        </w:pPr>
                        <w:r>
                          <w:rPr>
                            <w:sz w:val="22"/>
                            <w:szCs w:val="22"/>
                          </w:rPr>
                          <w:t>08</w:t>
                        </w:r>
                      </w:p>
                    </w:tc>
                    <w:tc>
                      <w:tcPr>
                        <w:tcW w:w="2835" w:type="dxa"/>
                      </w:tcPr>
                      <w:p>
                        <w:pPr>
                          <w:spacing w:line="254" w:lineRule="auto"/>
                          <w:rPr>
                            <w:sz w:val="22"/>
                            <w:szCs w:val="22"/>
                          </w:rPr>
                        </w:pPr>
                        <w:r>
                          <w:rPr>
                            <w:sz w:val="22"/>
                            <w:szCs w:val="22"/>
                          </w:rPr>
                          <w:t>Prisidėjimas 50 % prie kultūros ministerijos finansavimo „Tautinių rūbų įsigijimas“</w:t>
                        </w:r>
                      </w:p>
                    </w:tc>
                    <w:tc>
                      <w:tcPr>
                        <w:tcW w:w="1842" w:type="dxa"/>
                      </w:tcPr>
                      <w:p>
                        <w:pPr>
                          <w:spacing w:line="254" w:lineRule="auto"/>
                          <w:ind w:right="315"/>
                          <w:jc w:val="center"/>
                          <w:rPr>
                            <w:sz w:val="22"/>
                            <w:szCs w:val="22"/>
                          </w:rPr>
                        </w:pPr>
                        <w:r>
                          <w:rPr>
                            <w:sz w:val="22"/>
                            <w:szCs w:val="22"/>
                          </w:rPr>
                          <w:t>2 160,00</w:t>
                        </w:r>
                      </w:p>
                    </w:tc>
                  </w:tr>
                  <w:tr>
                    <w:trPr>
                      <w:trHeight w:val="606"/>
                    </w:trPr>
                    <w:tc>
                      <w:tcPr>
                        <w:tcW w:w="567" w:type="dxa"/>
                        <w:tcBorders>
                          <w:top w:val="nil"/>
                          <w:bottom w:val="nil"/>
                        </w:tcBorders>
                      </w:tcPr>
                      <w:p>
                        <w:pPr>
                          <w:spacing w:line="254" w:lineRule="auto"/>
                          <w:jc w:val="both"/>
                          <w:rPr>
                            <w:sz w:val="22"/>
                            <w:szCs w:val="22"/>
                          </w:rPr>
                        </w:pPr>
                      </w:p>
                    </w:tc>
                    <w:tc>
                      <w:tcPr>
                        <w:tcW w:w="2689" w:type="dxa"/>
                        <w:tcBorders>
                          <w:top w:val="nil"/>
                          <w:bottom w:val="single" w:sz="4" w:space="0" w:color="auto"/>
                        </w:tcBorders>
                      </w:tcPr>
                      <w:p>
                        <w:pPr>
                          <w:spacing w:line="254" w:lineRule="auto"/>
                          <w:rPr>
                            <w:sz w:val="22"/>
                            <w:szCs w:val="22"/>
                          </w:rPr>
                        </w:pPr>
                      </w:p>
                    </w:tc>
                    <w:tc>
                      <w:tcPr>
                        <w:tcW w:w="708" w:type="dxa"/>
                      </w:tcPr>
                      <w:p>
                        <w:pPr>
                          <w:spacing w:line="254" w:lineRule="auto"/>
                          <w:jc w:val="both"/>
                          <w:rPr>
                            <w:sz w:val="22"/>
                            <w:szCs w:val="22"/>
                          </w:rPr>
                        </w:pPr>
                        <w:r>
                          <w:rPr>
                            <w:sz w:val="22"/>
                            <w:szCs w:val="22"/>
                          </w:rPr>
                          <w:t>05</w:t>
                        </w:r>
                      </w:p>
                    </w:tc>
                    <w:tc>
                      <w:tcPr>
                        <w:tcW w:w="993" w:type="dxa"/>
                      </w:tcPr>
                      <w:p>
                        <w:pPr>
                          <w:spacing w:line="254" w:lineRule="auto"/>
                          <w:jc w:val="both"/>
                          <w:rPr>
                            <w:sz w:val="22"/>
                            <w:szCs w:val="22"/>
                          </w:rPr>
                        </w:pPr>
                        <w:r>
                          <w:rPr>
                            <w:sz w:val="22"/>
                            <w:szCs w:val="22"/>
                          </w:rPr>
                          <w:t>08</w:t>
                        </w:r>
                      </w:p>
                    </w:tc>
                    <w:tc>
                      <w:tcPr>
                        <w:tcW w:w="2835" w:type="dxa"/>
                      </w:tcPr>
                      <w:p>
                        <w:pPr>
                          <w:spacing w:line="254" w:lineRule="auto"/>
                          <w:rPr>
                            <w:sz w:val="22"/>
                            <w:szCs w:val="22"/>
                          </w:rPr>
                        </w:pPr>
                        <w:r>
                          <w:rPr>
                            <w:sz w:val="22"/>
                            <w:szCs w:val="22"/>
                          </w:rPr>
                          <w:t>Tytuvėnų festivalio veikloms Radviliškio rajone</w:t>
                        </w:r>
                      </w:p>
                    </w:tc>
                    <w:tc>
                      <w:tcPr>
                        <w:tcW w:w="1842" w:type="dxa"/>
                      </w:tcPr>
                      <w:p>
                        <w:pPr>
                          <w:spacing w:line="254" w:lineRule="auto"/>
                          <w:ind w:right="315"/>
                          <w:jc w:val="center"/>
                          <w:rPr>
                            <w:sz w:val="22"/>
                            <w:szCs w:val="22"/>
                          </w:rPr>
                        </w:pPr>
                        <w:r>
                          <w:rPr>
                            <w:sz w:val="22"/>
                            <w:szCs w:val="22"/>
                          </w:rPr>
                          <w:t>3 000,00</w:t>
                        </w:r>
                      </w:p>
                    </w:tc>
                  </w:tr>
                  <w:tr>
                    <w:trPr>
                      <w:trHeight w:val="606"/>
                    </w:trPr>
                    <w:tc>
                      <w:tcPr>
                        <w:tcW w:w="567" w:type="dxa"/>
                        <w:tcBorders>
                          <w:top w:val="single" w:sz="4" w:space="0" w:color="auto"/>
                          <w:bottom w:val="nil"/>
                        </w:tcBorders>
                      </w:tcPr>
                      <w:p>
                        <w:pPr>
                          <w:spacing w:line="254" w:lineRule="auto"/>
                          <w:jc w:val="both"/>
                          <w:rPr>
                            <w:sz w:val="22"/>
                            <w:szCs w:val="22"/>
                          </w:rPr>
                        </w:pPr>
                        <w:r>
                          <w:rPr>
                            <w:sz w:val="22"/>
                            <w:szCs w:val="22"/>
                          </w:rPr>
                          <w:t>5.</w:t>
                        </w: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r. etninės kultūros ir amatų centras (SB)</w:t>
                        </w:r>
                      </w:p>
                    </w:tc>
                    <w:tc>
                      <w:tcPr>
                        <w:tcW w:w="708" w:type="dxa"/>
                      </w:tcPr>
                      <w:p>
                        <w:pPr>
                          <w:spacing w:line="254" w:lineRule="auto"/>
                          <w:jc w:val="both"/>
                          <w:rPr>
                            <w:sz w:val="22"/>
                            <w:szCs w:val="22"/>
                          </w:rPr>
                        </w:pPr>
                        <w:r>
                          <w:rPr>
                            <w:sz w:val="22"/>
                            <w:szCs w:val="22"/>
                          </w:rPr>
                          <w:t>05</w:t>
                        </w:r>
                      </w:p>
                    </w:tc>
                    <w:tc>
                      <w:tcPr>
                        <w:tcW w:w="993" w:type="dxa"/>
                      </w:tcPr>
                      <w:p>
                        <w:pPr>
                          <w:spacing w:line="254" w:lineRule="auto"/>
                          <w:jc w:val="both"/>
                          <w:rPr>
                            <w:sz w:val="22"/>
                            <w:szCs w:val="22"/>
                          </w:rPr>
                        </w:pPr>
                        <w:r>
                          <w:rPr>
                            <w:sz w:val="22"/>
                            <w:szCs w:val="22"/>
                          </w:rPr>
                          <w:t>08</w:t>
                        </w:r>
                      </w:p>
                    </w:tc>
                    <w:tc>
                      <w:tcPr>
                        <w:tcW w:w="2835" w:type="dxa"/>
                      </w:tcPr>
                      <w:p>
                        <w:pPr>
                          <w:spacing w:line="254" w:lineRule="auto"/>
                          <w:rPr>
                            <w:sz w:val="22"/>
                            <w:szCs w:val="22"/>
                          </w:rPr>
                        </w:pPr>
                        <w:r>
                          <w:rPr>
                            <w:sz w:val="22"/>
                            <w:szCs w:val="22"/>
                          </w:rPr>
                          <w:t xml:space="preserve">Veiklos organizavimas </w:t>
                        </w:r>
                      </w:p>
                    </w:tc>
                    <w:tc>
                      <w:tcPr>
                        <w:tcW w:w="1842" w:type="dxa"/>
                      </w:tcPr>
                      <w:p>
                        <w:pPr>
                          <w:spacing w:line="254" w:lineRule="auto"/>
                          <w:ind w:right="315"/>
                          <w:jc w:val="center"/>
                          <w:rPr>
                            <w:sz w:val="22"/>
                            <w:szCs w:val="22"/>
                          </w:rPr>
                        </w:pPr>
                        <w:r>
                          <w:rPr>
                            <w:sz w:val="22"/>
                            <w:szCs w:val="22"/>
                          </w:rPr>
                          <w:t>-125 661,96</w:t>
                        </w:r>
                      </w:p>
                    </w:tc>
                  </w:tr>
                  <w:tr>
                    <w:trPr>
                      <w:trHeight w:val="606"/>
                    </w:trPr>
                    <w:tc>
                      <w:tcPr>
                        <w:tcW w:w="567" w:type="dxa"/>
                        <w:tcBorders>
                          <w:top w:val="nil"/>
                          <w:bottom w:val="single" w:sz="4" w:space="0" w:color="auto"/>
                        </w:tcBorders>
                      </w:tcPr>
                      <w:p>
                        <w:pPr>
                          <w:spacing w:line="254" w:lineRule="auto"/>
                          <w:jc w:val="both"/>
                          <w:rPr>
                            <w:sz w:val="22"/>
                            <w:szCs w:val="22"/>
                          </w:rPr>
                        </w:pP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r. etninės kultūros ir amatų centras (SBSP)</w:t>
                        </w:r>
                      </w:p>
                    </w:tc>
                    <w:tc>
                      <w:tcPr>
                        <w:tcW w:w="708" w:type="dxa"/>
                      </w:tcPr>
                      <w:p>
                        <w:pPr>
                          <w:spacing w:line="254" w:lineRule="auto"/>
                          <w:jc w:val="both"/>
                          <w:rPr>
                            <w:sz w:val="22"/>
                            <w:szCs w:val="22"/>
                          </w:rPr>
                        </w:pPr>
                        <w:r>
                          <w:rPr>
                            <w:sz w:val="22"/>
                            <w:szCs w:val="22"/>
                          </w:rPr>
                          <w:t>05</w:t>
                        </w:r>
                      </w:p>
                    </w:tc>
                    <w:tc>
                      <w:tcPr>
                        <w:tcW w:w="993" w:type="dxa"/>
                      </w:tcPr>
                      <w:p>
                        <w:pPr>
                          <w:spacing w:line="254" w:lineRule="auto"/>
                          <w:jc w:val="both"/>
                          <w:rPr>
                            <w:sz w:val="22"/>
                            <w:szCs w:val="22"/>
                          </w:rPr>
                        </w:pPr>
                        <w:r>
                          <w:rPr>
                            <w:sz w:val="22"/>
                            <w:szCs w:val="22"/>
                          </w:rPr>
                          <w:t>08</w:t>
                        </w:r>
                      </w:p>
                    </w:tc>
                    <w:tc>
                      <w:tcPr>
                        <w:tcW w:w="2835" w:type="dxa"/>
                      </w:tcPr>
                      <w:p>
                        <w:pPr>
                          <w:spacing w:line="254" w:lineRule="auto"/>
                          <w:rPr>
                            <w:sz w:val="22"/>
                            <w:szCs w:val="22"/>
                          </w:rPr>
                        </w:pPr>
                        <w:r>
                          <w:rPr>
                            <w:sz w:val="22"/>
                            <w:szCs w:val="22"/>
                          </w:rPr>
                          <w:t>Veiklos organizavimas</w:t>
                        </w:r>
                      </w:p>
                    </w:tc>
                    <w:tc>
                      <w:tcPr>
                        <w:tcW w:w="1842" w:type="dxa"/>
                      </w:tcPr>
                      <w:p>
                        <w:pPr>
                          <w:spacing w:line="254" w:lineRule="auto"/>
                          <w:ind w:right="315"/>
                          <w:jc w:val="center"/>
                          <w:rPr>
                            <w:sz w:val="22"/>
                            <w:szCs w:val="22"/>
                          </w:rPr>
                        </w:pPr>
                        <w:r>
                          <w:rPr>
                            <w:sz w:val="22"/>
                            <w:szCs w:val="22"/>
                          </w:rPr>
                          <w:t>-12 443,91</w:t>
                        </w:r>
                      </w:p>
                    </w:tc>
                  </w:tr>
                  <w:tr>
                    <w:trPr>
                      <w:trHeight w:val="606"/>
                    </w:trPr>
                    <w:tc>
                      <w:tcPr>
                        <w:tcW w:w="567" w:type="dxa"/>
                        <w:tcBorders>
                          <w:top w:val="single" w:sz="4" w:space="0" w:color="auto"/>
                          <w:bottom w:val="nil"/>
                        </w:tcBorders>
                      </w:tcPr>
                      <w:p>
                        <w:pPr>
                          <w:spacing w:line="254" w:lineRule="auto"/>
                          <w:jc w:val="both"/>
                          <w:rPr>
                            <w:sz w:val="22"/>
                            <w:szCs w:val="22"/>
                          </w:rPr>
                        </w:pPr>
                        <w:r>
                          <w:rPr>
                            <w:sz w:val="22"/>
                            <w:szCs w:val="22"/>
                          </w:rPr>
                          <w:t>6.</w:t>
                        </w: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miesto kultūros centras (SB)</w:t>
                        </w:r>
                      </w:p>
                    </w:tc>
                    <w:tc>
                      <w:tcPr>
                        <w:tcW w:w="708" w:type="dxa"/>
                      </w:tcPr>
                      <w:p>
                        <w:pPr>
                          <w:spacing w:line="254" w:lineRule="auto"/>
                          <w:jc w:val="both"/>
                          <w:rPr>
                            <w:sz w:val="22"/>
                            <w:szCs w:val="22"/>
                          </w:rPr>
                        </w:pPr>
                        <w:r>
                          <w:rPr>
                            <w:sz w:val="22"/>
                            <w:szCs w:val="22"/>
                          </w:rPr>
                          <w:t>05</w:t>
                        </w:r>
                      </w:p>
                    </w:tc>
                    <w:tc>
                      <w:tcPr>
                        <w:tcW w:w="993" w:type="dxa"/>
                      </w:tcPr>
                      <w:p>
                        <w:pPr>
                          <w:spacing w:line="254" w:lineRule="auto"/>
                          <w:jc w:val="both"/>
                          <w:rPr>
                            <w:sz w:val="22"/>
                            <w:szCs w:val="22"/>
                          </w:rPr>
                        </w:pPr>
                        <w:r>
                          <w:rPr>
                            <w:sz w:val="22"/>
                            <w:szCs w:val="22"/>
                          </w:rPr>
                          <w:t>08</w:t>
                        </w:r>
                      </w:p>
                    </w:tc>
                    <w:tc>
                      <w:tcPr>
                        <w:tcW w:w="2835" w:type="dxa"/>
                      </w:tcPr>
                      <w:p>
                        <w:pPr>
                          <w:spacing w:line="254" w:lineRule="auto"/>
                          <w:rPr>
                            <w:sz w:val="22"/>
                            <w:szCs w:val="22"/>
                          </w:rPr>
                        </w:pPr>
                        <w:r>
                          <w:rPr>
                            <w:sz w:val="22"/>
                            <w:szCs w:val="22"/>
                          </w:rPr>
                          <w:t>Veiklos organizavimas</w:t>
                        </w:r>
                      </w:p>
                    </w:tc>
                    <w:tc>
                      <w:tcPr>
                        <w:tcW w:w="1842" w:type="dxa"/>
                      </w:tcPr>
                      <w:p>
                        <w:pPr>
                          <w:spacing w:line="254" w:lineRule="auto"/>
                          <w:ind w:right="315"/>
                          <w:jc w:val="center"/>
                          <w:rPr>
                            <w:sz w:val="22"/>
                            <w:szCs w:val="22"/>
                          </w:rPr>
                        </w:pPr>
                        <w:r>
                          <w:rPr>
                            <w:sz w:val="22"/>
                            <w:szCs w:val="22"/>
                          </w:rPr>
                          <w:t>117 711,96</w:t>
                        </w:r>
                      </w:p>
                    </w:tc>
                  </w:tr>
                  <w:tr>
                    <w:trPr>
                      <w:trHeight w:val="606"/>
                    </w:trPr>
                    <w:tc>
                      <w:tcPr>
                        <w:tcW w:w="567" w:type="dxa"/>
                        <w:tcBorders>
                          <w:top w:val="nil"/>
                          <w:bottom w:val="single" w:sz="4" w:space="0" w:color="auto"/>
                        </w:tcBorders>
                      </w:tcPr>
                      <w:p>
                        <w:pPr>
                          <w:spacing w:line="254" w:lineRule="auto"/>
                          <w:jc w:val="both"/>
                          <w:rPr>
                            <w:sz w:val="22"/>
                            <w:szCs w:val="22"/>
                          </w:rPr>
                        </w:pP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miesto kultūros centras(SBSP)</w:t>
                        </w:r>
                      </w:p>
                    </w:tc>
                    <w:tc>
                      <w:tcPr>
                        <w:tcW w:w="708" w:type="dxa"/>
                      </w:tcPr>
                      <w:p>
                        <w:pPr>
                          <w:spacing w:line="254" w:lineRule="auto"/>
                          <w:jc w:val="both"/>
                          <w:rPr>
                            <w:sz w:val="22"/>
                            <w:szCs w:val="22"/>
                          </w:rPr>
                        </w:pPr>
                        <w:r>
                          <w:rPr>
                            <w:sz w:val="22"/>
                            <w:szCs w:val="22"/>
                          </w:rPr>
                          <w:t>05</w:t>
                        </w:r>
                      </w:p>
                    </w:tc>
                    <w:tc>
                      <w:tcPr>
                        <w:tcW w:w="993" w:type="dxa"/>
                      </w:tcPr>
                      <w:p>
                        <w:pPr>
                          <w:spacing w:line="254" w:lineRule="auto"/>
                          <w:jc w:val="both"/>
                          <w:rPr>
                            <w:sz w:val="22"/>
                            <w:szCs w:val="22"/>
                          </w:rPr>
                        </w:pPr>
                        <w:r>
                          <w:rPr>
                            <w:sz w:val="22"/>
                            <w:szCs w:val="22"/>
                          </w:rPr>
                          <w:t>08</w:t>
                        </w:r>
                      </w:p>
                    </w:tc>
                    <w:tc>
                      <w:tcPr>
                        <w:tcW w:w="2835" w:type="dxa"/>
                      </w:tcPr>
                      <w:p>
                        <w:pPr>
                          <w:spacing w:line="254" w:lineRule="auto"/>
                          <w:rPr>
                            <w:sz w:val="22"/>
                            <w:szCs w:val="22"/>
                          </w:rPr>
                        </w:pPr>
                        <w:r>
                          <w:rPr>
                            <w:sz w:val="22"/>
                            <w:szCs w:val="22"/>
                          </w:rPr>
                          <w:t>Veiklos organizavimas</w:t>
                        </w:r>
                      </w:p>
                    </w:tc>
                    <w:tc>
                      <w:tcPr>
                        <w:tcW w:w="1842" w:type="dxa"/>
                      </w:tcPr>
                      <w:p>
                        <w:pPr>
                          <w:spacing w:line="254" w:lineRule="auto"/>
                          <w:ind w:right="315"/>
                          <w:jc w:val="center"/>
                          <w:rPr>
                            <w:sz w:val="22"/>
                            <w:szCs w:val="22"/>
                          </w:rPr>
                        </w:pPr>
                        <w:r>
                          <w:rPr>
                            <w:sz w:val="22"/>
                            <w:szCs w:val="22"/>
                          </w:rPr>
                          <w:t>12 443,91</w:t>
                        </w:r>
                      </w:p>
                    </w:tc>
                  </w:tr>
                  <w:tr>
                    <w:trPr>
                      <w:trHeight w:val="606"/>
                    </w:trPr>
                    <w:tc>
                      <w:tcPr>
                        <w:tcW w:w="567" w:type="dxa"/>
                        <w:tcBorders>
                          <w:top w:val="single" w:sz="4" w:space="0" w:color="auto"/>
                          <w:bottom w:val="single" w:sz="4" w:space="0" w:color="auto"/>
                        </w:tcBorders>
                      </w:tcPr>
                      <w:p>
                        <w:pPr>
                          <w:spacing w:line="254" w:lineRule="auto"/>
                          <w:jc w:val="both"/>
                          <w:rPr>
                            <w:sz w:val="22"/>
                            <w:szCs w:val="22"/>
                          </w:rPr>
                        </w:pPr>
                        <w:r>
                          <w:rPr>
                            <w:sz w:val="22"/>
                            <w:szCs w:val="22"/>
                          </w:rPr>
                          <w:t>7.</w:t>
                        </w: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r. Šeduvos kultūros ir amatų centras (SB)</w:t>
                        </w:r>
                      </w:p>
                    </w:tc>
                    <w:tc>
                      <w:tcPr>
                        <w:tcW w:w="708" w:type="dxa"/>
                      </w:tcPr>
                      <w:p>
                        <w:pPr>
                          <w:spacing w:line="254" w:lineRule="auto"/>
                          <w:jc w:val="both"/>
                          <w:rPr>
                            <w:sz w:val="22"/>
                            <w:szCs w:val="22"/>
                          </w:rPr>
                        </w:pPr>
                        <w:r>
                          <w:rPr>
                            <w:sz w:val="22"/>
                            <w:szCs w:val="22"/>
                          </w:rPr>
                          <w:t>05</w:t>
                        </w:r>
                      </w:p>
                    </w:tc>
                    <w:tc>
                      <w:tcPr>
                        <w:tcW w:w="993" w:type="dxa"/>
                      </w:tcPr>
                      <w:p>
                        <w:pPr>
                          <w:spacing w:line="254" w:lineRule="auto"/>
                          <w:jc w:val="both"/>
                          <w:rPr>
                            <w:sz w:val="22"/>
                            <w:szCs w:val="22"/>
                          </w:rPr>
                        </w:pPr>
                        <w:r>
                          <w:rPr>
                            <w:sz w:val="22"/>
                            <w:szCs w:val="22"/>
                          </w:rPr>
                          <w:t>08</w:t>
                        </w:r>
                      </w:p>
                    </w:tc>
                    <w:tc>
                      <w:tcPr>
                        <w:tcW w:w="2835" w:type="dxa"/>
                      </w:tcPr>
                      <w:p>
                        <w:pPr>
                          <w:spacing w:line="254" w:lineRule="auto"/>
                          <w:rPr>
                            <w:sz w:val="22"/>
                            <w:szCs w:val="22"/>
                          </w:rPr>
                        </w:pPr>
                        <w:r>
                          <w:rPr>
                            <w:sz w:val="22"/>
                            <w:szCs w:val="22"/>
                          </w:rPr>
                          <w:t>Veiklos organizavimas</w:t>
                        </w:r>
                      </w:p>
                    </w:tc>
                    <w:tc>
                      <w:tcPr>
                        <w:tcW w:w="1842" w:type="dxa"/>
                      </w:tcPr>
                      <w:p>
                        <w:pPr>
                          <w:spacing w:line="254" w:lineRule="auto"/>
                          <w:ind w:right="315"/>
                          <w:jc w:val="center"/>
                          <w:rPr>
                            <w:sz w:val="22"/>
                            <w:szCs w:val="22"/>
                          </w:rPr>
                        </w:pPr>
                        <w:r>
                          <w:rPr>
                            <w:sz w:val="22"/>
                            <w:szCs w:val="22"/>
                          </w:rPr>
                          <w:t>7 950,00</w:t>
                        </w:r>
                      </w:p>
                    </w:tc>
                  </w:tr>
                  <w:tr>
                    <w:trPr>
                      <w:trHeight w:val="606"/>
                    </w:trPr>
                    <w:tc>
                      <w:tcPr>
                        <w:tcW w:w="567" w:type="dxa"/>
                        <w:tcBorders>
                          <w:top w:val="single" w:sz="4" w:space="0" w:color="auto"/>
                          <w:bottom w:val="single" w:sz="4" w:space="0" w:color="auto"/>
                        </w:tcBorders>
                      </w:tcPr>
                      <w:p>
                        <w:pPr>
                          <w:spacing w:line="254" w:lineRule="auto"/>
                          <w:jc w:val="both"/>
                          <w:rPr>
                            <w:sz w:val="22"/>
                            <w:szCs w:val="22"/>
                          </w:rPr>
                        </w:pPr>
                        <w:r>
                          <w:rPr>
                            <w:sz w:val="22"/>
                            <w:szCs w:val="22"/>
                          </w:rPr>
                          <w:t>8.</w:t>
                        </w: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r. savivaldybės administracijos Finansų skyrius (SB)</w:t>
                        </w:r>
                      </w:p>
                    </w:tc>
                    <w:tc>
                      <w:tcPr>
                        <w:tcW w:w="708" w:type="dxa"/>
                      </w:tcPr>
                      <w:p>
                        <w:pPr>
                          <w:spacing w:line="254" w:lineRule="auto"/>
                          <w:jc w:val="both"/>
                          <w:rPr>
                            <w:sz w:val="22"/>
                            <w:szCs w:val="22"/>
                          </w:rPr>
                        </w:pPr>
                        <w:r>
                          <w:rPr>
                            <w:sz w:val="22"/>
                            <w:szCs w:val="22"/>
                          </w:rPr>
                          <w:t>01</w:t>
                        </w:r>
                      </w:p>
                    </w:tc>
                    <w:tc>
                      <w:tcPr>
                        <w:tcW w:w="993" w:type="dxa"/>
                      </w:tcPr>
                      <w:p>
                        <w:pPr>
                          <w:spacing w:line="254" w:lineRule="auto"/>
                          <w:jc w:val="both"/>
                          <w:rPr>
                            <w:sz w:val="22"/>
                            <w:szCs w:val="22"/>
                          </w:rPr>
                        </w:pPr>
                        <w:r>
                          <w:rPr>
                            <w:sz w:val="22"/>
                            <w:szCs w:val="22"/>
                          </w:rPr>
                          <w:t>01</w:t>
                        </w:r>
                      </w:p>
                    </w:tc>
                    <w:tc>
                      <w:tcPr>
                        <w:tcW w:w="2835" w:type="dxa"/>
                      </w:tcPr>
                      <w:p>
                        <w:pPr>
                          <w:spacing w:line="254" w:lineRule="auto"/>
                          <w:rPr>
                            <w:sz w:val="22"/>
                            <w:szCs w:val="22"/>
                          </w:rPr>
                        </w:pPr>
                        <w:r>
                          <w:rPr>
                            <w:sz w:val="22"/>
                            <w:szCs w:val="22"/>
                          </w:rPr>
                          <w:t xml:space="preserve">Iždo paskolų dengimo, palūkanų mokėjimo ir banko paslaugų išlaidos </w:t>
                        </w:r>
                      </w:p>
                    </w:tc>
                    <w:tc>
                      <w:tcPr>
                        <w:tcW w:w="1842" w:type="dxa"/>
                      </w:tcPr>
                      <w:p>
                        <w:pPr>
                          <w:spacing w:line="254" w:lineRule="auto"/>
                          <w:ind w:right="315"/>
                          <w:jc w:val="center"/>
                          <w:rPr>
                            <w:sz w:val="22"/>
                            <w:szCs w:val="22"/>
                          </w:rPr>
                        </w:pPr>
                        <w:r>
                          <w:rPr>
                            <w:sz w:val="22"/>
                            <w:szCs w:val="22"/>
                          </w:rPr>
                          <w:t>-50 000,00</w:t>
                        </w:r>
                      </w:p>
                    </w:tc>
                  </w:tr>
                  <w:tr>
                    <w:trPr>
                      <w:trHeight w:val="606"/>
                    </w:trPr>
                    <w:tc>
                      <w:tcPr>
                        <w:tcW w:w="567" w:type="dxa"/>
                        <w:tcBorders>
                          <w:top w:val="single" w:sz="4" w:space="0" w:color="auto"/>
                          <w:bottom w:val="single" w:sz="4" w:space="0" w:color="auto"/>
                        </w:tcBorders>
                      </w:tcPr>
                      <w:p>
                        <w:pPr>
                          <w:spacing w:line="254" w:lineRule="auto"/>
                          <w:jc w:val="both"/>
                          <w:rPr>
                            <w:sz w:val="22"/>
                            <w:szCs w:val="22"/>
                          </w:rPr>
                        </w:pPr>
                        <w:r>
                          <w:rPr>
                            <w:sz w:val="22"/>
                            <w:szCs w:val="22"/>
                          </w:rPr>
                          <w:t>9.</w:t>
                        </w: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socialinių paslaugų centras (SB)</w:t>
                        </w:r>
                      </w:p>
                    </w:tc>
                    <w:tc>
                      <w:tcPr>
                        <w:tcW w:w="708" w:type="dxa"/>
                      </w:tcPr>
                      <w:p>
                        <w:pPr>
                          <w:spacing w:line="254" w:lineRule="auto"/>
                          <w:jc w:val="both"/>
                          <w:rPr>
                            <w:sz w:val="22"/>
                            <w:szCs w:val="22"/>
                          </w:rPr>
                        </w:pPr>
                        <w:r>
                          <w:rPr>
                            <w:sz w:val="22"/>
                            <w:szCs w:val="22"/>
                          </w:rPr>
                          <w:t>03</w:t>
                        </w:r>
                      </w:p>
                    </w:tc>
                    <w:tc>
                      <w:tcPr>
                        <w:tcW w:w="993" w:type="dxa"/>
                      </w:tcPr>
                      <w:p>
                        <w:pPr>
                          <w:spacing w:line="254" w:lineRule="auto"/>
                          <w:jc w:val="both"/>
                          <w:rPr>
                            <w:sz w:val="22"/>
                            <w:szCs w:val="22"/>
                          </w:rPr>
                        </w:pPr>
                        <w:r>
                          <w:rPr>
                            <w:sz w:val="22"/>
                            <w:szCs w:val="22"/>
                          </w:rPr>
                          <w:t>10</w:t>
                        </w:r>
                      </w:p>
                    </w:tc>
                    <w:tc>
                      <w:tcPr>
                        <w:tcW w:w="2835" w:type="dxa"/>
                      </w:tcPr>
                      <w:p>
                        <w:pPr>
                          <w:spacing w:line="254" w:lineRule="auto"/>
                          <w:rPr>
                            <w:sz w:val="22"/>
                            <w:szCs w:val="22"/>
                          </w:rPr>
                        </w:pPr>
                        <w:r>
                          <w:rPr>
                            <w:sz w:val="22"/>
                            <w:szCs w:val="22"/>
                          </w:rPr>
                          <w:t xml:space="preserve">Veiklos organizavimas Socialinių paslaugų teikimas </w:t>
                        </w:r>
                      </w:p>
                    </w:tc>
                    <w:tc>
                      <w:tcPr>
                        <w:tcW w:w="1842" w:type="dxa"/>
                      </w:tcPr>
                      <w:p>
                        <w:pPr>
                          <w:spacing w:line="254" w:lineRule="auto"/>
                          <w:ind w:right="315"/>
                          <w:jc w:val="center"/>
                          <w:rPr>
                            <w:sz w:val="22"/>
                            <w:szCs w:val="22"/>
                          </w:rPr>
                        </w:pPr>
                        <w:r>
                          <w:rPr>
                            <w:sz w:val="22"/>
                            <w:szCs w:val="22"/>
                          </w:rPr>
                          <w:t>50 000,00</w:t>
                        </w:r>
                      </w:p>
                    </w:tc>
                  </w:tr>
                </w:tbl>
                <w:p>
                  <w:pPr>
                    <w:tabs>
                      <w:tab w:val="left" w:pos="0"/>
                    </w:tabs>
                    <w:spacing w:line="254" w:lineRule="auto"/>
                    <w:ind w:firstLine="709"/>
                    <w:jc w:val="both"/>
                    <w:rPr>
                      <w:bCs/>
                      <w:szCs w:val="24"/>
                      <w:shd w:val="clear" w:color="auto" w:fill="FFFFFF"/>
                    </w:rPr>
                  </w:pPr>
                </w:p>
                <w:p>
                  <w:pPr>
                    <w:rPr>
                      <w:sz w:val="14"/>
                      <w:szCs w:val="14"/>
                    </w:rPr>
                  </w:pPr>
                </w:p>
              </w:sdtContent>
            </w:sdt>
            <w:sdt>
              <w:sdtPr>
                <w:alias w:val="12 p."/>
                <w:tag w:val="part_370fe2ebb24a4f1684acde726621ff6f"/>
                <w:lock w:val="sdtLocked"/>
                <w:richText/>
              </w:sdtPr>
              <w:sdtContent>
                <w:p>
                  <w:pPr>
                    <w:tabs>
                      <w:tab w:val="left" w:pos="0"/>
                    </w:tabs>
                    <w:spacing w:line="254" w:lineRule="auto"/>
                    <w:ind w:firstLine="709"/>
                    <w:jc w:val="both"/>
                    <w:rPr>
                      <w:b/>
                      <w:szCs w:val="24"/>
                      <w:shd w:val="clear" w:color="auto" w:fill="FFFFFF"/>
                    </w:rPr>
                  </w:pPr>
                  <w:sdt>
                    <w:sdtPr>
                      <w:alias w:val="Numeris"/>
                      <w:tag w:val="nr_370fe2ebb24a4f1684acde726621ff6f"/>
                      <w:lock w:val="sdtLocked"/>
                      <w:richText/>
                    </w:sdtPr>
                    <w:sdtContent>
                      <w:r>
                        <w:rPr>
                          <w:b/>
                          <w:szCs w:val="24"/>
                          <w:shd w:val="clear" w:color="auto" w:fill="FFFFFF"/>
                        </w:rPr>
                        <w:t>12</w:t>
                      </w:r>
                    </w:sdtContent>
                  </w:sdt>
                  <w:r>
                    <w:rPr>
                      <w:b/>
                      <w:szCs w:val="24"/>
                      <w:shd w:val="clear" w:color="auto" w:fill="FFFFFF"/>
                    </w:rPr>
                    <w:t>. Pridedami dokumentai.</w:t>
                  </w:r>
                </w:p>
                <w:p>
                  <w:pPr>
                    <w:rPr>
                      <w:sz w:val="14"/>
                      <w:szCs w:val="14"/>
                    </w:rPr>
                  </w:pPr>
                </w:p>
              </w:sdtContent>
            </w:sdt>
          </w:sdtContent>
        </w:sdt>
        <w:sdt>
          <w:sdtPr>
            <w:alias w:val="skirsnis"/>
            <w:tag w:val="part_dacffe7144ea45c0b6ef21c0ba4bed47"/>
            <w:lock w:val="sdtLocked"/>
            <w:richText/>
          </w:sdtPr>
          <w:sdtContent>
            <w:p>
              <w:pPr>
                <w:tabs>
                  <w:tab w:val="left" w:pos="0"/>
                </w:tabs>
                <w:spacing w:line="254" w:lineRule="auto"/>
                <w:ind w:firstLine="771"/>
                <w:jc w:val="both"/>
                <w:rPr>
                  <w:b/>
                  <w:szCs w:val="24"/>
                  <w:shd w:val="clear" w:color="auto" w:fill="FFFFFF"/>
                </w:rPr>
              </w:pPr>
              <w:sdt>
                <w:sdtPr>
                  <w:alias w:val="Pavadinimas"/>
                  <w:tag w:val="title_dacffe7144ea45c0b6ef21c0ba4bed47"/>
                  <w:lock w:val="sdtLocked"/>
                  <w:richText/>
                </w:sdtPr>
                <w:sdtContent>
                  <w:r>
                    <w:rPr>
                      <w:b/>
                      <w:szCs w:val="24"/>
                      <w:shd w:val="clear" w:color="auto" w:fill="FFFFFF"/>
                    </w:rPr>
                    <w:t xml:space="preserve">Lyginamasis variantas. </w:t>
                  </w:r>
                </w:sdtContent>
              </w:sdt>
            </w:p>
            <w:p>
              <w:pPr>
                <w:rPr>
                  <w:sz w:val="14"/>
                  <w:szCs w:val="14"/>
                </w:rPr>
              </w:pPr>
            </w:p>
            <w:p>
              <w:pPr>
                <w:tabs>
                  <w:tab w:val="left" w:pos="0"/>
                </w:tabs>
                <w:spacing w:line="254" w:lineRule="auto"/>
                <w:ind w:firstLine="709"/>
                <w:jc w:val="both"/>
                <w:rPr>
                  <w:b/>
                  <w:szCs w:val="24"/>
                  <w:shd w:val="clear" w:color="auto" w:fill="FFFFFF"/>
                </w:rPr>
              </w:pPr>
              <w:r>
                <w:rPr>
                  <w:bCs/>
                  <w:szCs w:val="24"/>
                  <w:shd w:val="clear" w:color="auto" w:fill="FFFFFF"/>
                </w:rPr>
                <w:t>Pajamų pokytis</w:t>
              </w:r>
              <w:r>
                <w:rPr>
                  <w:b/>
                  <w:szCs w:val="24"/>
                  <w:shd w:val="clear" w:color="auto" w:fill="FFFFFF"/>
                </w:rPr>
                <w:t>:</w:t>
              </w:r>
            </w:p>
            <w:p>
              <w:pPr>
                <w:rPr>
                  <w:sz w:val="14"/>
                  <w:szCs w:val="14"/>
                </w:rPr>
              </w:pPr>
            </w:p>
            <w:tbl>
              <w:tblPr>
                <w:tblW w:w="9776" w:type="dxa"/>
                <w:tblLayout w:type="fixed"/>
                <w:tblLook w:val="04A0" w:firstRow="1" w:lastRow="0" w:firstColumn="1" w:lastColumn="0" w:noHBand="0" w:noVBand="1"/>
              </w:tblPr>
              <w:tblGrid>
                <w:gridCol w:w="704"/>
                <w:gridCol w:w="4330"/>
                <w:gridCol w:w="1481"/>
                <w:gridCol w:w="1480"/>
                <w:gridCol w:w="1781"/>
              </w:tblGrid>
              <w:tr>
                <w:trPr>
                  <w:cantSplit/>
                  <w:trHeight w:val="928"/>
                  <w:tblHeader/>
                </w:trPr>
                <w:tc>
                  <w:tcPr>
                    <w:tcW w:w="704"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Eil. Nr.</w:t>
                    </w:r>
                  </w:p>
                </w:tc>
                <w:tc>
                  <w:tcPr>
                    <w:tcW w:w="4330"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Pajamos</w:t>
                    </w:r>
                  </w:p>
                </w:tc>
                <w:tc>
                  <w:tcPr>
                    <w:tcW w:w="1481"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 xml:space="preserve">Buvo patvirtinta </w:t>
                    </w:r>
                  </w:p>
                </w:tc>
                <w:tc>
                  <w:tcPr>
                    <w:tcW w:w="1480" w:type="dxa"/>
                    <w:tcBorders>
                      <w:top w:val="single" w:sz="4" w:space="0" w:color="auto"/>
                      <w:left w:val="nil"/>
                      <w:bottom w:val="single" w:sz="4" w:space="0" w:color="auto"/>
                      <w:right w:val="nil"/>
                    </w:tcBorders>
                    <w:vAlign w:val="center"/>
                    <w:hideMark/>
                  </w:tcPr>
                  <w:p>
                    <w:pPr>
                      <w:jc w:val="center"/>
                      <w:rPr>
                        <w:b/>
                        <w:bCs/>
                        <w:color w:val="000000"/>
                        <w:sz w:val="18"/>
                        <w:szCs w:val="18"/>
                      </w:rPr>
                    </w:pPr>
                    <w:r>
                      <w:rPr>
                        <w:b/>
                        <w:bCs/>
                        <w:color w:val="000000"/>
                        <w:sz w:val="18"/>
                        <w:szCs w:val="18"/>
                      </w:rPr>
                      <w:t xml:space="preserve">(+) Didinama     (-) Mažinama    </w:t>
                    </w:r>
                  </w:p>
                </w:tc>
                <w:tc>
                  <w:tcPr>
                    <w:tcW w:w="1781"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Tvirtinama</w:t>
                    </w:r>
                  </w:p>
                  <w:p>
                    <w:pPr>
                      <w:jc w:val="center"/>
                      <w:rPr>
                        <w:b/>
                        <w:bCs/>
                        <w:color w:val="000000"/>
                        <w:sz w:val="18"/>
                        <w:szCs w:val="18"/>
                      </w:rPr>
                    </w:pPr>
                    <w:r>
                      <w:rPr>
                        <w:b/>
                        <w:bCs/>
                        <w:color w:val="000000"/>
                        <w:sz w:val="18"/>
                        <w:szCs w:val="18"/>
                      </w:rPr>
                      <w:t>naujai</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Gyventojų pajamų mokestis</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41 618 000,00 €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130 000,00 €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41 748 000,00 €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Nekilnojamojo turto mokestis</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650 000,00 €</w:t>
                    </w:r>
                  </w:p>
                </w:tc>
                <w:tc>
                  <w:tcPr>
                    <w:tcW w:w="1480" w:type="dxa"/>
                    <w:tcBorders>
                      <w:top w:val="single" w:sz="4" w:space="0" w:color="auto"/>
                      <w:left w:val="nil"/>
                      <w:bottom w:val="single" w:sz="4" w:space="0" w:color="auto"/>
                      <w:right w:val="nil"/>
                    </w:tcBorders>
                    <w:noWrap/>
                  </w:tcPr>
                  <w:p>
                    <w:pPr>
                      <w:ind w:firstLine="48"/>
                      <w:jc w:val="center"/>
                      <w:rPr>
                        <w:sz w:val="18"/>
                        <w:szCs w:val="18"/>
                      </w:rPr>
                    </w:pPr>
                    <w:r>
                      <w:rPr>
                        <w:sz w:val="18"/>
                        <w:szCs w:val="18"/>
                      </w:rPr>
                      <w:t>100 000,00 €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750 000,00 €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40</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 xml:space="preserve">Dotacija ugdymo, maitinimo ir pavėžėjimo lėšų  vaikams, kuriems skirtas privalomas ugdymas pagal ikimokyklinio ugdymo programą</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143 868,00 €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64 486,00 €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208 354,00 €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45</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Asmeninei pagalbai teikti ir administruoti</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58 472,00 €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-5 100,00 €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53 372,00 €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48</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Laikino atokvėpio paslauga</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48 400,00 €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-20 400,00 €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28 000,00 €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57</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Projektas „Ankstyvojo ugdymo užtikrinimas vaikams iš socialinę riziką patiriančių šeimų“</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76 591,08 €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81 712,89 €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158 303,97 €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63</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Valstybės biudžeto lėšos, skirtos užtikrinti Lietuvos Respublikos piniginės socialinės paramos nepasiturintiems gyventojams įstatymo įgyvendinimą</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600 000,00 €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600 000,00 €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75</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Pajamos už teikiamas paslaugas</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1 278 131,00 €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4 500,00 €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1 282 631,00 €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76</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 xml:space="preserve">Įmokos už išlaikymą  socialinės apsaugos ir kitose įstaigose</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678 000,00 €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50 000,00 €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728 000,00 €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80</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Pajamos iš žemės realizavimo</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131 000,00 €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120 000,00 €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251 000,00 €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p>
                </w:tc>
                <w:tc>
                  <w:tcPr>
                    <w:tcW w:w="4330" w:type="dxa"/>
                    <w:tcBorders>
                      <w:top w:val="single" w:sz="4" w:space="0" w:color="auto"/>
                      <w:left w:val="nil"/>
                      <w:bottom w:val="single" w:sz="4" w:space="0" w:color="auto"/>
                      <w:right w:val="single" w:sz="4" w:space="0" w:color="auto"/>
                    </w:tcBorders>
                  </w:tcPr>
                  <w:p>
                    <w:pPr>
                      <w:ind w:firstLine="3792"/>
                      <w:rPr>
                        <w:sz w:val="18"/>
                        <w:szCs w:val="18"/>
                      </w:rPr>
                    </w:pPr>
                    <w:r>
                      <w:rPr>
                        <w:sz w:val="18"/>
                        <w:szCs w:val="18"/>
                      </w:rPr>
                      <w:t>Iš viso:</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1 125 198,89 €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p>
                </w:tc>
              </w:tr>
            </w:tbl>
            <w:p>
              <w:pPr>
                <w:tabs>
                  <w:tab w:val="left" w:pos="0"/>
                </w:tabs>
                <w:spacing w:line="254" w:lineRule="auto"/>
                <w:ind w:firstLine="709"/>
                <w:jc w:val="both"/>
                <w:rPr>
                  <w:b/>
                  <w:szCs w:val="24"/>
                  <w:shd w:val="clear" w:color="auto" w:fill="FFFFFF"/>
                </w:rPr>
              </w:pPr>
            </w:p>
            <w:p>
              <w:pPr>
                <w:rPr>
                  <w:sz w:val="14"/>
                  <w:szCs w:val="14"/>
                </w:rPr>
              </w:pPr>
            </w:p>
            <w:p>
              <w:pPr>
                <w:tabs>
                  <w:tab w:val="left" w:pos="0"/>
                </w:tabs>
                <w:spacing w:line="254" w:lineRule="auto"/>
                <w:ind w:firstLine="709"/>
                <w:jc w:val="both"/>
                <w:rPr>
                  <w:szCs w:val="24"/>
                  <w:shd w:val="clear" w:color="auto" w:fill="FFFFFF"/>
                </w:rPr>
              </w:pPr>
              <w:r>
                <w:rPr>
                  <w:szCs w:val="24"/>
                  <w:shd w:val="clear" w:color="auto" w:fill="FFFFFF"/>
                </w:rPr>
                <w:t>Asignavimų pokytis:</w:t>
              </w:r>
            </w:p>
            <w:p>
              <w:pPr>
                <w:rPr>
                  <w:sz w:val="14"/>
                  <w:szCs w:val="14"/>
                </w:rPr>
              </w:pPr>
            </w:p>
            <w:tbl>
              <w:tblPr>
                <w:tblW w:w="9747" w:type="dxa"/>
                <w:tblLayout w:type="fixed"/>
                <w:tblLook w:val="04A0" w:firstRow="1" w:lastRow="0" w:firstColumn="1" w:lastColumn="0" w:noHBand="0" w:noVBand="1"/>
              </w:tblPr>
              <w:tblGrid>
                <w:gridCol w:w="421"/>
                <w:gridCol w:w="2381"/>
                <w:gridCol w:w="2438"/>
                <w:gridCol w:w="567"/>
                <w:gridCol w:w="1418"/>
                <w:gridCol w:w="1275"/>
                <w:gridCol w:w="1247"/>
              </w:tblGrid>
              <w:tr>
                <w:trPr>
                  <w:cantSplit/>
                  <w:trHeight w:val="1512"/>
                  <w:tblHeader/>
                </w:trPr>
                <w:tc>
                  <w:tcPr>
                    <w:tcW w:w="421" w:type="dxa"/>
                    <w:tcBorders>
                      <w:top w:val="single" w:sz="4" w:space="0" w:color="auto"/>
                      <w:left w:val="single" w:sz="4" w:space="0" w:color="auto"/>
                      <w:bottom w:val="single" w:sz="4" w:space="0" w:color="auto"/>
                      <w:right w:val="single" w:sz="4" w:space="0" w:color="auto"/>
                    </w:tcBorders>
                    <w:textDirection w:val="btLr"/>
                    <w:vAlign w:val="center"/>
                    <w:hideMark/>
                  </w:tcPr>
                  <w:p>
                    <w:pPr>
                      <w:ind w:left="113" w:right="113"/>
                      <w:jc w:val="center"/>
                      <w:rPr>
                        <w:b/>
                        <w:bCs/>
                        <w:color w:val="000000"/>
                        <w:sz w:val="18"/>
                        <w:szCs w:val="18"/>
                        <w:lang w:eastAsia="lt-LT"/>
                      </w:rPr>
                    </w:pPr>
                    <w:r>
                      <w:rPr>
                        <w:b/>
                        <w:bCs/>
                        <w:color w:val="000000"/>
                        <w:sz w:val="18"/>
                        <w:szCs w:val="18"/>
                      </w:rPr>
                      <w:t>Programos Nr.</w:t>
                    </w:r>
                  </w:p>
                </w:tc>
                <w:tc>
                  <w:tcPr>
                    <w:tcW w:w="2381"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Programos pavadinimas</w:t>
                    </w:r>
                  </w:p>
                </w:tc>
                <w:tc>
                  <w:tcPr>
                    <w:tcW w:w="2438"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Vykdytojas</w:t>
                    </w:r>
                  </w:p>
                </w:tc>
                <w:tc>
                  <w:tcPr>
                    <w:tcW w:w="567" w:type="dxa"/>
                    <w:tcBorders>
                      <w:top w:val="single" w:sz="4" w:space="0" w:color="auto"/>
                      <w:left w:val="nil"/>
                      <w:bottom w:val="single" w:sz="4" w:space="0" w:color="auto"/>
                      <w:right w:val="single" w:sz="4" w:space="0" w:color="auto"/>
                    </w:tcBorders>
                    <w:textDirection w:val="btLr"/>
                    <w:vAlign w:val="center"/>
                    <w:hideMark/>
                  </w:tcPr>
                  <w:p>
                    <w:pPr>
                      <w:ind w:left="113" w:right="113"/>
                      <w:jc w:val="center"/>
                      <w:rPr>
                        <w:b/>
                        <w:bCs/>
                        <w:color w:val="000000"/>
                        <w:sz w:val="18"/>
                        <w:szCs w:val="18"/>
                      </w:rPr>
                    </w:pPr>
                    <w:r>
                      <w:rPr>
                        <w:b/>
                        <w:bCs/>
                        <w:color w:val="000000"/>
                        <w:sz w:val="18"/>
                        <w:szCs w:val="18"/>
                      </w:rPr>
                      <w:t>Finansavimo šaltinis</w:t>
                    </w:r>
                  </w:p>
                </w:tc>
                <w:tc>
                  <w:tcPr>
                    <w:tcW w:w="1418"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 xml:space="preserve">Buvo patvirtinti </w:t>
                    </w:r>
                  </w:p>
                </w:tc>
                <w:tc>
                  <w:tcPr>
                    <w:tcW w:w="1275" w:type="dxa"/>
                    <w:tcBorders>
                      <w:top w:val="single" w:sz="4" w:space="0" w:color="auto"/>
                      <w:left w:val="nil"/>
                      <w:bottom w:val="single" w:sz="4" w:space="0" w:color="auto"/>
                      <w:right w:val="nil"/>
                    </w:tcBorders>
                    <w:vAlign w:val="center"/>
                    <w:hideMark/>
                  </w:tcPr>
                  <w:p>
                    <w:pPr>
                      <w:jc w:val="center"/>
                      <w:rPr>
                        <w:b/>
                        <w:bCs/>
                        <w:color w:val="000000"/>
                        <w:sz w:val="18"/>
                        <w:szCs w:val="18"/>
                      </w:rPr>
                    </w:pPr>
                    <w:r>
                      <w:rPr>
                        <w:b/>
                        <w:bCs/>
                        <w:color w:val="000000"/>
                        <w:sz w:val="18"/>
                        <w:szCs w:val="18"/>
                      </w:rPr>
                      <w:t xml:space="preserve">Nauji  asignavimai</w:t>
                    </w:r>
                  </w:p>
                  <w:p>
                    <w:pPr>
                      <w:jc w:val="center"/>
                      <w:rPr>
                        <w:b/>
                        <w:bCs/>
                        <w:color w:val="000000"/>
                        <w:sz w:val="18"/>
                        <w:szCs w:val="18"/>
                      </w:rPr>
                    </w:pPr>
                  </w:p>
                </w:tc>
                <w:tc>
                  <w:tcPr>
                    <w:tcW w:w="1247"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 xml:space="preserve">(+) Didinama     (-) Mažinama</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administracijos Socialinės paramos skyrius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73 538,77 €</w:t>
                    </w:r>
                  </w:p>
                </w:tc>
                <w:tc>
                  <w:tcPr>
                    <w:tcW w:w="1275" w:type="dxa"/>
                    <w:tcBorders>
                      <w:top w:val="nil"/>
                      <w:left w:val="nil"/>
                      <w:bottom w:val="single" w:sz="4" w:space="0" w:color="auto"/>
                      <w:right w:val="nil"/>
                    </w:tcBorders>
                    <w:noWrap/>
                  </w:tcPr>
                  <w:p>
                    <w:pPr>
                      <w:rPr>
                        <w:sz w:val="18"/>
                        <w:szCs w:val="18"/>
                      </w:rPr>
                    </w:pPr>
                    <w:r>
                      <w:rPr>
                        <w:sz w:val="18"/>
                        <w:szCs w:val="18"/>
                      </w:rPr>
                      <w:t>73 138,77 €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-400,00 €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administracijos Finansų skyrius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430 000,00 €</w:t>
                    </w:r>
                  </w:p>
                </w:tc>
                <w:tc>
                  <w:tcPr>
                    <w:tcW w:w="1275" w:type="dxa"/>
                    <w:tcBorders>
                      <w:top w:val="nil"/>
                      <w:left w:val="nil"/>
                      <w:bottom w:val="single" w:sz="4" w:space="0" w:color="auto"/>
                      <w:right w:val="nil"/>
                    </w:tcBorders>
                    <w:noWrap/>
                  </w:tcPr>
                  <w:p>
                    <w:pPr>
                      <w:jc w:val="right"/>
                      <w:rPr>
                        <w:sz w:val="18"/>
                        <w:szCs w:val="18"/>
                      </w:rPr>
                    </w:pPr>
                    <w:r>
                      <w:rPr>
                        <w:sz w:val="18"/>
                        <w:szCs w:val="18"/>
                      </w:rPr>
                      <w:t>380 000,00 €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-50 000,00 €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35 494,21 €</w:t>
                    </w:r>
                  </w:p>
                </w:tc>
                <w:tc>
                  <w:tcPr>
                    <w:tcW w:w="1275" w:type="dxa"/>
                    <w:tcBorders>
                      <w:top w:val="nil"/>
                      <w:left w:val="nil"/>
                      <w:bottom w:val="single" w:sz="4" w:space="0" w:color="auto"/>
                      <w:right w:val="nil"/>
                    </w:tcBorders>
                    <w:noWrap/>
                  </w:tcPr>
                  <w:p>
                    <w:pPr>
                      <w:jc w:val="right"/>
                      <w:rPr>
                        <w:sz w:val="18"/>
                        <w:szCs w:val="18"/>
                      </w:rPr>
                    </w:pPr>
                    <w:r>
                      <w:rPr>
                        <w:sz w:val="18"/>
                        <w:szCs w:val="18"/>
                      </w:rPr>
                      <w:t>38 073,52 €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2 579,31 €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Vaižganto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62 459,63 €</w:t>
                    </w:r>
                  </w:p>
                </w:tc>
                <w:tc>
                  <w:tcPr>
                    <w:tcW w:w="1275" w:type="dxa"/>
                    <w:tcBorders>
                      <w:top w:val="nil"/>
                      <w:left w:val="nil"/>
                      <w:bottom w:val="single" w:sz="4" w:space="0" w:color="auto"/>
                      <w:right w:val="nil"/>
                    </w:tcBorders>
                    <w:noWrap/>
                  </w:tcPr>
                  <w:p>
                    <w:pPr>
                      <w:jc w:val="right"/>
                      <w:rPr>
                        <w:sz w:val="18"/>
                        <w:szCs w:val="18"/>
                      </w:rPr>
                    </w:pPr>
                    <w:r>
                      <w:rPr>
                        <w:sz w:val="18"/>
                        <w:szCs w:val="18"/>
                      </w:rPr>
                      <w:t>63 286,56 €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826,93 €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Grinkiškio J. Poderio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828,79 €</w:t>
                    </w:r>
                  </w:p>
                </w:tc>
                <w:tc>
                  <w:tcPr>
                    <w:tcW w:w="1275" w:type="dxa"/>
                    <w:tcBorders>
                      <w:top w:val="nil"/>
                      <w:left w:val="nil"/>
                      <w:bottom w:val="single" w:sz="4" w:space="0" w:color="auto"/>
                      <w:right w:val="nil"/>
                    </w:tcBorders>
                    <w:noWrap/>
                  </w:tcPr>
                  <w:p>
                    <w:pPr>
                      <w:jc w:val="right"/>
                      <w:rPr>
                        <w:sz w:val="18"/>
                        <w:szCs w:val="18"/>
                      </w:rPr>
                    </w:pPr>
                    <w:r>
                      <w:rPr>
                        <w:sz w:val="18"/>
                        <w:szCs w:val="18"/>
                      </w:rPr>
                      <w:t>5 186,03 €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4 357,24 €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Grinkiškio J. Poderio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19 874,00 €</w:t>
                    </w:r>
                  </w:p>
                </w:tc>
                <w:tc>
                  <w:tcPr>
                    <w:tcW w:w="1275" w:type="dxa"/>
                    <w:tcBorders>
                      <w:top w:val="nil"/>
                      <w:left w:val="nil"/>
                      <w:bottom w:val="single" w:sz="4" w:space="0" w:color="auto"/>
                      <w:right w:val="nil"/>
                    </w:tcBorders>
                    <w:noWrap/>
                  </w:tcPr>
                  <w:p>
                    <w:pPr>
                      <w:jc w:val="right"/>
                      <w:rPr>
                        <w:sz w:val="18"/>
                        <w:szCs w:val="18"/>
                      </w:rPr>
                    </w:pPr>
                    <w:r>
                      <w:rPr>
                        <w:sz w:val="18"/>
                        <w:szCs w:val="18"/>
                      </w:rPr>
                      <w:t>28 768,68 €</w:t>
                    </w:r>
                  </w:p>
                </w:tc>
                <w:tc>
                  <w:tcPr>
                    <w:tcW w:w="1247" w:type="dxa"/>
                    <w:tcBorders>
                      <w:top w:val="nil"/>
                      <w:left w:val="single" w:sz="4" w:space="0" w:color="auto"/>
                      <w:bottom w:val="single" w:sz="4" w:space="0" w:color="auto"/>
                      <w:right w:val="single" w:sz="4" w:space="0" w:color="auto"/>
                    </w:tcBorders>
                    <w:noWrap/>
                  </w:tcPr>
                  <w:p>
                    <w:pPr>
                      <w:ind w:firstLine="48"/>
                      <w:jc w:val="right"/>
                      <w:rPr>
                        <w:sz w:val="18"/>
                        <w:szCs w:val="18"/>
                      </w:rPr>
                    </w:pPr>
                    <w:r>
                      <w:rPr>
                        <w:sz w:val="18"/>
                        <w:szCs w:val="18"/>
                      </w:rPr>
                      <w:t>8 894,68 €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Sidabravo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5 247,13 €</w:t>
                    </w:r>
                  </w:p>
                </w:tc>
                <w:tc>
                  <w:tcPr>
                    <w:tcW w:w="1275" w:type="dxa"/>
                    <w:tcBorders>
                      <w:top w:val="nil"/>
                      <w:left w:val="nil"/>
                      <w:bottom w:val="single" w:sz="4" w:space="0" w:color="auto"/>
                      <w:right w:val="nil"/>
                    </w:tcBorders>
                    <w:noWrap/>
                  </w:tcPr>
                  <w:p>
                    <w:pPr>
                      <w:jc w:val="right"/>
                      <w:rPr>
                        <w:sz w:val="18"/>
                        <w:szCs w:val="18"/>
                      </w:rPr>
                    </w:pPr>
                    <w:r>
                      <w:rPr>
                        <w:sz w:val="18"/>
                        <w:szCs w:val="18"/>
                      </w:rPr>
                      <w:t>12 496,06 €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7 248,93 €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Sidabravo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15 642,00 €</w:t>
                    </w:r>
                  </w:p>
                </w:tc>
                <w:tc>
                  <w:tcPr>
                    <w:tcW w:w="1275" w:type="dxa"/>
                    <w:tcBorders>
                      <w:top w:val="nil"/>
                      <w:left w:val="nil"/>
                      <w:bottom w:val="single" w:sz="4" w:space="0" w:color="auto"/>
                      <w:right w:val="nil"/>
                    </w:tcBorders>
                    <w:noWrap/>
                  </w:tcPr>
                  <w:p>
                    <w:pPr>
                      <w:jc w:val="right"/>
                      <w:rPr>
                        <w:sz w:val="18"/>
                        <w:szCs w:val="18"/>
                      </w:rPr>
                    </w:pPr>
                    <w:r>
                      <w:rPr>
                        <w:sz w:val="18"/>
                        <w:szCs w:val="18"/>
                      </w:rPr>
                      <w:t>20 089,34 €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4 447,34 €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Šiaulėnų M. Šikšnio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70 622,34 €</w:t>
                    </w:r>
                  </w:p>
                </w:tc>
                <w:tc>
                  <w:tcPr>
                    <w:tcW w:w="1275" w:type="dxa"/>
                    <w:tcBorders>
                      <w:top w:val="nil"/>
                      <w:left w:val="nil"/>
                      <w:bottom w:val="single" w:sz="4" w:space="0" w:color="auto"/>
                      <w:right w:val="nil"/>
                    </w:tcBorders>
                    <w:noWrap/>
                  </w:tcPr>
                  <w:p>
                    <w:pPr>
                      <w:jc w:val="right"/>
                      <w:rPr>
                        <w:sz w:val="18"/>
                        <w:szCs w:val="18"/>
                      </w:rPr>
                    </w:pPr>
                    <w:r>
                      <w:rPr>
                        <w:sz w:val="18"/>
                        <w:szCs w:val="18"/>
                      </w:rPr>
                      <w:t>72 613,63 €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1 991,29 €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Šiaulėnų M. Šikšnio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22 211,00 €</w:t>
                    </w:r>
                  </w:p>
                </w:tc>
                <w:tc>
                  <w:tcPr>
                    <w:tcW w:w="1275" w:type="dxa"/>
                    <w:tcBorders>
                      <w:top w:val="nil"/>
                      <w:left w:val="nil"/>
                      <w:bottom w:val="single" w:sz="4" w:space="0" w:color="auto"/>
                      <w:right w:val="nil"/>
                    </w:tcBorders>
                    <w:noWrap/>
                  </w:tcPr>
                  <w:p>
                    <w:pPr>
                      <w:jc w:val="right"/>
                      <w:rPr>
                        <w:sz w:val="18"/>
                        <w:szCs w:val="18"/>
                      </w:rPr>
                    </w:pPr>
                    <w:r>
                      <w:rPr>
                        <w:sz w:val="18"/>
                        <w:szCs w:val="18"/>
                      </w:rPr>
                      <w:t>26 658,34 €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4 447,34 €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Alksniupių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5 617,51 €</w:t>
                    </w:r>
                  </w:p>
                </w:tc>
                <w:tc>
                  <w:tcPr>
                    <w:tcW w:w="1275" w:type="dxa"/>
                    <w:tcBorders>
                      <w:top w:val="nil"/>
                      <w:left w:val="nil"/>
                      <w:bottom w:val="single" w:sz="4" w:space="0" w:color="auto"/>
                      <w:right w:val="nil"/>
                    </w:tcBorders>
                    <w:noWrap/>
                  </w:tcPr>
                  <w:p>
                    <w:pPr>
                      <w:jc w:val="right"/>
                      <w:rPr>
                        <w:sz w:val="18"/>
                        <w:szCs w:val="18"/>
                      </w:rPr>
                    </w:pPr>
                    <w:r>
                      <w:rPr>
                        <w:sz w:val="18"/>
                        <w:szCs w:val="18"/>
                      </w:rPr>
                      <w:t>9 919,15 €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4 301,64 €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148 793,19 €</w:t>
                    </w:r>
                  </w:p>
                </w:tc>
                <w:tc>
                  <w:tcPr>
                    <w:tcW w:w="1275" w:type="dxa"/>
                    <w:tcBorders>
                      <w:top w:val="nil"/>
                      <w:left w:val="nil"/>
                      <w:bottom w:val="single" w:sz="4" w:space="0" w:color="auto"/>
                      <w:right w:val="nil"/>
                    </w:tcBorders>
                    <w:noWrap/>
                  </w:tcPr>
                  <w:p>
                    <w:pPr>
                      <w:jc w:val="right"/>
                      <w:rPr>
                        <w:sz w:val="18"/>
                        <w:szCs w:val="18"/>
                      </w:rPr>
                    </w:pPr>
                    <w:r>
                      <w:rPr>
                        <w:sz w:val="18"/>
                        <w:szCs w:val="18"/>
                      </w:rPr>
                      <w:t>149 620,12 €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826,93 €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221 532,33 €</w:t>
                    </w:r>
                  </w:p>
                </w:tc>
                <w:tc>
                  <w:tcPr>
                    <w:tcW w:w="1275" w:type="dxa"/>
                    <w:tcBorders>
                      <w:top w:val="nil"/>
                      <w:left w:val="nil"/>
                      <w:bottom w:val="single" w:sz="4" w:space="0" w:color="auto"/>
                      <w:right w:val="nil"/>
                    </w:tcBorders>
                    <w:noWrap/>
                  </w:tcPr>
                  <w:p>
                    <w:pPr>
                      <w:jc w:val="right"/>
                      <w:rPr>
                        <w:sz w:val="18"/>
                        <w:szCs w:val="18"/>
                      </w:rPr>
                    </w:pPr>
                    <w:r>
                      <w:rPr>
                        <w:sz w:val="18"/>
                        <w:szCs w:val="18"/>
                      </w:rPr>
                      <w:t>223 833,83 €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2 301,50 €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87 424,52 €</w:t>
                    </w:r>
                  </w:p>
                </w:tc>
                <w:tc>
                  <w:tcPr>
                    <w:tcW w:w="1275" w:type="dxa"/>
                    <w:tcBorders>
                      <w:top w:val="nil"/>
                      <w:left w:val="nil"/>
                      <w:bottom w:val="single" w:sz="4" w:space="0" w:color="auto"/>
                      <w:right w:val="nil"/>
                    </w:tcBorders>
                    <w:noWrap/>
                  </w:tcPr>
                  <w:p>
                    <w:pPr>
                      <w:jc w:val="right"/>
                      <w:rPr>
                        <w:sz w:val="18"/>
                        <w:szCs w:val="18"/>
                      </w:rPr>
                    </w:pPr>
                    <w:r>
                      <w:rPr>
                        <w:sz w:val="18"/>
                        <w:szCs w:val="18"/>
                      </w:rPr>
                      <w:t>91 871,86 €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4 447,34 €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lopšelis-darželis „Eglutė“</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1 107,75 €</w:t>
                    </w:r>
                  </w:p>
                </w:tc>
                <w:tc>
                  <w:tcPr>
                    <w:tcW w:w="1275" w:type="dxa"/>
                    <w:tcBorders>
                      <w:top w:val="nil"/>
                      <w:left w:val="nil"/>
                      <w:bottom w:val="single" w:sz="4" w:space="0" w:color="auto"/>
                      <w:right w:val="nil"/>
                    </w:tcBorders>
                    <w:noWrap/>
                  </w:tcPr>
                  <w:p>
                    <w:pPr>
                      <w:jc w:val="right"/>
                      <w:rPr>
                        <w:sz w:val="18"/>
                        <w:szCs w:val="18"/>
                      </w:rPr>
                    </w:pPr>
                    <w:r>
                      <w:rPr>
                        <w:sz w:val="18"/>
                        <w:szCs w:val="18"/>
                      </w:rPr>
                      <w:t>4 187,59 €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3 079,84 €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 xml:space="preserve">Radviliškio lopšelis-darželis  „Kregždutė“</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13 396,64 €</w:t>
                    </w:r>
                  </w:p>
                </w:tc>
                <w:tc>
                  <w:tcPr>
                    <w:tcW w:w="1275" w:type="dxa"/>
                    <w:tcBorders>
                      <w:top w:val="nil"/>
                      <w:left w:val="nil"/>
                      <w:bottom w:val="single" w:sz="4" w:space="0" w:color="auto"/>
                      <w:right w:val="nil"/>
                    </w:tcBorders>
                    <w:noWrap/>
                  </w:tcPr>
                  <w:p>
                    <w:pPr>
                      <w:jc w:val="right"/>
                      <w:rPr>
                        <w:sz w:val="18"/>
                        <w:szCs w:val="18"/>
                      </w:rPr>
                    </w:pPr>
                    <w:r>
                      <w:rPr>
                        <w:sz w:val="18"/>
                        <w:szCs w:val="18"/>
                      </w:rPr>
                      <w:t>24 951,49 €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11 554,85 €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 xml:space="preserve">Radviliškio lopšelis-darželis  „Kregždutė“</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20 256,00 €</w:t>
                    </w:r>
                  </w:p>
                </w:tc>
                <w:tc>
                  <w:tcPr>
                    <w:tcW w:w="1275" w:type="dxa"/>
                    <w:tcBorders>
                      <w:top w:val="nil"/>
                      <w:left w:val="nil"/>
                      <w:bottom w:val="single" w:sz="4" w:space="0" w:color="auto"/>
                      <w:right w:val="nil"/>
                    </w:tcBorders>
                    <w:noWrap/>
                  </w:tcPr>
                  <w:p>
                    <w:pPr>
                      <w:jc w:val="right"/>
                      <w:rPr>
                        <w:sz w:val="18"/>
                        <w:szCs w:val="18"/>
                      </w:rPr>
                    </w:pPr>
                    <w:r>
                      <w:rPr>
                        <w:sz w:val="18"/>
                        <w:szCs w:val="18"/>
                      </w:rPr>
                      <w:t>29 150,68 €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8 894,68 €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 xml:space="preserve">Radviliškio lopšelis-darželis  „Žvaigždutė“</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16 066,15 €</w:t>
                    </w:r>
                  </w:p>
                </w:tc>
                <w:tc>
                  <w:tcPr>
                    <w:tcW w:w="1275" w:type="dxa"/>
                    <w:tcBorders>
                      <w:top w:val="nil"/>
                      <w:left w:val="nil"/>
                      <w:bottom w:val="single" w:sz="4" w:space="0" w:color="auto"/>
                      <w:right w:val="nil"/>
                    </w:tcBorders>
                    <w:noWrap/>
                  </w:tcPr>
                  <w:p>
                    <w:pPr>
                      <w:jc w:val="right"/>
                      <w:rPr>
                        <w:sz w:val="18"/>
                        <w:szCs w:val="18"/>
                      </w:rPr>
                    </w:pPr>
                    <w:r>
                      <w:rPr>
                        <w:sz w:val="18"/>
                        <w:szCs w:val="18"/>
                      </w:rPr>
                      <w:t>22 665,50 €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6 599,35 €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 xml:space="preserve">Radviliškio lopšelis-darželis  „Žvaigždutė“</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47 516,77 €</w:t>
                    </w:r>
                  </w:p>
                </w:tc>
                <w:tc>
                  <w:tcPr>
                    <w:tcW w:w="1275" w:type="dxa"/>
                    <w:tcBorders>
                      <w:top w:val="nil"/>
                      <w:left w:val="nil"/>
                      <w:bottom w:val="single" w:sz="4" w:space="0" w:color="auto"/>
                      <w:right w:val="nil"/>
                    </w:tcBorders>
                    <w:noWrap/>
                  </w:tcPr>
                  <w:p>
                    <w:pPr>
                      <w:jc w:val="right"/>
                      <w:rPr>
                        <w:sz w:val="18"/>
                        <w:szCs w:val="18"/>
                      </w:rPr>
                    </w:pPr>
                    <w:r>
                      <w:rPr>
                        <w:sz w:val="18"/>
                        <w:szCs w:val="18"/>
                      </w:rPr>
                      <w:t>59 773,70 €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12 256,93 €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Baisogalos mokykla-darželis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8 085,76 €</w:t>
                    </w:r>
                  </w:p>
                </w:tc>
                <w:tc>
                  <w:tcPr>
                    <w:tcW w:w="1275" w:type="dxa"/>
                    <w:tcBorders>
                      <w:top w:val="nil"/>
                      <w:left w:val="nil"/>
                      <w:bottom w:val="single" w:sz="4" w:space="0" w:color="auto"/>
                      <w:right w:val="nil"/>
                    </w:tcBorders>
                    <w:noWrap/>
                  </w:tcPr>
                  <w:p>
                    <w:pPr>
                      <w:jc w:val="right"/>
                      <w:rPr>
                        <w:sz w:val="18"/>
                        <w:szCs w:val="18"/>
                      </w:rPr>
                    </w:pPr>
                    <w:r>
                      <w:rPr>
                        <w:sz w:val="18"/>
                        <w:szCs w:val="18"/>
                      </w:rPr>
                      <w:t>20 257,59 €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12 171,83 €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Baisogalos mokykla-darželis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49 977,00 €</w:t>
                    </w:r>
                  </w:p>
                </w:tc>
                <w:tc>
                  <w:tcPr>
                    <w:tcW w:w="1275" w:type="dxa"/>
                    <w:tcBorders>
                      <w:top w:val="nil"/>
                      <w:left w:val="nil"/>
                      <w:bottom w:val="single" w:sz="4" w:space="0" w:color="auto"/>
                      <w:right w:val="nil"/>
                    </w:tcBorders>
                    <w:noWrap/>
                  </w:tcPr>
                  <w:p>
                    <w:pPr>
                      <w:jc w:val="right"/>
                      <w:rPr>
                        <w:sz w:val="18"/>
                        <w:szCs w:val="18"/>
                      </w:rPr>
                    </w:pPr>
                    <w:r>
                      <w:rPr>
                        <w:sz w:val="18"/>
                        <w:szCs w:val="18"/>
                      </w:rPr>
                      <w:t>72 213,27 €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22 236,27 €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Šeduvos lopšelis-darželis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8 139,11 €</w:t>
                    </w:r>
                  </w:p>
                </w:tc>
                <w:tc>
                  <w:tcPr>
                    <w:tcW w:w="1275" w:type="dxa"/>
                    <w:tcBorders>
                      <w:top w:val="nil"/>
                      <w:left w:val="nil"/>
                      <w:bottom w:val="single" w:sz="4" w:space="0" w:color="auto"/>
                      <w:right w:val="nil"/>
                    </w:tcBorders>
                    <w:noWrap/>
                  </w:tcPr>
                  <w:p>
                    <w:pPr>
                      <w:jc w:val="right"/>
                      <w:rPr>
                        <w:sz w:val="18"/>
                        <w:szCs w:val="18"/>
                      </w:rPr>
                    </w:pPr>
                    <w:r>
                      <w:rPr>
                        <w:sz w:val="18"/>
                        <w:szCs w:val="18"/>
                      </w:rPr>
                      <w:t>19 755,43 €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11 616,32 €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Šeduvos lopšelis-darželis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47 614,00 €</w:t>
                    </w:r>
                  </w:p>
                </w:tc>
                <w:tc>
                  <w:tcPr>
                    <w:tcW w:w="1275" w:type="dxa"/>
                    <w:tcBorders>
                      <w:top w:val="nil"/>
                      <w:left w:val="nil"/>
                      <w:bottom w:val="single" w:sz="4" w:space="0" w:color="auto"/>
                      <w:right w:val="nil"/>
                    </w:tcBorders>
                    <w:noWrap/>
                  </w:tcPr>
                  <w:p>
                    <w:pPr>
                      <w:jc w:val="right"/>
                      <w:rPr>
                        <w:sz w:val="18"/>
                        <w:szCs w:val="18"/>
                      </w:rPr>
                    </w:pPr>
                    <w:r>
                      <w:rPr>
                        <w:sz w:val="18"/>
                        <w:szCs w:val="18"/>
                      </w:rPr>
                      <w:t>58 732,35 €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11 118,35 €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administracijos Socialinės paramos skyrius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2 104 332,23 €</w:t>
                    </w:r>
                  </w:p>
                </w:tc>
                <w:tc>
                  <w:tcPr>
                    <w:tcW w:w="1275" w:type="dxa"/>
                    <w:tcBorders>
                      <w:top w:val="nil"/>
                      <w:left w:val="nil"/>
                      <w:bottom w:val="single" w:sz="4" w:space="0" w:color="auto"/>
                      <w:right w:val="nil"/>
                    </w:tcBorders>
                    <w:noWrap/>
                  </w:tcPr>
                  <w:p>
                    <w:pPr>
                      <w:jc w:val="right"/>
                      <w:rPr>
                        <w:sz w:val="18"/>
                        <w:szCs w:val="18"/>
                      </w:rPr>
                    </w:pPr>
                    <w:r>
                      <w:rPr>
                        <w:sz w:val="18"/>
                        <w:szCs w:val="18"/>
                      </w:rPr>
                      <w:t>2 684332,23 €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580 000,00 €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administracijos Socialinės paramos skyrius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5 951 600,00 €</w:t>
                    </w:r>
                  </w:p>
                </w:tc>
                <w:tc>
                  <w:tcPr>
                    <w:tcW w:w="1275" w:type="dxa"/>
                    <w:tcBorders>
                      <w:top w:val="nil"/>
                      <w:left w:val="nil"/>
                      <w:bottom w:val="single" w:sz="4" w:space="0" w:color="auto"/>
                      <w:right w:val="nil"/>
                    </w:tcBorders>
                    <w:noWrap/>
                  </w:tcPr>
                  <w:p>
                    <w:pPr>
                      <w:jc w:val="right"/>
                      <w:rPr>
                        <w:sz w:val="18"/>
                        <w:szCs w:val="18"/>
                      </w:rPr>
                    </w:pPr>
                    <w:r>
                      <w:rPr>
                        <w:sz w:val="18"/>
                        <w:szCs w:val="18"/>
                      </w:rPr>
                      <w:t>6 151600,00 €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200 000,00 €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Šeduvos globos namai</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 xml:space="preserve">SB  SP</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678 000,00 €</w:t>
                    </w:r>
                  </w:p>
                </w:tc>
                <w:tc>
                  <w:tcPr>
                    <w:tcW w:w="1275" w:type="dxa"/>
                    <w:tcBorders>
                      <w:top w:val="nil"/>
                      <w:left w:val="nil"/>
                      <w:bottom w:val="single" w:sz="4" w:space="0" w:color="auto"/>
                      <w:right w:val="nil"/>
                    </w:tcBorders>
                    <w:noWrap/>
                  </w:tcPr>
                  <w:p>
                    <w:pPr>
                      <w:jc w:val="right"/>
                      <w:rPr>
                        <w:sz w:val="18"/>
                        <w:szCs w:val="18"/>
                      </w:rPr>
                    </w:pPr>
                    <w:r>
                      <w:rPr>
                        <w:sz w:val="18"/>
                        <w:szCs w:val="18"/>
                      </w:rPr>
                      <w:t>728 000,00 €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50 000,00 €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Šeduvos globos namai</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 xml:space="preserve">SB  LIK</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0,00 €</w:t>
                    </w:r>
                  </w:p>
                </w:tc>
                <w:tc>
                  <w:tcPr>
                    <w:tcW w:w="1275" w:type="dxa"/>
                    <w:tcBorders>
                      <w:top w:val="nil"/>
                      <w:left w:val="nil"/>
                      <w:bottom w:val="single" w:sz="4" w:space="0" w:color="auto"/>
                      <w:right w:val="nil"/>
                    </w:tcBorders>
                    <w:noWrap/>
                  </w:tcPr>
                  <w:p>
                    <w:pPr>
                      <w:jc w:val="center"/>
                      <w:rPr>
                        <w:sz w:val="18"/>
                        <w:szCs w:val="18"/>
                      </w:rPr>
                    </w:pPr>
                    <w:r>
                      <w:rPr>
                        <w:sz w:val="18"/>
                        <w:szCs w:val="18"/>
                      </w:rPr>
                      <w:t>18 000,00 €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18 000,00 €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socialinių paslaugų centras</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1 585 130,70 €</w:t>
                    </w:r>
                  </w:p>
                </w:tc>
                <w:tc>
                  <w:tcPr>
                    <w:tcW w:w="1275" w:type="dxa"/>
                    <w:tcBorders>
                      <w:top w:val="nil"/>
                      <w:left w:val="nil"/>
                      <w:bottom w:val="single" w:sz="4" w:space="0" w:color="auto"/>
                      <w:right w:val="nil"/>
                    </w:tcBorders>
                    <w:noWrap/>
                  </w:tcPr>
                  <w:p>
                    <w:pPr>
                      <w:jc w:val="center"/>
                      <w:rPr>
                        <w:sz w:val="18"/>
                        <w:szCs w:val="18"/>
                      </w:rPr>
                    </w:pPr>
                    <w:r>
                      <w:rPr>
                        <w:sz w:val="18"/>
                        <w:szCs w:val="18"/>
                      </w:rPr>
                      <w:t>1 580030,70 €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-5 100,00 €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socialinių paslaugų centras</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1 765 000,00 €</w:t>
                    </w:r>
                  </w:p>
                </w:tc>
                <w:tc>
                  <w:tcPr>
                    <w:tcW w:w="1275" w:type="dxa"/>
                    <w:tcBorders>
                      <w:top w:val="nil"/>
                      <w:left w:val="nil"/>
                      <w:bottom w:val="single" w:sz="4" w:space="0" w:color="auto"/>
                      <w:right w:val="nil"/>
                    </w:tcBorders>
                    <w:noWrap/>
                  </w:tcPr>
                  <w:p>
                    <w:pPr>
                      <w:jc w:val="center"/>
                      <w:rPr>
                        <w:sz w:val="18"/>
                        <w:szCs w:val="18"/>
                      </w:rPr>
                    </w:pPr>
                    <w:r>
                      <w:rPr>
                        <w:sz w:val="18"/>
                        <w:szCs w:val="18"/>
                      </w:rPr>
                      <w:t>1 815000,00 €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50 000,00 €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 LIK</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104 907,23 €</w:t>
                    </w:r>
                  </w:p>
                </w:tc>
                <w:tc>
                  <w:tcPr>
                    <w:tcW w:w="1275" w:type="dxa"/>
                    <w:tcBorders>
                      <w:top w:val="nil"/>
                      <w:left w:val="nil"/>
                      <w:bottom w:val="single" w:sz="4" w:space="0" w:color="auto"/>
                      <w:right w:val="nil"/>
                    </w:tcBorders>
                    <w:noWrap/>
                  </w:tcPr>
                  <w:p>
                    <w:pPr>
                      <w:jc w:val="center"/>
                      <w:rPr>
                        <w:sz w:val="18"/>
                        <w:szCs w:val="18"/>
                      </w:rPr>
                    </w:pPr>
                    <w:r>
                      <w:rPr>
                        <w:sz w:val="18"/>
                        <w:szCs w:val="18"/>
                      </w:rPr>
                      <w:t>320 714,23 €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215 807,00 €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04</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Rajono savivaldybės infrastruktūros objektų modernizavimo ir plėtros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 LIK</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159 127,64 €</w:t>
                    </w:r>
                  </w:p>
                </w:tc>
                <w:tc>
                  <w:tcPr>
                    <w:tcW w:w="1275" w:type="dxa"/>
                    <w:tcBorders>
                      <w:top w:val="nil"/>
                      <w:left w:val="nil"/>
                      <w:bottom w:val="single" w:sz="4" w:space="0" w:color="auto"/>
                      <w:right w:val="nil"/>
                    </w:tcBorders>
                    <w:noWrap/>
                  </w:tcPr>
                  <w:p>
                    <w:pPr>
                      <w:jc w:val="center"/>
                      <w:rPr>
                        <w:sz w:val="18"/>
                        <w:szCs w:val="18"/>
                      </w:rPr>
                    </w:pPr>
                    <w:r>
                      <w:rPr>
                        <w:sz w:val="18"/>
                        <w:szCs w:val="18"/>
                      </w:rPr>
                      <w:t>173 127,64 €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14 000,00 €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04</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Rajono savivaldybės infrastruktūros objektų modernizavimo ir plėtros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 xml:space="preserve">VB </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2 211 974,00 €</w:t>
                    </w:r>
                  </w:p>
                </w:tc>
                <w:tc>
                  <w:tcPr>
                    <w:tcW w:w="1275" w:type="dxa"/>
                    <w:tcBorders>
                      <w:top w:val="nil"/>
                      <w:left w:val="nil"/>
                      <w:bottom w:val="single" w:sz="4" w:space="0" w:color="auto"/>
                      <w:right w:val="nil"/>
                    </w:tcBorders>
                    <w:noWrap/>
                  </w:tcPr>
                  <w:p>
                    <w:pPr>
                      <w:jc w:val="center"/>
                      <w:rPr>
                        <w:sz w:val="18"/>
                        <w:szCs w:val="18"/>
                      </w:rPr>
                    </w:pPr>
                    <w:r>
                      <w:rPr>
                        <w:sz w:val="18"/>
                        <w:szCs w:val="18"/>
                      </w:rPr>
                      <w:t>2 331974,00 €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120 000,00 €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04</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Rajono savivaldybės infrastruktūros objektų modernizavimo ir plėtros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savivaldybės administracijos Investicijų ir turto valdymo skyrius</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 LIK</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1 367 180,00 €</w:t>
                    </w:r>
                  </w:p>
                </w:tc>
                <w:tc>
                  <w:tcPr>
                    <w:tcW w:w="1275" w:type="dxa"/>
                    <w:tcBorders>
                      <w:top w:val="nil"/>
                      <w:left w:val="nil"/>
                      <w:bottom w:val="single" w:sz="4" w:space="0" w:color="auto"/>
                      <w:right w:val="nil"/>
                    </w:tcBorders>
                    <w:noWrap/>
                  </w:tcPr>
                  <w:p>
                    <w:pPr>
                      <w:jc w:val="center"/>
                      <w:rPr>
                        <w:sz w:val="18"/>
                        <w:szCs w:val="18"/>
                      </w:rPr>
                    </w:pPr>
                    <w:r>
                      <w:rPr>
                        <w:sz w:val="18"/>
                        <w:szCs w:val="18"/>
                      </w:rPr>
                      <w:t>1 119373,00 €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-247 807,00 €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Gyventojų turiningo laisvalaikio užtikrinimo, bendruomeniškumo ir veiklumo skatinimo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517 640,00 €</w:t>
                    </w:r>
                  </w:p>
                </w:tc>
                <w:tc>
                  <w:tcPr>
                    <w:tcW w:w="1275" w:type="dxa"/>
                    <w:tcBorders>
                      <w:top w:val="nil"/>
                      <w:left w:val="nil"/>
                      <w:bottom w:val="single" w:sz="4" w:space="0" w:color="auto"/>
                      <w:right w:val="nil"/>
                    </w:tcBorders>
                    <w:noWrap/>
                  </w:tcPr>
                  <w:p>
                    <w:pPr>
                      <w:jc w:val="center"/>
                      <w:rPr>
                        <w:sz w:val="18"/>
                        <w:szCs w:val="18"/>
                      </w:rPr>
                    </w:pPr>
                    <w:r>
                      <w:rPr>
                        <w:sz w:val="18"/>
                        <w:szCs w:val="18"/>
                      </w:rPr>
                      <w:t>512 480,00 €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-5 160,00 €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Gyventojų turiningo laisvalaikio užtikrinimo, bendruomeniškumo ir veiklumo skatinimo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 xml:space="preserve">Radviliškio r.  Baisogalos kultūros centras</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486 319,00 €</w:t>
                    </w:r>
                  </w:p>
                </w:tc>
                <w:tc>
                  <w:tcPr>
                    <w:tcW w:w="1275" w:type="dxa"/>
                    <w:tcBorders>
                      <w:top w:val="nil"/>
                      <w:left w:val="nil"/>
                      <w:bottom w:val="single" w:sz="4" w:space="0" w:color="auto"/>
                      <w:right w:val="nil"/>
                    </w:tcBorders>
                    <w:noWrap/>
                  </w:tcPr>
                  <w:p>
                    <w:pPr>
                      <w:jc w:val="center"/>
                      <w:rPr>
                        <w:sz w:val="18"/>
                        <w:szCs w:val="18"/>
                      </w:rPr>
                    </w:pPr>
                    <w:r>
                      <w:rPr>
                        <w:sz w:val="18"/>
                        <w:szCs w:val="18"/>
                      </w:rPr>
                      <w:t>491 479,00 €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5 160,00 €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Gyventojų turiningo laisvalaikio užtikrinimo, bendruomeniškumo ir veiklumo skatinimo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etninės kultūros ir amatų centras</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281 541,00 €</w:t>
                    </w:r>
                  </w:p>
                </w:tc>
                <w:tc>
                  <w:tcPr>
                    <w:tcW w:w="1275" w:type="dxa"/>
                    <w:tcBorders>
                      <w:top w:val="nil"/>
                      <w:left w:val="nil"/>
                      <w:bottom w:val="single" w:sz="4" w:space="0" w:color="auto"/>
                      <w:right w:val="nil"/>
                    </w:tcBorders>
                    <w:noWrap/>
                  </w:tcPr>
                  <w:p>
                    <w:pPr>
                      <w:jc w:val="center"/>
                      <w:rPr>
                        <w:sz w:val="18"/>
                        <w:szCs w:val="18"/>
                      </w:rPr>
                    </w:pPr>
                    <w:r>
                      <w:rPr>
                        <w:sz w:val="18"/>
                        <w:szCs w:val="18"/>
                      </w:rPr>
                      <w:t>155 879,04 €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-125 661,96 €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Gyventojų turiningo laisvalaikio užtikrinimo, bendruomeniškumo ir veiklumo skatinimo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etninės kultūros ir amatų centras</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 xml:space="preserve">SB  SP</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15 000,00 €</w:t>
                    </w:r>
                  </w:p>
                </w:tc>
                <w:tc>
                  <w:tcPr>
                    <w:tcW w:w="1275" w:type="dxa"/>
                    <w:tcBorders>
                      <w:top w:val="nil"/>
                      <w:left w:val="nil"/>
                      <w:bottom w:val="single" w:sz="4" w:space="0" w:color="auto"/>
                      <w:right w:val="nil"/>
                    </w:tcBorders>
                    <w:noWrap/>
                  </w:tcPr>
                  <w:p>
                    <w:pPr>
                      <w:jc w:val="center"/>
                      <w:rPr>
                        <w:sz w:val="18"/>
                        <w:szCs w:val="18"/>
                      </w:rPr>
                    </w:pPr>
                    <w:r>
                      <w:rPr>
                        <w:sz w:val="18"/>
                        <w:szCs w:val="18"/>
                      </w:rPr>
                      <w:t>2556,09 €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-12 443,91 €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Gyventojų turiningo laisvalaikio užtikrinimo, bendruomeniškumo ir veiklumo skatinimo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miesto kultūros centras</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1 418 926,00 €</w:t>
                    </w:r>
                  </w:p>
                </w:tc>
                <w:tc>
                  <w:tcPr>
                    <w:tcW w:w="1275" w:type="dxa"/>
                    <w:tcBorders>
                      <w:top w:val="nil"/>
                      <w:left w:val="nil"/>
                      <w:bottom w:val="single" w:sz="4" w:space="0" w:color="auto"/>
                      <w:right w:val="nil"/>
                    </w:tcBorders>
                    <w:noWrap/>
                  </w:tcPr>
                  <w:p>
                    <w:pPr>
                      <w:jc w:val="center"/>
                      <w:rPr>
                        <w:sz w:val="18"/>
                        <w:szCs w:val="18"/>
                      </w:rPr>
                    </w:pPr>
                    <w:r>
                      <w:rPr>
                        <w:sz w:val="18"/>
                        <w:szCs w:val="18"/>
                      </w:rPr>
                      <w:t>1 536637,96 €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117 711,96 €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Gyventojų turiningo laisvalaikio užtikrinimo, bendruomeniškumo ir veiklumo skatinimo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miesto kultūros centras</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 SP</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50 000,00€</w:t>
                    </w:r>
                  </w:p>
                </w:tc>
                <w:tc>
                  <w:tcPr>
                    <w:tcW w:w="1275" w:type="dxa"/>
                    <w:tcBorders>
                      <w:top w:val="nil"/>
                      <w:left w:val="nil"/>
                      <w:bottom w:val="single" w:sz="4" w:space="0" w:color="auto"/>
                      <w:right w:val="nil"/>
                    </w:tcBorders>
                    <w:noWrap/>
                  </w:tcPr>
                  <w:p>
                    <w:pPr>
                      <w:jc w:val="center"/>
                      <w:rPr>
                        <w:sz w:val="18"/>
                        <w:szCs w:val="18"/>
                      </w:rPr>
                    </w:pPr>
                    <w:r>
                      <w:rPr>
                        <w:sz w:val="18"/>
                        <w:szCs w:val="18"/>
                      </w:rPr>
                      <w:t>62 443,91 €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12 443,91 €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Gyventojų turiningo laisvalaikio užtikrinimo, bendruomeniškumo ir veiklumo skatinimo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Šeduvos kultūros ir amatų centras</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550 883,00 €</w:t>
                    </w:r>
                  </w:p>
                </w:tc>
                <w:tc>
                  <w:tcPr>
                    <w:tcW w:w="1275" w:type="dxa"/>
                    <w:tcBorders>
                      <w:top w:val="nil"/>
                      <w:left w:val="nil"/>
                      <w:bottom w:val="single" w:sz="4" w:space="0" w:color="auto"/>
                      <w:right w:val="nil"/>
                    </w:tcBorders>
                    <w:noWrap/>
                  </w:tcPr>
                  <w:p>
                    <w:pPr>
                      <w:jc w:val="center"/>
                      <w:rPr>
                        <w:sz w:val="18"/>
                        <w:szCs w:val="18"/>
                      </w:rPr>
                    </w:pPr>
                    <w:r>
                      <w:rPr>
                        <w:sz w:val="18"/>
                        <w:szCs w:val="18"/>
                      </w:rPr>
                      <w:t>558 833,00 €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7 950,00 €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Gyventojų turiningo laisvalaikio užtikrinimo, bendruomeniškumo ir veiklumo skatinimo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savivaldybės viešoji biblioteka</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 SP</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4 000,00 €</w:t>
                    </w:r>
                  </w:p>
                </w:tc>
                <w:tc>
                  <w:tcPr>
                    <w:tcW w:w="1275" w:type="dxa"/>
                    <w:tcBorders>
                      <w:top w:val="nil"/>
                      <w:left w:val="nil"/>
                      <w:bottom w:val="single" w:sz="4" w:space="0" w:color="auto"/>
                      <w:right w:val="nil"/>
                    </w:tcBorders>
                    <w:noWrap/>
                  </w:tcPr>
                  <w:p>
                    <w:pPr>
                      <w:jc w:val="center"/>
                      <w:rPr>
                        <w:sz w:val="18"/>
                        <w:szCs w:val="18"/>
                      </w:rPr>
                    </w:pPr>
                    <w:r>
                      <w:rPr>
                        <w:sz w:val="18"/>
                        <w:szCs w:val="18"/>
                      </w:rPr>
                      <w:t>6 500,00 €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2 500,00 €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06</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Saugios, švarios ir patogios aplinkos užtikrinimo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 xml:space="preserve">SB </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3 989 383,00 €</w:t>
                    </w:r>
                  </w:p>
                </w:tc>
                <w:tc>
                  <w:tcPr>
                    <w:tcW w:w="1275" w:type="dxa"/>
                    <w:tcBorders>
                      <w:top w:val="nil"/>
                      <w:left w:val="nil"/>
                      <w:bottom w:val="single" w:sz="4" w:space="0" w:color="auto"/>
                      <w:right w:val="nil"/>
                    </w:tcBorders>
                    <w:noWrap/>
                  </w:tcPr>
                  <w:p>
                    <w:pPr>
                      <w:jc w:val="center"/>
                      <w:rPr>
                        <w:sz w:val="18"/>
                        <w:szCs w:val="18"/>
                      </w:rPr>
                    </w:pPr>
                    <w:r>
                      <w:rPr>
                        <w:sz w:val="18"/>
                        <w:szCs w:val="18"/>
                      </w:rPr>
                      <w:t>4 019383,00 €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30 000,00 €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06</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Saugios, švarios ir patogios aplinkos užtikrinimo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visuomenės sveikatos biuras</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 SP</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8000,00 €</w:t>
                    </w:r>
                  </w:p>
                </w:tc>
                <w:tc>
                  <w:tcPr>
                    <w:tcW w:w="1275" w:type="dxa"/>
                    <w:tcBorders>
                      <w:top w:val="nil"/>
                      <w:left w:val="nil"/>
                      <w:bottom w:val="single" w:sz="4" w:space="0" w:color="auto"/>
                      <w:right w:val="nil"/>
                    </w:tcBorders>
                    <w:noWrap/>
                  </w:tcPr>
                  <w:p>
                    <w:pPr>
                      <w:jc w:val="center"/>
                      <w:rPr>
                        <w:sz w:val="18"/>
                        <w:szCs w:val="18"/>
                      </w:rPr>
                    </w:pPr>
                    <w:r>
                      <w:rPr>
                        <w:sz w:val="18"/>
                        <w:szCs w:val="18"/>
                      </w:rPr>
                      <w:t>10 000,00 €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2 000,00 €</w:t>
                    </w:r>
                  </w:p>
                </w:tc>
              </w:tr>
            </w:tbl>
            <w:p/>
          </w:sdtContent>
        </w:sdt>
        <w:sdt>
          <w:sdtPr>
            <w:alias w:val="signatura"/>
            <w:tag w:val="part_3ba75b1d6b034a2da51c282b12a5c171"/>
            <w:lock w:val="sdtLocked"/>
            <w:richText/>
          </w:sdtPr>
          <w:sdtContent>
            <w:p>
              <w:pPr>
                <w:spacing w:line="254" w:lineRule="auto"/>
                <w:ind w:firstLine="4101"/>
                <w:rPr>
                  <w:szCs w:val="24"/>
                </w:rPr>
              </w:pPr>
              <w:r>
                <w:rPr>
                  <w:color w:val="000000"/>
                  <w:sz w:val="20"/>
                </w:rPr>
                <w:t xml:space="preserve">Iš viso                                                                                1 125 198,89 €             </w:t>
                <w:tab/>
                <w:t xml:space="preserve">    </w:t>
              </w:r>
              <w:r>
                <w:rPr>
                  <w:szCs w:val="24"/>
                </w:rPr>
                <w:t xml:space="preserve">         </w:t>
              </w:r>
            </w:p>
            <w:p>
              <w:pPr>
                <w:spacing w:line="254" w:lineRule="auto"/>
                <w:jc w:val="both"/>
                <w:rPr>
                  <w:szCs w:val="24"/>
                </w:rPr>
              </w:pPr>
            </w:p>
            <w:p>
              <w:pPr>
                <w:spacing w:line="254" w:lineRule="auto"/>
                <w:jc w:val="both"/>
                <w:rPr>
                  <w:szCs w:val="24"/>
                </w:rPr>
              </w:pPr>
            </w:p>
            <w:p>
              <w:pPr>
                <w:spacing w:line="254" w:lineRule="auto"/>
                <w:jc w:val="both"/>
                <w:rPr>
                  <w:szCs w:val="24"/>
                </w:rPr>
              </w:pPr>
              <w:r>
                <w:rPr>
                  <w:szCs w:val="24"/>
                </w:rPr>
                <w:t xml:space="preserve">Finansų skyriaus vedėja                                                                                               Lina Baškevičienė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F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DAEE92-205F-4997-9452-25FB864AEFE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5208132">
      <w:bodyDiv w:val="1"/>
      <w:marLeft w:val="0"/>
      <w:marRight w:val="0"/>
      <w:marTop w:val="0"/>
      <w:marBottom w:val="0"/>
      <w:divBdr>
        <w:top w:val="none" w:sz="0" w:space="0" w:color="auto"/>
        <w:left w:val="none" w:sz="0" w:space="0" w:color="auto"/>
        <w:bottom w:val="none" w:sz="0" w:space="0" w:color="auto"/>
        <w:right w:val="none" w:sz="0" w:space="0" w:color="auto"/>
      </w:divBdr>
    </w:div>
    <w:div w:id="241329871">
      <w:bodyDiv w:val="1"/>
      <w:marLeft w:val="0"/>
      <w:marRight w:val="0"/>
      <w:marTop w:val="0"/>
      <w:marBottom w:val="0"/>
      <w:divBdr>
        <w:top w:val="none" w:sz="0" w:space="0" w:color="auto"/>
        <w:left w:val="none" w:sz="0" w:space="0" w:color="auto"/>
        <w:bottom w:val="none" w:sz="0" w:space="0" w:color="auto"/>
        <w:right w:val="none" w:sz="0" w:space="0" w:color="auto"/>
      </w:divBdr>
    </w:div>
    <w:div w:id="759833817">
      <w:bodyDiv w:val="1"/>
      <w:marLeft w:val="0"/>
      <w:marRight w:val="0"/>
      <w:marTop w:val="0"/>
      <w:marBottom w:val="0"/>
      <w:divBdr>
        <w:top w:val="none" w:sz="0" w:space="0" w:color="auto"/>
        <w:left w:val="none" w:sz="0" w:space="0" w:color="auto"/>
        <w:bottom w:val="none" w:sz="0" w:space="0" w:color="auto"/>
        <w:right w:val="none" w:sz="0" w:space="0" w:color="auto"/>
      </w:divBdr>
    </w:div>
    <w:div w:id="858547446">
      <w:bodyDiv w:val="1"/>
      <w:marLeft w:val="0"/>
      <w:marRight w:val="0"/>
      <w:marTop w:val="0"/>
      <w:marBottom w:val="0"/>
      <w:divBdr>
        <w:top w:val="none" w:sz="0" w:space="0" w:color="auto"/>
        <w:left w:val="none" w:sz="0" w:space="0" w:color="auto"/>
        <w:bottom w:val="none" w:sz="0" w:space="0" w:color="auto"/>
        <w:right w:val="none" w:sz="0" w:space="0" w:color="auto"/>
      </w:divBdr>
    </w:div>
    <w:div w:id="1600485108">
      <w:bodyDiv w:val="1"/>
      <w:marLeft w:val="0"/>
      <w:marRight w:val="0"/>
      <w:marTop w:val="0"/>
      <w:marBottom w:val="0"/>
      <w:divBdr>
        <w:top w:val="none" w:sz="0" w:space="0" w:color="auto"/>
        <w:left w:val="none" w:sz="0" w:space="0" w:color="auto"/>
        <w:bottom w:val="none" w:sz="0" w:space="0" w:color="auto"/>
        <w:right w:val="none" w:sz="0" w:space="0" w:color="auto"/>
      </w:divBdr>
    </w:div>
    <w:div w:id="1784183314">
      <w:bodyDiv w:val="1"/>
      <w:marLeft w:val="0"/>
      <w:marRight w:val="0"/>
      <w:marTop w:val="0"/>
      <w:marBottom w:val="0"/>
      <w:divBdr>
        <w:top w:val="none" w:sz="0" w:space="0" w:color="auto"/>
        <w:left w:val="none" w:sz="0" w:space="0" w:color="auto"/>
        <w:bottom w:val="none" w:sz="0" w:space="0" w:color="auto"/>
        <w:right w:val="none" w:sz="0" w:space="0" w:color="auto"/>
      </w:divBdr>
    </w:div>
    <w:div w:id="1933926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AB41E7C-CEB2-4723-947A-5145BDD630EE}">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80c64f45dde46e381afc6b5d5e421dd" PartId="d2c71fcbaf854b8ba82f33262b44db20">
    <Part Type="preambule" DocPartId="7b1717fa93b34e84bfc45a31cf5fa5b2" PartId="792a3c5d953746508034c32f3f2e4924"/>
    <Part Type="punktas" Nr="1" Abbr="1 p." DocPartId="259d0d8687f14949a591322da1c403f5" PartId="efb37a8dd4914c3c88c18084c0d3d10a">
      <Part Type="papunktis" Nr="1.1" Abbr="1.1 pp." DocPartId="12d3e289eaa24248a382ddeff23f040e" PartId="ed9646f852a04dc8aaf10ec28ffa370e">
        <Part Type="citata" DocPartId="7d9a78aadc9544ea9eda10ed0c2bd13d" PartId="b0866e6af9394d0090117260f3e74e9b">
          <Part Type="papunktis" Nr="1.1" Abbr="1.1 pp." DocPartId="63a6174bd21244f881fedb895acb36d3" PartId="85cbd33007af44679cde704080eeb8a7"/>
        </Part>
      </Part>
      <Part Type="papunktis" Nr="1.2" Abbr="1.2 pp." DocPartId="bd90cb329d2a4c6cb03526d35a372025" PartId="6027f6338d09473c9915a22d206f6f63">
        <Part Type="citata" DocPartId="f1069243744f48af87a57de58f47ea90" PartId="581af9e297874002b6b9976abf5d8c46">
          <Part Type="papunktis" Nr="1.2" Abbr="1.2 pp." DocPartId="6b5daa8ae04b4999a5ddcd67ee59e4d6" PartId="f6341392a90f4be3a1c559c9bf3c2758"/>
        </Part>
      </Part>
      <Part Type="papunktis" Nr="1.3" Abbr="1.3 pp." DocPartId="d33d787beb994753ae91d788608ee1c7" PartId="26786cbfb8fd48af925a92a4bebb882f"/>
    </Part>
    <Part Type="skirsnis" Title="RADVILIŠKIO RAJONO SAVIVALDYBĖS TARYBOS SPRENDIMO PROJEKTO „DĖL RADVILIŠKIO RAJONO SAVIVALDYBĖS TARYBOS 2025 M. VASARIO 13 D. SPRENDIMO NR. T-557 „DĖL RADVILIŠKIO RAJONO SAVIVALDYBĖS 2025–2027 METŲ BIUDŽETO PATVIRTINIMO“ PAKEITIMO“ AIŠKINAMASIS RAŠTAS" DocPartId="1b689c393ba143cc9d3545bd4412343b" PartId="7e1a28542d52409297fddc52e14792b4">
      <Part Type="punktas" Nr="1" Abbr="1 p." DocPartId="bf4fa820c956412198270ee5e8c86162" PartId="83952a697c3042719f95529b93bf7ad5"/>
      <Part Type="punktas" Nr="2" Abbr="2 p." DocPartId="fdcb7606a35c4f81b166307462cbb5eb" PartId="45794ed0e4164500b747abf644f5c078"/>
      <Part Type="punktas" Nr="3" Abbr="3 p." DocPartId="1f9b4bbe87fa4230b4ce67269bb2f196" PartId="b12881b707ff4a6abef2a6ac2ceadf3a"/>
      <Part Type="punktas" Nr="4" Abbr="4 p." DocPartId="3710651113d04a39b741358247ecf0e7" PartId="d44ac682f0774e85ad7d66a77ada30dc"/>
      <Part Type="punktas" Nr="5" Abbr="5 p." DocPartId="be38f695f8b749cea819257dfeb36195" PartId="1cb393dfe99649019a2a4c3ed8940b91"/>
      <Part Type="punktas" Nr="6" Abbr="6 p." DocPartId="319616315ee14f5ab3cf6ae78ef7d80b" PartId="b9cb26bbe50f44959297380c706980d5"/>
      <Part Type="punktas" Nr="7" Abbr="7 p." DocPartId="7eed31319cbc4e8ba869f4c31d559c67" PartId="116c92c90a5d472b922e46a3d9e4a202"/>
      <Part Type="punktas" Nr="8" Abbr="8 p." DocPartId="090d4946a6364f17b84fcd0b1ec2948a" PartId="aed7aa517a2f45659a00af751fcc8c3d"/>
      <Part Type="punktas" Nr="9" Abbr="9 p." DocPartId="c1d8bc09b6e744b1838b069c4d2fd37c" PartId="4645b590a21b48769405668541020587"/>
      <Part Type="punktas" Nr="10" Abbr="10 p." DocPartId="9f298aa93f0c4f21933f1552da2675c1" PartId="d39d47aeb49945828b769fa00aa9a857"/>
      <Part Type="punktas" Nr="11" Abbr="11 p." DocPartId="985273fa80db4e0b92317c6857616385" PartId="a5b87830c0a74ae59a8ef2d91f1b4a0d"/>
      <Part Type="punktas" Nr="1" Abbr="1 p." Notes="Numeris ne iš eilės. Trūksta dalių? [DocDalys]" DocPartId="8d43236ec8e448e09ed3bf33ed8524f9" PartId="d38dbfb909ff4abf87047f6e6bc7576c">
        <Part Type="papunktis" Nr="1.1" Abbr="1.1 pp." Notes="Numeris ne iš eilės. Trūksta dalių? [DocDalys]" DocPartId="d6c543b69b16401bad26cdbf598e6e8b" PartId="7cf50e86333c4e8db10ed2cf20fa5e47"/>
        <Part Type="papunktis" Nr="1.2" Abbr="1.2 pp." DocPartId="9b5356dba1b44a2e8171b963a9545982" PartId="f543213f8b5b41d38320e6468f85303c"/>
        <Part Type="papunktis" Nr="1.3" Abbr="1.3 pp." DocPartId="43469f36e8c34441ac38206c4eb767b7" PartId="4950d19ad64b4df0866cb81c9f951bb4"/>
        <Part Type="papunktis" Nr="1.4" Abbr="1.4 pp." DocPartId="4508087aca8c4985a2db3b986a5cd2bb" PartId="5775689edf724269bdee3e8041b62ff1"/>
        <Part Type="papunktis" Nr="1.5" Abbr="1.5 pp." DocPartId="553a1aeea0d44dcc93cad00ff21f0893" PartId="dd2bfe02de8243799b05d305e701a603"/>
        <Part Type="papunktis" Nr="1.6" Abbr="1.6 pp." DocPartId="f14f152717fe49e5b6ebcb3acfd6451e" PartId="e6a570d6e48c4083b9977a1900f1722c"/>
        <Part Type="papunktis" Nr="1.7" Abbr="1.7 pp." DocPartId="5280e81c79d644af85e97cdd63af994c" PartId="74ce97cd634e423c842ba32d06ec00e5"/>
      </Part>
      <Part Type="punktas" Nr="2" Abbr="2 p." DocPartId="172f88259cca4626a4c43de08e800302" PartId="3eb3bd47f83143f6abed31ee19fa6f82">
        <Part Type="papunktis" Nr="2.1" Abbr="2.1 pp." DocPartId="50f917948e5d42c285db990c26ac7115" PartId="c70a1a9f1bc6450a90821018bd77ee76"/>
        <Part Type="papunktis" Nr="2.2" Abbr="2.2 pp." DocPartId="29bb3c5677c6467e8d0568127e3d0065" PartId="2a43b048974d4ad3b500ed07ae3dd8f1"/>
      </Part>
      <Part Type="punktas" Nr="3" Abbr="3 p." DocPartId="eb814e2cbc1842d4995d2efe8fa2f8e8" PartId="65c4e91183a24abea56d2dea398c7bbc">
        <Part Type="papunktis" Nr="3.1" Abbr="3.1 pp." DocPartId="914aa0d246db4c7ea03c9445726706d0" PartId="6c3c7382a36e4f4c9f5e78949ce0b708">
          <Part Type="papunktis" Nr="3.1.1" Abbr="3.1.1 pp." DocPartId="2e06145010e84c70879d9eea49568d86" PartId="bd6c07cac4a947bb9f9c1163986612b6"/>
          <Part Type="papunktis" Nr="3.1.2" Abbr="3.1.2 pp." DocPartId="58d92a08f384497fbc13882094532fcf" PartId="35edb696022444afb49cc82f4fb4dc16"/>
        </Part>
        <Part Type="papunktis" Nr="3.2" Abbr="3.2 pp." DocPartId="c1fb6eb8efc44e5cbf377c4e2eedfb0c" PartId="8798603aeae44c87a5c60ec16af1fb24">
          <Part Type="papunktis" Nr="3.2.1" Abbr="3.2.1 pp." DocPartId="00b5f6bf545342c2a4e3aca2d28bc0e7" PartId="7715ded2b219417b8c0507a9c75fb599"/>
          <Part Type="papunktis" Nr="3.2.2" Abbr="3.2.2 pp." DocPartId="faab4a2410b54742a42eceab3b1ea329" PartId="ffc13e988c83464383a31210a94eaf82"/>
        </Part>
        <Part Type="papunktis" Nr="3.3" Abbr="3.3 pp." DocPartId="db68a46bc32441bfb8cf46ce5997780b" PartId="0def47fd6c2041b5a38a37860f526d32"/>
        <Part Type="papunktis" Nr="3.4" Abbr="3.4 pp." DocPartId="da785f914b254a2fa2928e25e7989da5" PartId="496b5ffcad8c4662a5246b4c18e830d1"/>
        <Part Type="papunktis" Nr="3.5" Abbr="3.5 pp." DocPartId="e7b036957801432ebc1bab9ced410f6f" PartId="868b787c5d0e49fe824743a0ad5f8490"/>
        <Part Type="papunktis" Nr="3.6" Abbr="3.6 pp." DocPartId="a0533861c0794dabbf6b4ba9661e5f89" PartId="b19983e3cc7c404f9e606582dc50e3d2"/>
        <Part Type="papunktis" Nr="3.7" Abbr="3.7 pp." DocPartId="020e341cf8eb4fe69468c83ac12d6c27" PartId="9dd05e5d1eec4032842533ee8a17c9b1"/>
        <Part Type="papunktis" Nr="3.8" Abbr="3.8 pp." DocPartId="5138601f8d5b425ab530786664f2b9bc" PartId="d2e81d9387fa403197263f285ac44b77"/>
      </Part>
      <Part Type="punktas" Nr="4" Abbr="4 p." DocPartId="fb120705e57149d5ade6f72006fb61e3" PartId="741662f0cc5f421fb4d19b0d1d904487"/>
      <Part Type="punktas" Nr="5" Abbr="5 p." DocPartId="4376669096124367af5c5e2ed7144300" PartId="41d0902889264f5cbaa9a536ed6d62d4"/>
      <Part Type="punktas" Nr="6" Abbr="6 p." DocPartId="1de2439aa8a6405b881a1fd246999c11" PartId="81f04868e328480d8074b56357ff2d08"/>
      <Part Type="punktas" Nr="12" Abbr="12 p." Notes="Numeris ne iš eilės. Trūksta dalių? [DocDalys]" DocPartId="9e892a36b5dd4eddb74c43d28342e132" PartId="370fe2ebb24a4f1684acde726621ff6f"/>
    </Part>
    <Part Type="skirsnis" Title="Lyginamasis variantas." DocPartId="4d3c769b279f42baad76c89050f1016e" PartId="dacffe7144ea45c0b6ef21c0ba4bed47"/>
    <Part Type="signatura" DocPartId="e6f00e792cea417590df3c563a1f9973" PartId="3ba75b1d6b034a2da51c282b12a5c171"/>
  </Part>
</Parts>
</file>

<file path=customXml/itemProps1.xml><?xml version="1.0" encoding="utf-8"?>
<ds:datastoreItem xmlns:ds="http://schemas.openxmlformats.org/officeDocument/2006/customXml" ds:itemID="{E8911A78-D74A-42DC-95D0-23DA40C60DBA}">
  <ds:schemaRefs>
    <ds:schemaRef ds:uri="http://schemas.openxmlformats.org/officeDocument/2006/bibliography"/>
  </ds:schemaRefs>
</ds:datastoreItem>
</file>

<file path=customXml/itemProps2.xml><?xml version="1.0" encoding="utf-8"?>
<ds:datastoreItem xmlns:ds="http://schemas.openxmlformats.org/officeDocument/2006/customXml" ds:itemID="{74AB993D-27D5-4217-AF91-DC9FED41720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3233</Words>
  <Characters>20436</Characters>
  <Application>Microsoft Office Word</Application>
  <DocSecurity>4</DocSecurity>
  <Lines>1075</Lines>
  <Paragraphs>717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22952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2025-10-20T10:56:00Z</dcterms:created>
  <dc:creator>Rita Chlebauskienė</dc:creator>
  <lastModifiedBy>adlibuser</lastModifiedBy>
  <lastPrinted>2025-09-10T10:02:00Z</lastPrinted>
  <dcterms:modified xsi:type="dcterms:W3CDTF">2025-10-20T10:56:00Z</dcterms:modified>
  <revision>2</revision>
</coreProperties>
</file>