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9f1a3a2f9a464e47a66293ba256536e2"/>
        <w:lock w:val="sdtLocked"/>
        <w:richText/>
      </w:sdtPr>
      <w:sdtContent>
        <w:p>
          <w:pPr>
            <w:jc w:val="right"/>
            <w:rPr>
              <w:sz w:val="18"/>
              <w:lang w:eastAsia="lt-LT"/>
            </w:rPr>
          </w:pPr>
          <w:r>
            <w:rPr>
              <w:b/>
              <w:lang w:eastAsia="lt-LT"/>
            </w:rPr>
            <w:t>Projektas</w:t>
          </w:r>
        </w:p>
        <w:p>
          <w:pPr>
            <w:jc w:val="center"/>
            <w:rPr>
              <w:b/>
              <w:sz w:val="26"/>
              <w:lang w:eastAsia="lt-LT"/>
            </w:rPr>
          </w:pPr>
        </w:p>
        <w:p>
          <w:pPr>
            <w:jc w:val="center"/>
            <w:rPr>
              <w:b/>
              <w:sz w:val="26"/>
              <w:lang w:eastAsia="lt-LT"/>
            </w:rPr>
          </w:pPr>
          <w:r>
            <w:rPr>
              <w:b/>
              <w:sz w:val="28"/>
              <w:lang w:eastAsia="lt-LT"/>
            </w:rPr>
            <w:t>LIETUVOS RESPUBLIKOS SUSISIEKIMO MINISTRAS</w:t>
          </w:r>
        </w:p>
        <w:p>
          <w:pPr>
            <w:jc w:val="center"/>
            <w:rPr>
              <w:b/>
              <w:sz w:val="26"/>
              <w:lang w:eastAsia="lt-LT"/>
            </w:rPr>
          </w:pPr>
        </w:p>
        <w:p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ĮSAKYMAS</w:t>
          </w:r>
        </w:p>
        <w:p>
          <w:pPr>
            <w:jc w:val="center"/>
            <w:rPr>
              <w:b/>
              <w:sz w:val="28"/>
              <w:szCs w:val="28"/>
              <w:lang w:eastAsia="lt-LT"/>
            </w:rPr>
          </w:pPr>
          <w:r>
            <w:rPr>
              <w:b/>
              <w:sz w:val="28"/>
              <w:szCs w:val="28"/>
              <w:lang w:eastAsia="lt-LT"/>
            </w:rPr>
            <w:t xml:space="preserve">DĖL 2014–2020 METŲ EUROPOS SĄJUNGOS FONDŲ INVESTICIJŲ VEIKSMŲ PROGRAMOS 2 PRIORITETO „INFORMACINĖS VISUOMENĖS SKATINIMAS“ </w:t>
          </w:r>
          <w:r>
            <w:rPr>
              <w:b/>
              <w:sz w:val="28"/>
              <w:szCs w:val="28"/>
            </w:rPr>
            <w:t xml:space="preserve">02.3.1-CPVA-V-528 </w:t>
          </w:r>
          <w:r>
            <w:rPr>
              <w:b/>
              <w:sz w:val="28"/>
              <w:szCs w:val="28"/>
              <w:lang w:eastAsia="lt-LT"/>
            </w:rPr>
            <w:t xml:space="preserve">PRIEMONĖS </w:t>
          </w:r>
          <w:r>
            <w:rPr>
              <w:b/>
              <w:sz w:val="28"/>
              <w:szCs w:val="28"/>
            </w:rPr>
            <w:t xml:space="preserve">„INTELEKTINĖS TRANSPORTO PASLAUGOS IR TAIKOMIEJI SPRENDIMAI“ </w:t>
          </w:r>
          <w:r>
            <w:rPr>
              <w:b/>
              <w:sz w:val="28"/>
              <w:szCs w:val="28"/>
              <w:lang w:eastAsia="lt-LT"/>
            </w:rPr>
            <w:t>PROJEKTŲ FINANSAVIMO SĄLYGŲ APRAŠO PATVIRTINIMO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2016 m.                  d. Nr. 3-   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4e5163034033466aa7bb78b2df626e4d"/>
            <w:lock w:val="sdtLocked"/>
            <w:richText/>
          </w:sdtPr>
          <w:sdtContent>
            <w:p>
              <w:pPr>
                <w:shd w:val="clear" w:color="auto" w:fill="FFFFFF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Vadovaudamasis Atsakomybės ir funkcijų paskirstymo tarp institucijų, įgyvendinant 2014–2020 metų Europos Sąjungos fondų investicijų veiksmų programą, taisyklių, patvirtintų Lietuvos Respublikos Vyriausybės 2014 m. birželio 4 d. nutarimu Nr. 528 „Dėl atsakomybės ir funkcijų paskirstymo tarp institucijų, įgyvendinant 2014–2020 metų Europos Sąjungos fondų investicijų veiksmų programą“, 6.2.7 papunkčiu,</w:t>
              </w:r>
            </w:p>
          </w:sdtContent>
        </w:sdt>
        <w:sdt>
          <w:sdtPr>
            <w:alias w:val="pastraipa"/>
            <w:tag w:val="part_de929a356ab94b28b851397dca7d2241"/>
            <w:lock w:val="sdtLocked"/>
            <w:richText/>
          </w:sdtPr>
          <w:sdtContent>
            <w:p>
              <w:pPr>
                <w:tabs>
                  <w:tab w:val="left" w:pos="720"/>
                </w:tabs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t v i r t i n u  2014–2020 metų Europos Sąjungos fondų investicijų veiksmų programos </w:t>
                <w:br/>
                <w:t xml:space="preserve">2 prioriteto „Informacinės visuomenės skatinimas“ 02.3.1-CPVA-V-528 priemonės </w:t>
              </w:r>
              <w:r>
                <w:rPr>
                  <w:szCs w:val="24"/>
                </w:rPr>
                <w:t>„Intelektinės transporto paslaugos ir taikomieji sprendimai“</w:t>
              </w:r>
              <w:r>
                <w:rPr>
                  <w:lang w:eastAsia="lt-LT"/>
                </w:rPr>
                <w:t xml:space="preserve"> projektų finansavimo sąlygų aprašą (pridedama).</w:t>
              </w:r>
            </w:p>
            <w:p>
              <w:pPr>
                <w:tabs>
                  <w:tab w:val="left" w:pos="720"/>
                </w:tabs>
                <w:jc w:val="both"/>
                <w:rPr>
                  <w:lang w:eastAsia="lt-LT"/>
                </w:rPr>
              </w:pPr>
            </w:p>
            <w:p>
              <w:pPr>
                <w:tabs>
                  <w:tab w:val="left" w:pos="5940"/>
                </w:tabs>
                <w:ind w:firstLine="5940"/>
                <w:jc w:val="both"/>
                <w:rPr>
                  <w:lang w:eastAsia="lt-LT"/>
                </w:rPr>
              </w:pPr>
            </w:p>
            <w:p>
              <w:pPr>
                <w:tabs>
                  <w:tab w:val="left" w:pos="720"/>
                </w:tabs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lentele"/>
            <w:tag w:val="part_6bb2e8a08e2a4678900e95213541c299"/>
            <w:lock w:val="sdtLocked"/>
            <w:richText/>
          </w:sdtPr>
          <w:sdtContent>
            <w:tbl>
              <w:tblPr>
                <w:tblW w:w="0" w:type="auto"/>
                <w:tblLayout w:type="fixed"/>
                <w:tblLook w:val="0000" w:firstRow="0" w:lastRow="0" w:firstColumn="0" w:lastColumn="0" w:noHBand="0" w:noVBand="0"/>
              </w:tblPr>
              <w:tblGrid>
                <w:gridCol w:w="3794"/>
                <w:gridCol w:w="2773"/>
                <w:gridCol w:w="3283"/>
              </w:tblGrid>
              <w:tr>
                <w:trPr>
                  <w:trHeight w:val="240"/>
                </w:trPr>
                <w:tc>
                  <w:tcPr>
                    <w:tcW w:w="3794" w:type="dxa"/>
                  </w:tcPr>
                  <w:p>
                    <w:r>
                      <w:t>Susisiekimo ministras</w:t>
                    </w:r>
                  </w:p>
                </w:tc>
                <w:tc>
                  <w:tcPr>
                    <w:tcW w:w="2773" w:type="dxa"/>
                  </w:tcPr>
                  <w:p/>
                </w:tc>
                <w:tc>
                  <w:tcPr>
                    <w:tcW w:w="3283" w:type="dxa"/>
                  </w:tcPr>
                  <w:p/>
                </w:tc>
              </w:tr>
            </w:tbl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</w:sdtContent>
        </w:sdt>
        <w:sdt>
          <w:sdtPr>
            <w:alias w:val="lentele"/>
            <w:tag w:val="part_1097a396e6b6408cb558171f188e2623"/>
            <w:lock w:val="sdtLocked"/>
            <w:richText/>
          </w:sdtPr>
          <w:sdtContent>
            <w:tbl>
              <w:tblPr>
                <w:tblW w:w="0" w:type="auto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4927"/>
                <w:gridCol w:w="4927"/>
              </w:tblGrid>
              <w:tr>
                <w:tc>
                  <w:tcPr>
                    <w:tcW w:w="493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overflowPunct w:val="0"/>
                      <w:jc w:val="both"/>
                      <w:textAlignment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SUDERINTA</w:t>
                    </w:r>
                  </w:p>
                  <w:p>
                    <w:pPr>
                      <w:overflowPunct w:val="0"/>
                      <w:jc w:val="both"/>
                      <w:textAlignment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Lietuvos Respublikos finansų ministerijos</w:t>
                    </w:r>
                  </w:p>
                  <w:p>
                    <w:pPr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2016 m.                        d. raštu</w:t>
                    </w:r>
                  </w:p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Nr.</w:t>
                    </w:r>
                  </w:p>
                </w:tc>
                <w:tc>
                  <w:tcPr>
                    <w:tcW w:w="493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SUDERINTA</w:t>
                    </w:r>
                  </w:p>
                  <w:p>
                    <w:pPr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VšĮ Centrinės projektų valdymo agentūros   </w:t>
                    </w:r>
                  </w:p>
                  <w:p>
                    <w:pPr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2016 m. rugpjūčio 12 d. raštu Nr. 2016/2-5473</w:t>
                    </w:r>
                  </w:p>
                </w:tc>
              </w:tr>
            </w:tbl>
            <w:p/>
            <w:p/>
            <w:p>
              <w:pPr>
                <w:rPr>
                  <w:sz w:val="20"/>
                </w:rPr>
              </w:pPr>
            </w:p>
            <w:p>
              <w:pPr>
                <w:rPr>
                  <w:sz w:val="20"/>
                </w:rPr>
              </w:pPr>
            </w:p>
            <w:p>
              <w:pPr>
                <w:rPr>
                  <w:sz w:val="20"/>
                </w:rPr>
              </w:pPr>
            </w:p>
            <w:p>
              <w:pPr>
                <w:rPr>
                  <w:sz w:val="20"/>
                </w:rPr>
              </w:pPr>
            </w:p>
          </w:sdtContent>
        </w:sdt>
        <w:sdt>
          <w:sdtPr>
            <w:alias w:val="signatura"/>
            <w:tag w:val="part_733b4c7f283141e9a6b13f6c36b73181"/>
            <w:lock w:val="sdtLocked"/>
            <w:richText/>
          </w:sdtPr>
          <w:sdtContent>
            <w:p>
              <w:pPr>
                <w:rPr>
                  <w:sz w:val="20"/>
                </w:rPr>
              </w:pPr>
              <w:r>
                <w:rPr>
                  <w:sz w:val="20"/>
                </w:rPr>
                <w:t>Parengė</w:t>
              </w:r>
            </w:p>
            <w:p>
              <w:pPr>
                <w:rPr>
                  <w:sz w:val="20"/>
                </w:rPr>
              </w:pP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E. Ramaškevičius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2016-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80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c15716155414617a64c6260d609eef0" PartId="9f1a3a2f9a464e47a66293ba256536e2">
    <Part Type="preambule" DocPartId="bbfd9c62f5b6466496243323cbd51da2" PartId="4e5163034033466aa7bb78b2df626e4d"/>
    <Part Type="pastraipa" DocPartId="60283565e8f9400d8b75fcc7c4729049" PartId="de929a356ab94b28b851397dca7d2241"/>
    <Part Type="lentele" DocPartId="b94ec525093141a69016eb2b4a3c72d2" PartId="6bb2e8a08e2a4678900e95213541c299"/>
    <Part Type="lentele" DocPartId="5b47751ec42d404aa5f1ec01c381e8a8" PartId="1097a396e6b6408cb558171f188e2623"/>
    <Part Type="signatura" DocPartId="c6036d1b60b34ad3abff37b8f71af7b2" PartId="733b4c7f283141e9a6b13f6c36b73181"/>
  </Part>
</Parts>
</file>

<file path=customXml/itemProps1.xml><?xml version="1.0" encoding="utf-8"?>
<ds:datastoreItem xmlns:ds="http://schemas.openxmlformats.org/officeDocument/2006/customXml" ds:itemID="{117A004A-0AF9-463C-8C06-8BCFB4D32A5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1172</Characters>
  <Application>Microsoft Office Word</Application>
  <DocSecurity>4</DocSecurity>
  <Lines>58</Lines>
  <Paragraphs>23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2016-10-04T12:12:00Z</dcterms:created>
  <dc:creator>sevol</dc:creator>
  <lastModifiedBy>adlibuser</lastModifiedBy>
  <lastPrinted>2016-07-27T07:23:00Z</lastPrinted>
  <dcterms:modified xsi:type="dcterms:W3CDTF">2016-10-04T12:12:00Z</dcterms:modified>
  <revision>2</revision>
</coreProperties>
</file>