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  <w:lang w:eastAsia="lt-LT"/>
        </w:rPr>
      </w:pPr>
    </w:p>
    <w:p>
      <w:pPr>
        <w:ind w:firstLine="7920"/>
        <w:jc w:val="center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outlineLvl w:val="1"/>
        <w:rPr>
          <w:b/>
        </w:rPr>
      </w:pPr>
      <w:r>
        <w:rPr>
          <w:b/>
        </w:rPr>
        <w:t>PRIENŲ RAJONO SAVIVALDYBĖS TARYBA</w:t>
      </w:r>
    </w:p>
    <w:p>
      <w:pPr>
        <w:keepNext/>
        <w:jc w:val="center"/>
        <w:outlineLvl w:val="1"/>
        <w:rPr>
          <w:b/>
        </w:rPr>
      </w:pPr>
    </w:p>
    <w:p>
      <w:pPr>
        <w:spacing w:line="276" w:lineRule="auto"/>
        <w:rPr>
          <w:sz w:val="20"/>
        </w:rPr>
      </w:pPr>
    </w:p>
    <w:p>
      <w:pPr>
        <w:keepNext/>
        <w:spacing w:line="276" w:lineRule="auto"/>
        <w:jc w:val="center"/>
        <w:outlineLvl w:val="1"/>
        <w:rPr>
          <w:b/>
        </w:rPr>
      </w:pPr>
      <w:r>
        <w:rPr>
          <w:b/>
        </w:rPr>
        <w:t>SPRENDIMAS</w:t>
      </w: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DĖL PRIENŲ RAJONO SAVIVALDYBĖS KONTROLIERIAUS 2021 M. TARNYBINĖS VEIKLOS VERTINIMO IR DARBO UŽMOKESČIO NUSTATYMO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  <w:r>
        <w:t xml:space="preserve">2022 m. sausio      d. Nr.</w:t>
      </w:r>
    </w:p>
    <w:p>
      <w:pPr>
        <w:spacing w:line="276" w:lineRule="auto"/>
        <w:jc w:val="center"/>
      </w:pPr>
      <w:r>
        <w:t>Prienai</w:t>
      </w:r>
    </w:p>
    <w:p>
      <w:pPr>
        <w:spacing w:line="276" w:lineRule="auto"/>
        <w:jc w:val="both"/>
        <w:rPr>
          <w:szCs w:val="24"/>
          <w:lang w:eastAsia="lt-LT"/>
        </w:rPr>
      </w:pPr>
    </w:p>
    <w:p>
      <w:pPr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8 punktu, Lietuvos Respublikos valstybės tarnybos įstatymo 7 straipsnio 2 dalimi, 27 straipsnio 5 dalimi, 8 dalies 1 punktu, 28 straipsnio 1 dalies 1, 3 punktais, 29 straipsnio 1, 2 dalimis, 30 straipsnio 3 dalimi, Valstybės tarnautojų tarnybinės veiklos vertinimo tvarkos aprašo, patvirtinto Lietuvos Respublikos Vyriausybės 2018 m. lapkričio 28 d. nutarimu Nr. 1176 „Dėl Lietuvos Respublikos valstybės tarnybos įstatymo įgyvendinimo“, 63 punktu, atsižvelgdama į Prienų rajono savivaldybės kontrolierės Violetos Gaidienės 2022 m. sausio 18 d. Tiesioginio vadovo motyvuotą siūlymą valstybės tarnautojo kasmetinio tarnybinės veiklos vertinimo metu Nr. (8.21Mr)PBV-18      </w:t>
      </w:r>
      <w:r>
        <w:rPr>
          <w:bCs/>
          <w:szCs w:val="24"/>
        </w:rPr>
        <w:t>(toliau – Motyvuotas siūlymas),</w:t>
      </w:r>
      <w:r>
        <w:rPr>
          <w:b/>
          <w:bCs/>
          <w:szCs w:val="24"/>
        </w:rPr>
        <w:t xml:space="preserve"> </w:t>
      </w:r>
      <w:r>
        <w:rPr>
          <w:szCs w:val="24"/>
        </w:rPr>
        <w:t>Prienų rajono savivaldybės taryba </w:t>
      </w:r>
      <w:r>
        <w:rPr>
          <w:szCs w:val="24"/>
          <w:lang w:eastAsia="lt-LT"/>
        </w:rPr>
        <w:t>n u s p r e n d ž i a: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Įgyvendinti Prienų rajono savivaldybės kontrolierės Violetos Gaidienės Motyvuotame siūlyme pateiktą siūlymą – nustatyti didesnę pareiginę algą, taikant 0,5 didesnį koeficientą, negu jai iki tarnybinės veiklos vertinimo buvo nustatytas pareiginės algos koeficientas, tačiau neviršijant pareigybei nustatyto didžiausio pareiginės algos koeficiento. 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Nustatyti Prienų rajono savivaldybės kontrolierei Violetai Gaidienei pareiginės algos koeficientą (baziniais dydžiais) – 15,5 ir </w:t>
      </w:r>
      <w:r>
        <w:rPr>
          <w:szCs w:val="24"/>
          <w:lang w:val="en-GB" w:eastAsia="en-GB"/>
        </w:rPr>
        <w:t>priedą už tarnybos Lietuvos valstybei stažą</w:t>
      </w:r>
      <w:r>
        <w:rPr>
          <w:szCs w:val="24"/>
        </w:rPr>
        <w:t xml:space="preserve"> teisės aktų nustatyta tvarka.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Pripažinti netekusiu galios Prienų rajono savivaldybės tarybos 2021 m. vasario 25 d. sprendimą Nr. T3-23 „Dėl Prienų rajono savivaldybės kontrolieriaus 2020 m. tarnybinės veiklos vertinimo ir darbo užmokesčio nustatymo“.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Šis sprendimas įsigalioja 2022 m. vasario 1 d.</w:t>
      </w:r>
    </w:p>
    <w:p>
      <w:pPr>
        <w:spacing w:line="276" w:lineRule="auto"/>
        <w:ind w:firstLine="851"/>
        <w:jc w:val="both"/>
        <w:rPr>
          <w:szCs w:val="24"/>
          <w:lang w:eastAsia="lt-LT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keepNext/>
        <w:spacing w:line="276" w:lineRule="auto"/>
        <w:jc w:val="both"/>
        <w:outlineLvl w:val="2"/>
        <w:rPr>
          <w:szCs w:val="24"/>
        </w:rPr>
      </w:pPr>
    </w:p>
    <w:p>
      <w:pPr>
        <w:spacing w:line="276" w:lineRule="auto"/>
        <w:rPr>
          <w:sz w:val="20"/>
        </w:rPr>
      </w:pPr>
    </w:p>
    <w:p>
      <w:pPr>
        <w:keepNext/>
        <w:spacing w:line="276" w:lineRule="auto"/>
        <w:jc w:val="both"/>
        <w:outlineLvl w:val="2"/>
      </w:pPr>
      <w:r>
        <w:t>Savivaldybės meras</w:t>
        <w:tab/>
        <w:tab/>
        <w:tab/>
        <w:tab/>
        <w:tab/>
        <w:tab/>
      </w:r>
    </w:p>
    <w:p>
      <w:pPr>
        <w:spacing w:line="276" w:lineRule="auto"/>
        <w:jc w:val="both"/>
        <w:rPr>
          <w:szCs w:val="24"/>
        </w:rPr>
      </w:pPr>
    </w:p>
    <w:p>
      <w:pPr>
        <w:spacing w:line="360" w:lineRule="auto"/>
        <w:ind w:firstLine="851"/>
        <w:jc w:val="both"/>
        <w:rPr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6" w:bottom="170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center"/>
      <w:rPr>
        <w:sz w:val="26"/>
        <w:lang w:eastAsia="lt-LT"/>
      </w:rPr>
    </w:pPr>
    <w:r>
      <w:rPr>
        <w:sz w:val="26"/>
        <w:lang w:eastAsia="lt-LT"/>
      </w:rPr>
      <w:fldChar w:fldCharType="begin"/>
    </w:r>
    <w:r>
      <w:rPr>
        <w:sz w:val="26"/>
        <w:lang w:eastAsia="lt-LT"/>
      </w:rPr>
      <w:instrText xml:space="preserve"> PAGE   \* MERGEFORMAT </w:instrText>
    </w:r>
    <w:r>
      <w:rPr>
        <w:sz w:val="26"/>
        <w:lang w:eastAsia="lt-LT"/>
      </w:rPr>
      <w:fldChar w:fldCharType="separate"/>
    </w:r>
    <w:r>
      <w:rPr>
        <w:sz w:val="26"/>
        <w:lang w:eastAsia="lt-LT"/>
      </w:rPr>
      <w:t>2</w:t>
    </w:r>
    <w:r>
      <w:rPr>
        <w:sz w:val="26"/>
        <w:lang w:eastAsia="lt-LT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F7547C-E7E9-4DC5-8B47-D46A9FC6D6D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05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2118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Savivaldybe</Company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2022-01-20T08:18:00Z</dcterms:created>
  <dc:creator>Dziuljeta</dc:creator>
  <lastModifiedBy>adlibuser</lastModifiedBy>
  <lastPrinted>2022-01-17T14:31:00Z</lastPrinted>
  <dcterms:modified xsi:type="dcterms:W3CDTF">2022-01-20T08:18:00Z</dcterms:modified>
  <revision>2</revision>
  <dc:title>PROJEKTAS</dc:title>
</coreProperties>
</file>