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xml" ContentType="application/vnd.openxmlformats-officedocument.themeOverride+xml"/>
  <Override PartName="/word/theme/themeOverride5.xml" ContentType="application/vnd.openxmlformats-officedocument.themeOverride+xml"/>
  <Override PartName="/word/theme/themeOverride6.xml" ContentType="application/vnd.openxmlformats-officedocument.themeOverride+xml"/>
  <Override PartName="/word/theme/themeOverride7.xml" ContentType="application/vnd.openxmlformats-officedocument.themeOverride+xml"/>
  <Override PartName="/word/theme/themeOverride8.xml" ContentType="application/vnd.openxmlformats-officedocument.themeOverrid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83d090c304f24541bcf783038b2dcafb"/>
        <w:lock w:val="sdtLocked"/>
        <w:richText/>
      </w:sdtPr>
      <w:sdtContent>
        <w:tbl>
          <w:tblPr>
            <w:tblW w:w="9558" w:type="dxa"/>
            <w:jc w:val="center"/>
            <w:tblLayout w:type="fixed"/>
            <w:tblLook w:val="0000" w:firstRow="0" w:lastRow="0" w:firstColumn="0" w:lastColumn="0" w:noHBand="0" w:noVBand="0"/>
          </w:tblPr>
          <w:tblGrid>
            <w:gridCol w:w="9558"/>
          </w:tblGrid>
          <w:tr>
            <w:trPr>
              <w:trHeight w:val="284"/>
              <w:jc w:val="center"/>
            </w:trPr>
            <w:tc>
              <w:tcPr>
                <w:tcW w:w="9558" w:type="dxa"/>
                <w:vAlign w:val="bottom"/>
              </w:tcPr>
              <w:p>
                <w:pPr>
                  <w:tabs>
                    <w:tab w:val="center" w:pos="4153"/>
                    <w:tab w:val="right" w:pos="8306"/>
                  </w:tabs>
                  <w:rPr>
                    <w:szCs w:val="24"/>
                    <w:lang w:val="en-GB"/>
                  </w:rPr>
                </w:pPr>
              </w:p>
              <w:p>
                <w:pPr>
                  <w:jc w:val="center"/>
                  <w:rPr>
                    <w:b/>
                    <w:caps/>
                    <w:szCs w:val="24"/>
                  </w:rPr>
                </w:pPr>
              </w:p>
              <w:p>
                <w:pPr>
                  <w:jc w:val="center"/>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pt;height:51.15pt" o:ole="" fillcolor="window">
                      <v:imagedata r:id="rId8" o:title=""/>
                    </v:shape>
                    <o:OLEObject Type="Embed" ProgID="Word.Picture.8" ShapeID="_x0000_i1025" DrawAspect="Content" ObjectID="_1545813965" r:id="rId9"/>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tc>
          </w:tr>
          <w:tr>
            <w:trPr>
              <w:trHeight w:val="284"/>
              <w:jc w:val="center"/>
            </w:trPr>
            <w:tc>
              <w:tcPr>
                <w:tcW w:w="9558" w:type="dxa"/>
                <w:vAlign w:val="bottom"/>
              </w:tcPr>
              <w:p>
                <w:pPr>
                  <w:jc w:val="center"/>
                  <w:rPr>
                    <w:b/>
                    <w:caps/>
                    <w:szCs w:val="24"/>
                  </w:rPr>
                </w:pPr>
                <w:r>
                  <w:rPr>
                    <w:b/>
                    <w:caps/>
                    <w:szCs w:val="24"/>
                  </w:rPr>
                  <w:t>SPRENDIMAS</w:t>
                </w:r>
              </w:p>
            </w:tc>
          </w:tr>
          <w:tr>
            <w:trPr>
              <w:trHeight w:val="284"/>
              <w:jc w:val="center"/>
            </w:trPr>
            <w:tc>
              <w:tcPr>
                <w:tcW w:w="9558" w:type="dxa"/>
                <w:vAlign w:val="bottom"/>
              </w:tcPr>
              <w:p>
                <w:pPr>
                  <w:jc w:val="center"/>
                  <w:rPr>
                    <w:b/>
                    <w:caps/>
                    <w:szCs w:val="24"/>
                  </w:rPr>
                </w:pPr>
                <w:r>
                  <w:rPr>
                    <w:b/>
                    <w:szCs w:val="24"/>
                  </w:rPr>
                  <w:t xml:space="preserve">DĖL TELŠIŲ RAJONO SAVIVALDYBĖS 2017 M. SOCIALINIŲ PASLAUGŲ PLANO PATVIRTINIMO </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 xml:space="preserve">2017 m. sausio      d. Nr. </w:t>
                </w:r>
              </w:p>
            </w:tc>
          </w:tr>
          <w:tr>
            <w:trPr>
              <w:trHeight w:val="284"/>
              <w:jc w:val="center"/>
            </w:trPr>
            <w:tc>
              <w:tcPr>
                <w:tcW w:w="9558" w:type="dxa"/>
                <w:vAlign w:val="bottom"/>
              </w:tcPr>
              <w:p>
                <w:pPr>
                  <w:jc w:val="center"/>
                  <w:rPr>
                    <w:bCs/>
                    <w:szCs w:val="24"/>
                  </w:rPr>
                </w:pPr>
                <w:r>
                  <w:rPr>
                    <w:bCs/>
                    <w:szCs w:val="24"/>
                  </w:rPr>
                  <w:t>Telšiai</w:t>
                </w:r>
              </w:p>
            </w:tc>
          </w:tr>
        </w:tbl>
        <w:p>
          <w:pPr>
            <w:jc w:val="both"/>
            <w:rPr>
              <w:szCs w:val="24"/>
            </w:rPr>
          </w:pPr>
        </w:p>
      </w:sdtContent>
    </w:sdt>
    <w:sdt>
      <w:sdtPr>
        <w:alias w:val="pastraipa"/>
        <w:tag w:val="part_dd2d054a2de548039ff63318636ce17f"/>
        <w:lock w:val="sdtLocked"/>
        <w:richText/>
      </w:sdtPr>
      <w:sdtContent>
        <w:p>
          <w:pPr>
            <w:ind w:firstLine="720"/>
            <w:jc w:val="both"/>
            <w:rPr>
              <w:szCs w:val="24"/>
            </w:rPr>
          </w:pPr>
          <w:r>
            <w:rPr>
              <w:szCs w:val="24"/>
            </w:rPr>
            <w:t>Vadovaudamasi Lietuvos Respublikos socialinių paslaugų įstatymo 13 straipsnio 3 dalimi, Socialinių paslaugų planavimo metodikos, patvirtintos Lietuvos Respublikos Vyriausybės 2006 m. lapkričio 15 d. nutarimu Nr. 1132 „Dėl Socialinių paslaugų planavimo metodikos patvirtinimo“ 33 punktu, Telšių rajono savivaldybės taryba n u s p r e n d ž i a:</w:t>
          </w:r>
        </w:p>
      </w:sdtContent>
    </w:sdt>
    <w:sdt>
      <w:sdtPr>
        <w:alias w:val="pastraipa"/>
        <w:tag w:val="part_fe3befd373ba481d91f8f37605b9a1d5"/>
        <w:lock w:val="sdtLocked"/>
        <w:richText/>
      </w:sdtPr>
      <w:sdtContent>
        <w:p>
          <w:pPr>
            <w:ind w:firstLine="720"/>
            <w:jc w:val="both"/>
            <w:rPr>
              <w:szCs w:val="24"/>
            </w:rPr>
          </w:pPr>
          <w:r>
            <w:rPr>
              <w:szCs w:val="24"/>
            </w:rPr>
            <w:t>Patvirtinti Telšių rajono savivaldybės 2017 metų socialinių paslaugų planą (pridedama).</w:t>
          </w:r>
        </w:p>
        <w:p>
          <w:pPr>
            <w:ind w:firstLine="720"/>
            <w:jc w:val="both"/>
            <w:rPr>
              <w:szCs w:val="24"/>
            </w:rPr>
          </w:pPr>
        </w:p>
        <w:p>
          <w:pPr>
            <w:ind w:firstLine="782"/>
            <w:jc w:val="both"/>
            <w:rPr>
              <w:szCs w:val="24"/>
            </w:rPr>
          </w:pPr>
        </w:p>
      </w:sdtContent>
    </w:sdt>
    <w:sdt>
      <w:sdtPr>
        <w:alias w:val="pastraipa"/>
        <w:tag w:val="part_91a7ca4b545b4c0ea3fe579111da4eed"/>
        <w:lock w:val="sdtLocked"/>
        <w:richText/>
      </w:sdtPr>
      <w:sdtContent>
        <w:p>
          <w:pPr>
            <w:rPr>
              <w:szCs w:val="24"/>
            </w:rPr>
          </w:pPr>
          <w:r>
            <w:rPr>
              <w:szCs w:val="24"/>
            </w:rPr>
            <w:t>Savivaldybės meras</w:t>
            <w:tab/>
            <w:tab/>
            <w:tab/>
            <w:tab/>
            <w:tab/>
            <w:tab/>
            <w:tab/>
            <w:t>Petras Kuizinas</w:t>
          </w:r>
        </w:p>
        <w:p>
          <w:pPr>
            <w:jc w:val="both"/>
            <w:rPr>
              <w:szCs w:val="24"/>
            </w:rPr>
          </w:pPr>
        </w:p>
        <w:p>
          <w:pPr>
            <w:jc w:val="both"/>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
      <w:sdtPr>
        <w:alias w:val="pastraipa"/>
        <w:tag w:val="part_2ef59988fb8c49868bf8013358aae5e4"/>
        <w:lock w:val="sdtLocked"/>
        <w:richText/>
      </w:sdtPr>
      <w:sdtContent>
        <w:p>
          <w:pPr>
            <w:rPr>
              <w:szCs w:val="24"/>
            </w:rPr>
          </w:pPr>
          <w:r>
            <w:rPr>
              <w:szCs w:val="24"/>
            </w:rPr>
            <w:t xml:space="preserve">Lendra Bukauskienė, (8 444) 60333, faks. (8 444)  60 680, el. p. </w:t>
          </w:r>
          <w:r>
            <w:rPr>
              <w:color w:val="0000FF"/>
              <w:szCs w:val="24"/>
              <w:u w:val="single"/>
            </w:rPr>
            <w:t>lendra.bukauskiene@telsiai.lt</w:t>
          </w:r>
        </w:p>
      </w:sdtContent>
    </w:sdt>
    <w:sdt>
      <w:sdtPr>
        <w:alias w:val="pastraipa"/>
        <w:tag w:val="part_0bbc2d5230864755a0735d6d5b3877e3"/>
        <w:lock w:val="sdtLocked"/>
        <w:richText/>
      </w:sdtPr>
      <w:sdtContent>
        <w:p>
          <w:pPr>
            <w:rPr>
              <w:szCs w:val="24"/>
            </w:rPr>
          </w:pPr>
          <w:r>
            <w:rPr>
              <w:szCs w:val="24"/>
            </w:rPr>
            <w:t xml:space="preserve">Roma Mikalčienė, tel. (8 444) 53 896, faks. (8 444)  60 680, el. p. </w:t>
          </w:r>
          <w:r>
            <w:rPr>
              <w:color w:val="0000FF"/>
              <w:szCs w:val="24"/>
              <w:u w:val="single"/>
            </w:rPr>
            <w:t>roma.mikalciene@telsiai.lt</w:t>
          </w:r>
        </w:p>
      </w:sdtContent>
    </w:sdt>
    <w:sdt>
      <w:sdtPr>
        <w:alias w:val="pastraipa"/>
        <w:tag w:val="part_8eb7f6698bd14d2d9475dcd49c1818de"/>
        <w:lock w:val="sdtLocked"/>
        <w:richText/>
      </w:sdtPr>
      <w:sdtContent>
        <w:p>
          <w:pPr>
            <w:rPr>
              <w:szCs w:val="24"/>
            </w:rPr>
          </w:pPr>
          <w:r>
            <w:rPr>
              <w:szCs w:val="24"/>
            </w:rPr>
            <w:t xml:space="preserve">Reda Raginskienė, tel. (8 444) 53 901, faks. (8 444)  60 680, el. p. </w:t>
          </w:r>
          <w:r>
            <w:rPr>
              <w:color w:val="0000FF"/>
              <w:szCs w:val="24"/>
              <w:u w:val="single"/>
            </w:rPr>
            <w:t>reda.raginskiene@telsiai.lt</w:t>
          </w:r>
        </w:p>
        <w:p>
          <w:pPr>
            <w:ind w:left="1440" w:firstLine="720"/>
            <w:jc w:val="center"/>
            <w:rPr>
              <w:caps/>
              <w:szCs w:val="24"/>
            </w:rPr>
          </w:pPr>
          <w:r>
            <w:rPr>
              <w:szCs w:val="24"/>
            </w:rPr>
            <w:br w:type="page"/>
          </w:r>
        </w:p>
      </w:sdtContent>
    </w:sdt>
    <w:sdt>
      <w:sdtPr>
        <w:alias w:val="lentele"/>
        <w:tag w:val="part_339121706e6f4724bccdeef1f9368322"/>
        <w:lock w:val="sdtLocked"/>
        <w:richText/>
      </w:sdtPr>
      <w:sdtContent>
        <w:tbl>
          <w:tblPr>
            <w:tblW w:w="0" w:type="auto"/>
            <w:tblInd w:w="108" w:type="dxa"/>
            <w:tblLayout w:type="fixed"/>
            <w:tblLook w:val="0000" w:firstRow="0" w:lastRow="0" w:firstColumn="0" w:lastColumn="0" w:noHBand="0" w:noVBand="0"/>
          </w:tblPr>
          <w:tblGrid>
            <w:gridCol w:w="4962"/>
            <w:gridCol w:w="4572"/>
          </w:tblGrid>
          <w:tr>
            <w:tc>
              <w:tcPr>
                <w:tcW w:w="4962" w:type="dxa"/>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0" w:lineRule="atLeast"/>
                  <w:jc w:val="center"/>
                  <w:textAlignment w:val="baseline"/>
                  <w:rPr>
                    <w:szCs w:val="24"/>
                    <w:lang w:eastAsia="ar-SA"/>
                  </w:rPr>
                </w:pPr>
              </w:p>
            </w:tc>
            <w:tc>
              <w:tcPr>
                <w:tcW w:w="4572" w:type="dxa"/>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0" w:lineRule="atLeast"/>
                  <w:textAlignment w:val="baseline"/>
                  <w:rPr>
                    <w:szCs w:val="24"/>
                    <w:lang w:eastAsia="ar-SA"/>
                  </w:rPr>
                </w:pPr>
                <w:r>
                  <w:rPr>
                    <w:szCs w:val="24"/>
                    <w:lang w:eastAsia="ar-SA"/>
                  </w:rPr>
                  <w:t xml:space="preserve">PATVIRTINTA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textAlignment w:val="baseline"/>
                  <w:rPr>
                    <w:szCs w:val="24"/>
                    <w:lang w:eastAsia="ar-SA"/>
                  </w:rPr>
                </w:pPr>
                <w:r>
                  <w:rPr>
                    <w:szCs w:val="24"/>
                    <w:lang w:eastAsia="ar-SA"/>
                  </w:rPr>
                  <w:t xml:space="preserve">Telšių rajono savivaldybės tarybos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textAlignment w:val="baseline"/>
                  <w:rPr>
                    <w:szCs w:val="24"/>
                    <w:lang w:eastAsia="ar-SA"/>
                  </w:rPr>
                </w:pPr>
                <w:r>
                  <w:rPr>
                    <w:szCs w:val="24"/>
                    <w:lang w:eastAsia="ar-SA"/>
                  </w:rPr>
                  <w:t xml:space="preserve">2017 m.                    d. sprendimu Nr. T- </w:t>
                </w:r>
              </w:p>
            </w:tc>
          </w:tr>
        </w:tbl>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sdt>
          <w:sdtPr>
            <w:alias w:val="skirsnis"/>
            <w:tag w:val="part_cce0e202ab10424c871ed54c8aa3730f"/>
            <w:lock w:val="sdtLocked"/>
            <w:richText/>
          </w:sdtPr>
          <w:sdtContent>
            <w:sdt>
              <w:sdtPr>
                <w:alias w:val="Pavadinimas"/>
                <w:tag w:val="title_cce0e202ab10424c871ed54c8aa3730f"/>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 w:val="32"/>
                      <w:szCs w:val="32"/>
                      <w:lang w:eastAsia="ar-SA"/>
                    </w:rPr>
                  </w:pPr>
                  <w:r>
                    <w:rPr>
                      <w:b/>
                      <w:sz w:val="32"/>
                      <w:szCs w:val="32"/>
                      <w:lang w:eastAsia="ar-SA"/>
                    </w:rPr>
                    <w:t>TELŠIŲ RAJONO SAVIVALDYBĖS 2017 METŲ</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 w:val="32"/>
                      <w:szCs w:val="32"/>
                      <w:lang w:eastAsia="ar-SA"/>
                    </w:rPr>
                  </w:pPr>
                  <w:r>
                    <w:rPr>
                      <w:b/>
                      <w:sz w:val="32"/>
                      <w:szCs w:val="32"/>
                      <w:lang w:eastAsia="ar-SA"/>
                    </w:rPr>
                    <w:t>SOCIALINIŲ PASLAUGŲ PLANAS</w:t>
                  </w:r>
                </w:p>
              </w:sdtContent>
            </w:sd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both"/>
                <w:textAlignment w:val="baseline"/>
                <w:rPr>
                  <w:sz w:val="32"/>
                  <w:szCs w:val="32"/>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 w:val="32"/>
                  <w:szCs w:val="32"/>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sdtContent>
        </w:sdt>
      </w:sdtContent>
    </w:sdt>
    <w:sdt>
      <w:sdtPr>
        <w:alias w:val="lentele"/>
        <w:tag w:val="part_4f3e8da3c73647879162a3038c98432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Pavadinimas"/>
              <w:tag w:val="title_4f3e8da3c73647879162a3038c984328"/>
              <w:lock w:val="sdtLocked"/>
              <w:richText/>
            </w:sdtPr>
            <w:sdtContent>
              <w:r>
                <w:rPr>
                  <w:b/>
                  <w:caps/>
                  <w:szCs w:val="24"/>
                </w:rPr>
                <w:t>Turinys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p>
        <w:tbl>
          <w:tblPr>
            <w:tblW w:w="5000" w:type="pct"/>
            <w:tblLayout w:type="fixed"/>
            <w:tblLook w:val="01E0" w:firstRow="1" w:lastRow="1" w:firstColumn="1" w:lastColumn="1" w:noHBand="0" w:noVBand="0"/>
          </w:tblPr>
          <w:tblGrid>
            <w:gridCol w:w="9853"/>
          </w:tblGrid>
          <w:tr>
            <w:tc>
              <w:tcPr>
                <w:tcW w:w="4177" w:type="pct"/>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b/>
                    <w:szCs w:val="24"/>
                  </w:rPr>
                  <w:t>I. ĮVADAS</w:t>
                </w:r>
                <w:r>
                  <w:rPr>
                    <w:szCs w:val="24"/>
                  </w:rPr>
                  <w:t>........................................................................................................................................5</w:t>
                </w:r>
              </w:p>
            </w:tc>
          </w:tr>
          <w:tr>
            <w:tc>
              <w:tcPr>
                <w:tcW w:w="4177" w:type="pct"/>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1. Bendroji informacija ....................................................................................................................5</w:t>
                </w:r>
              </w:p>
            </w:tc>
          </w:tr>
          <w:tr>
            <w:tc>
              <w:tcPr>
                <w:tcW w:w="4177" w:type="pct"/>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2. Socialinių paslaugų teikimo ir plėtros tikslai ..............................................................................5</w:t>
                </w:r>
              </w:p>
            </w:tc>
          </w:tr>
          <w:tr>
            <w:tc>
              <w:tcPr>
                <w:tcW w:w="4177" w:type="pct"/>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3. Socialinių paslaugų plano rengėjai ..............................................................................................5</w:t>
                </w:r>
              </w:p>
            </w:tc>
          </w:tr>
          <w:tr>
            <w:tc>
              <w:tcPr>
                <w:tcW w:w="4177" w:type="pct"/>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b/>
                    <w:szCs w:val="24"/>
                  </w:rPr>
                  <w:t>II. BŪKLĖS ANALIZĖ</w:t>
                </w:r>
                <w:r>
                  <w:rPr>
                    <w:szCs w:val="24"/>
                  </w:rPr>
                  <w:t xml:space="preserve"> ....................................................................................................................6</w:t>
                </w:r>
              </w:p>
            </w:tc>
          </w:tr>
          <w:tr>
            <w:tc>
              <w:tcPr>
                <w:tcW w:w="4177" w:type="pct"/>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4. Savivaldybės socialinės ekonominės ir demografinės situacijos įvertinimas ...............................6</w:t>
                </w:r>
              </w:p>
            </w:tc>
          </w:tr>
          <w:tr>
            <w:tc>
              <w:tcPr>
                <w:tcW w:w="4177" w:type="pct"/>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72"/>
                  <w:jc w:val="both"/>
                  <w:rPr>
                    <w:szCs w:val="24"/>
                  </w:rPr>
                </w:pPr>
                <w:r>
                  <w:rPr>
                    <w:szCs w:val="24"/>
                  </w:rPr>
                  <w:t>4.1. Vidutinis metinis gyventojų skaičius ir sudėtis ..................................................................6</w:t>
                </w:r>
              </w:p>
            </w:tc>
          </w:tr>
          <w:tr>
            <w:tc>
              <w:tcPr>
                <w:tcW w:w="4177" w:type="pct"/>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72"/>
                  <w:jc w:val="both"/>
                  <w:rPr>
                    <w:szCs w:val="24"/>
                  </w:rPr>
                </w:pPr>
                <w:r>
                  <w:rPr>
                    <w:szCs w:val="24"/>
                  </w:rPr>
                  <w:t>4.2. Gyventojų socialinių paslaugų poreikius lemiantys veiksniai .............................................6</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0"/>
                  <w:jc w:val="both"/>
                  <w:rPr>
                    <w:szCs w:val="24"/>
                  </w:rPr>
                </w:pPr>
                <w:r>
                  <w:rPr>
                    <w:szCs w:val="24"/>
                  </w:rPr>
                  <w:t>4.2.1. Paslaugų poreikį lemiantys veiksniai pagal gyventojų grupes.....................................6</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0"/>
                  <w:jc w:val="both"/>
                  <w:rPr>
                    <w:szCs w:val="24"/>
                  </w:rPr>
                </w:pPr>
                <w:r>
                  <w:rPr>
                    <w:szCs w:val="24"/>
                  </w:rPr>
                  <w:t>4.2.2. Socialines paslaugas teikiančių įstaigų ir organizacijų veiklos rezultatai.....................8</w:t>
                </w:r>
              </w:p>
              <w:p>
                <w:pPr>
                  <w:rPr>
                    <w:sz w:val="4"/>
                    <w:szCs w:val="4"/>
                  </w:rPr>
                </w:pPr>
              </w:p>
              <w:p>
                <w:pPr>
                  <w:widowControl w:val="0"/>
                  <w:tabs>
                    <w:tab w:val="left" w:pos="851"/>
                    <w:tab w:val="left" w:pos="1418"/>
                    <w:tab w:val="left" w:pos="1701"/>
                    <w:tab w:val="left" w:pos="2127"/>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ind w:firstLine="806"/>
                  <w:jc w:val="both"/>
                  <w:textAlignment w:val="baseline"/>
                  <w:rPr>
                    <w:szCs w:val="24"/>
                    <w:lang w:eastAsia="ar-SA"/>
                  </w:rPr>
                </w:pPr>
                <w:r>
                  <w:rPr>
                    <w:szCs w:val="24"/>
                    <w:lang w:eastAsia="ar-SA"/>
                  </w:rPr>
                  <w:t>4.2.2.1. Telšių socialinių paslaugų centras.........................................................................8</w:t>
                </w:r>
              </w:p>
              <w:p>
                <w:pPr>
                  <w:widowControl w:val="0"/>
                  <w:suppressAutoHyphens/>
                  <w:ind w:firstLine="806"/>
                  <w:jc w:val="both"/>
                  <w:textAlignment w:val="baseline"/>
                  <w:rPr>
                    <w:bCs/>
                    <w:szCs w:val="24"/>
                  </w:rPr>
                </w:pPr>
                <w:r>
                  <w:rPr>
                    <w:szCs w:val="24"/>
                  </w:rPr>
                  <w:t xml:space="preserve">4.2.2.2. </w:t>
                </w:r>
                <w:r>
                  <w:rPr>
                    <w:bCs/>
                    <w:szCs w:val="24"/>
                  </w:rPr>
                  <w:t>Telšių rajono senelių globos namai...........................................................................9</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06"/>
                  <w:jc w:val="both"/>
                  <w:rPr>
                    <w:szCs w:val="24"/>
                  </w:rPr>
                </w:pPr>
                <w:r>
                  <w:rPr>
                    <w:szCs w:val="24"/>
                  </w:rPr>
                  <w:t>4.2.2.3. Telšių vaikų globos namai.....................................................................................10</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06"/>
                  <w:jc w:val="both"/>
                  <w:rPr>
                    <w:szCs w:val="24"/>
                  </w:rPr>
                </w:pPr>
                <w:r>
                  <w:rPr>
                    <w:szCs w:val="24"/>
                  </w:rPr>
                  <w:t>4.2.2.4. Telšių „Vilties“ mokyklos Dienos socialinės globos skyrius................................11</w:t>
                </w:r>
              </w:p>
              <w:p>
                <w:pPr>
                  <w:rPr>
                    <w:sz w:val="4"/>
                    <w:szCs w:val="4"/>
                  </w:rPr>
                </w:pPr>
              </w:p>
              <w:p>
                <w:pPr>
                  <w:widowControl w:val="0"/>
                  <w:suppressAutoHyphens/>
                  <w:ind w:firstLine="744"/>
                  <w:jc w:val="both"/>
                  <w:textAlignment w:val="baseline"/>
                  <w:rPr>
                    <w:szCs w:val="24"/>
                  </w:rPr>
                </w:pPr>
                <w:r>
                  <w:rPr>
                    <w:szCs w:val="24"/>
                  </w:rPr>
                  <w:t>4.2.2.5. VšĮ Varnių pirminės sveikatos priežiūros centro Palaikomojo gydymo ir slaugos ligoninės Slaugos (globos) skyrius .................................................................................................11</w:t>
                </w:r>
              </w:p>
              <w:p>
                <w:pPr>
                  <w:tabs>
                    <w:tab w:val="left" w:pos="709"/>
                  </w:tabs>
                  <w:ind w:firstLine="806"/>
                  <w:jc w:val="both"/>
                  <w:outlineLvl w:val="2"/>
                  <w:rPr>
                    <w:szCs w:val="24"/>
                  </w:rPr>
                </w:pPr>
                <w:r>
                  <w:rPr>
                    <w:szCs w:val="24"/>
                  </w:rPr>
                  <w:t>4.2.2.6. Telšių krizių centras.................................................................................................11</w:t>
                </w:r>
              </w:p>
              <w:p>
                <w:pPr>
                  <w:ind w:firstLine="806"/>
                  <w:jc w:val="both"/>
                  <w:outlineLvl w:val="2"/>
                  <w:rPr>
                    <w:szCs w:val="24"/>
                  </w:rPr>
                </w:pPr>
                <w:r>
                  <w:rPr>
                    <w:szCs w:val="24"/>
                  </w:rPr>
                  <w:t>4.2.2.7. Neįgaliųjų socialinė įmonė „Soneima“....................................................................12</w:t>
                </w:r>
              </w:p>
              <w:p>
                <w:pPr>
                  <w:ind w:firstLine="806"/>
                  <w:jc w:val="both"/>
                  <w:outlineLvl w:val="2"/>
                  <w:rPr>
                    <w:szCs w:val="24"/>
                  </w:rPr>
                </w:pPr>
                <w:r>
                  <w:rPr>
                    <w:szCs w:val="24"/>
                  </w:rPr>
                  <w:t>4.2.2.8. Telšių rajono nevyriausybinės organizacijos, teikiančios socialines apslaugas.....13</w:t>
                </w:r>
              </w:p>
              <w:p>
                <w:pPr>
                  <w:widowControl w:val="0"/>
                  <w:tabs>
                    <w:tab w:val="left" w:pos="851"/>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0"/>
                  <w:jc w:val="both"/>
                  <w:textAlignment w:val="baseline"/>
                  <w:rPr>
                    <w:szCs w:val="24"/>
                    <w:lang w:eastAsia="ar-SA"/>
                  </w:rPr>
                </w:pPr>
                <w:r>
                  <w:rPr>
                    <w:szCs w:val="24"/>
                    <w:lang w:eastAsia="ar-SA"/>
                  </w:rPr>
                  <w:t>4.2.3. Kiti rodikliai...............................................................................................................14</w:t>
                </w:r>
              </w:p>
            </w:tc>
          </w:tr>
          <w:tr>
            <w:tc>
              <w:tcPr>
                <w:tcW w:w="4177" w:type="pct"/>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5. Esamos socialinių paslaugų infrastruktūros Savivaldybėje analizė............................................16</w:t>
                </w:r>
              </w:p>
            </w:tc>
          </w:tr>
          <w:tr>
            <w:trPr>
              <w:trHeight w:val="4578"/>
            </w:trPr>
            <w:tc>
              <w:tcPr>
                <w:tcW w:w="4177" w:type="pct"/>
              </w:tcPr>
              <w:p>
                <w:pPr>
                  <w:rPr>
                    <w:sz w:val="4"/>
                    <w:szCs w:val="4"/>
                  </w:rPr>
                </w:pP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92" w:hanging="420"/>
                  <w:jc w:val="both"/>
                  <w:rPr>
                    <w:szCs w:val="24"/>
                  </w:rPr>
                </w:pPr>
                <w:r>
                  <w:rPr>
                    <w:szCs w:val="24"/>
                  </w:rPr>
                  <w:t>5.1. Socialinių paslaugų infrastruktūros išsidėstymas ir socialinių paslaugų teikimo Savivaldybėje (seniūnijose) pakankamumo lygis................................................................18</w:t>
                </w:r>
              </w:p>
              <w:p>
                <w:pPr>
                  <w:rPr>
                    <w:sz w:val="4"/>
                    <w:szCs w:val="4"/>
                  </w:rPr>
                </w:pPr>
              </w:p>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rPr>
                    <w:bCs/>
                    <w:szCs w:val="24"/>
                  </w:rPr>
                </w:pPr>
                <w:r>
                  <w:rPr>
                    <w:szCs w:val="24"/>
                  </w:rPr>
                  <w:t xml:space="preserve">6. </w:t>
                </w:r>
                <w:r>
                  <w:rPr>
                    <w:bCs/>
                    <w:szCs w:val="24"/>
                  </w:rPr>
                  <w:t>Savivaldybės galimybių teikti socialines paslaugas ir socialinių paslaugų poreikio įvertinimas.........................................................................................................................................20</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92" w:hanging="358"/>
                  <w:jc w:val="both"/>
                  <w:rPr>
                    <w:bCs/>
                    <w:szCs w:val="24"/>
                  </w:rPr>
                </w:pPr>
                <w:r>
                  <w:rPr>
                    <w:bCs/>
                    <w:szCs w:val="24"/>
                  </w:rPr>
                  <w:t>6.1. Savivaldybės organizuojamų socialinių paslaugų analizė pagal socialines grupes ...........................................................................................................................................20</w:t>
                </w:r>
              </w:p>
              <w:p>
                <w:pPr>
                  <w:rPr>
                    <w:sz w:val="4"/>
                    <w:szCs w:val="4"/>
                  </w:rPr>
                </w:pPr>
              </w:p>
              <w:p>
                <w:pPr>
                  <w:tabs>
                    <w:tab w:val="left" w:pos="60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92" w:hanging="172"/>
                  <w:jc w:val="both"/>
                  <w:rPr>
                    <w:szCs w:val="24"/>
                  </w:rPr>
                </w:pPr>
                <w:r>
                  <w:rPr>
                    <w:szCs w:val="24"/>
                  </w:rPr>
                  <w:t>6.1.1. Vaikai ir šeimos........................................................................................................ 20</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92" w:hanging="172"/>
                  <w:jc w:val="both"/>
                  <w:rPr>
                    <w:szCs w:val="24"/>
                  </w:rPr>
                </w:pPr>
                <w:r>
                  <w:rPr>
                    <w:szCs w:val="24"/>
                  </w:rPr>
                  <w:t>6.1.2. Senyvo amžiaus ir neįgalūs asmenys..........................................................................24</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92" w:hanging="172"/>
                  <w:jc w:val="both"/>
                  <w:rPr>
                    <w:szCs w:val="24"/>
                  </w:rPr>
                </w:pPr>
                <w:r>
                  <w:rPr>
                    <w:szCs w:val="24"/>
                  </w:rPr>
                  <w:t>6.1.3. Socialinės rizikos asmenys.........................................................................................27</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92" w:hanging="792"/>
                  <w:jc w:val="both"/>
                  <w:rPr>
                    <w:szCs w:val="24"/>
                  </w:rPr>
                </w:pPr>
                <w:r>
                  <w:rPr>
                    <w:szCs w:val="24"/>
                  </w:rPr>
                  <w:t>7. Socialinių darbuotojų ir socialinių darbuotojų padėjėjų skaičius Savivaldybėje ........................28</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92" w:hanging="234"/>
                  <w:jc w:val="both"/>
                  <w:rPr>
                    <w:szCs w:val="24"/>
                  </w:rPr>
                </w:pPr>
                <w:r>
                  <w:rPr>
                    <w:szCs w:val="24"/>
                  </w:rPr>
                  <w:t>7.1. Socialinių darbuotojų išsilavinimas...............................................................................28</w:t>
                </w:r>
              </w:p>
              <w:p>
                <w:pPr>
                  <w:rPr>
                    <w:sz w:val="4"/>
                    <w:szCs w:val="4"/>
                  </w:rPr>
                </w:pPr>
              </w:p>
              <w:p>
                <w:pPr>
                  <w:tabs>
                    <w:tab w:val="left" w:pos="993"/>
                  </w:tabs>
                  <w:jc w:val="both"/>
                  <w:rPr>
                    <w:color w:val="000000"/>
                    <w:szCs w:val="24"/>
                    <w:lang w:eastAsia="lt-LT"/>
                  </w:rPr>
                </w:pPr>
                <w:r>
                  <w:rPr>
                    <w:color w:val="000000"/>
                    <w:szCs w:val="24"/>
                    <w:lang w:eastAsia="lt-LT"/>
                  </w:rPr>
                  <w:t xml:space="preserve">8. </w:t>
                </w:r>
                <w:r>
                  <w:rPr>
                    <w:bCs/>
                    <w:color w:val="000000"/>
                    <w:szCs w:val="24"/>
                    <w:lang w:eastAsia="lt-LT"/>
                  </w:rPr>
                  <w:t>Ankstesnių metų socialinių paslaugų plano įgyvendinimo rezultatų trumpa apžvalga..............29</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92" w:hanging="792"/>
                  <w:jc w:val="both"/>
                  <w:rPr>
                    <w:bCs/>
                    <w:iCs/>
                    <w:szCs w:val="24"/>
                    <w:lang w:val="en-GB"/>
                  </w:rPr>
                </w:pPr>
                <w:r>
                  <w:rPr>
                    <w:b/>
                    <w:szCs w:val="24"/>
                  </w:rPr>
                  <w:t xml:space="preserve">III. </w:t>
                </w:r>
                <w:r>
                  <w:rPr>
                    <w:b/>
                    <w:bCs/>
                    <w:iCs/>
                    <w:szCs w:val="24"/>
                    <w:lang w:val="en-GB"/>
                  </w:rPr>
                  <w:t>UŽDAVINIAI IR PRIEMONIŲ PLANAS</w:t>
                </w:r>
                <w:r>
                  <w:rPr>
                    <w:szCs w:val="24"/>
                  </w:rPr>
                  <w:t>............................................................................</w:t>
                </w:r>
                <w:r>
                  <w:rPr>
                    <w:bCs/>
                    <w:iCs/>
                    <w:szCs w:val="24"/>
                    <w:lang w:val="en-GB"/>
                  </w:rPr>
                  <w:t>30</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92" w:hanging="792"/>
                  <w:jc w:val="both"/>
                  <w:rPr>
                    <w:bCs/>
                    <w:szCs w:val="24"/>
                    <w:lang w:val="en-GB"/>
                  </w:rPr>
                </w:pPr>
                <w:r>
                  <w:rPr>
                    <w:szCs w:val="24"/>
                  </w:rPr>
                  <w:t xml:space="preserve">9. </w:t>
                </w:r>
                <w:r>
                  <w:rPr>
                    <w:bCs/>
                    <w:szCs w:val="24"/>
                  </w:rPr>
                  <w:t>Prioritetinės socialinių paslaugų plėtros kryptys</w:t>
                </w:r>
                <w:r>
                  <w:rPr>
                    <w:szCs w:val="24"/>
                  </w:rPr>
                  <w:t>......................................................................</w:t>
                </w:r>
                <w:r>
                  <w:rPr>
                    <w:bCs/>
                    <w:szCs w:val="24"/>
                    <w:lang w:val="en-GB"/>
                  </w:rPr>
                  <w:t>30</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92" w:hanging="792"/>
                  <w:jc w:val="both"/>
                  <w:rPr>
                    <w:szCs w:val="24"/>
                  </w:rPr>
                </w:pPr>
                <w:r>
                  <w:rPr>
                    <w:szCs w:val="24"/>
                  </w:rPr>
                  <w:t>10. Priemonių planas 2017 metams ..............................................................................................31</w:t>
                </w:r>
              </w:p>
            </w:tc>
          </w:tr>
          <w:tr>
            <w:tc>
              <w:tcPr>
                <w:tcW w:w="4177" w:type="pct"/>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szCs w:val="24"/>
                    <w:lang w:eastAsia="ar-SA"/>
                  </w:rPr>
                  <w:t>11. Regioninių socialinių paslaugų poreikis 2017 metais...............................................................36</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b/>
                    <w:szCs w:val="24"/>
                    <w:lang w:eastAsia="ar-SA"/>
                  </w:rPr>
                  <w:t>VI. FINANSAVIMO PLANAS</w:t>
                </w:r>
                <w:r>
                  <w:rPr>
                    <w:szCs w:val="24"/>
                    <w:lang w:eastAsia="ar-SA"/>
                  </w:rPr>
                  <w:t>.....................................................................................................36</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szCs w:val="24"/>
                    <w:lang w:eastAsia="ar-SA"/>
                  </w:rPr>
                  <w:t>12. Socialinių paslaugų finansavimo šaltiniai...............................................................................36</w:t>
                </w:r>
              </w:p>
              <w:p>
                <w:pPr>
                  <w:rPr>
                    <w:sz w:val="4"/>
                    <w:szCs w:val="4"/>
                  </w:rPr>
                </w:pPr>
              </w:p>
              <w:p>
                <w:pPr>
                  <w:tabs>
                    <w:tab w:val="left" w:pos="513"/>
                    <w:tab w:val="left" w:pos="70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8"/>
                  <w:jc w:val="both"/>
                  <w:rPr>
                    <w:szCs w:val="24"/>
                  </w:rPr>
                </w:pPr>
                <w:r>
                  <w:rPr>
                    <w:szCs w:val="24"/>
                  </w:rPr>
                  <w:t>12.1. Socialinių paslaugų finansavimo šaltinių įvertinimas..................................................36</w:t>
                </w:r>
              </w:p>
            </w:tc>
          </w:tr>
          <w:tr>
            <w:tc>
              <w:tcPr>
                <w:tcW w:w="4177" w:type="pct"/>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rPr>
                </w:pPr>
                <w:r>
                  <w:rPr>
                    <w:szCs w:val="24"/>
                  </w:rPr>
                  <w:t xml:space="preserve">13. </w:t>
                </w:r>
                <w:r>
                  <w:rPr>
                    <w:bCs/>
                    <w:szCs w:val="24"/>
                  </w:rPr>
                  <w:t>Socialinių paslaugų finansavimo iš Savivaldybės biudžeto būdai...</w:t>
                </w:r>
                <w:r>
                  <w:rPr>
                    <w:szCs w:val="24"/>
                  </w:rPr>
                  <w:t>.....................................</w:t>
                </w:r>
                <w:r>
                  <w:rPr>
                    <w:bCs/>
                    <w:szCs w:val="24"/>
                  </w:rPr>
                  <w:t>....36</w:t>
                </w: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bCs/>
                    <w:szCs w:val="24"/>
                  </w:rPr>
                  <w:t xml:space="preserve">14. </w:t>
                </w:r>
                <w:r>
                  <w:rPr>
                    <w:szCs w:val="24"/>
                  </w:rPr>
                  <w:t>Lėšos, reikalingos žmogiškųjų išteklių plėtrai..........................................................................37</w:t>
                </w:r>
              </w:p>
              <w:p>
                <w:pPr>
                  <w:rPr>
                    <w:sz w:val="4"/>
                    <w:szCs w:val="4"/>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szCs w:val="24"/>
                    <w:lang w:eastAsia="ar-SA"/>
                  </w:rPr>
                  <w:t>15. Savivaldybės finansinių galimybių palyginimas su numatytų priemonių finansavimu...........37</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szCs w:val="24"/>
                    <w:lang w:eastAsia="ar-SA"/>
                  </w:rPr>
                  <w:t>15.1. Savivaldybės organizuojamų socialinių paslaugų įvertinimas..............................................37</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b/>
                    <w:szCs w:val="24"/>
                    <w:lang w:eastAsia="ar-SA"/>
                  </w:rPr>
                  <w:t>V. PLĖTROS VIZIJA IR PROGNOZĖ</w:t>
                </w:r>
                <w:r>
                  <w:rPr>
                    <w:szCs w:val="24"/>
                    <w:lang w:eastAsia="ar-SA"/>
                  </w:rPr>
                  <w:t>.</w:t>
                </w:r>
                <w:r>
                  <w:rPr>
                    <w:rFonts w:cs="Courier New"/>
                    <w:szCs w:val="24"/>
                    <w:lang w:eastAsia="ar-SA"/>
                  </w:rPr>
                  <w:t>......................................................................................</w:t>
                </w:r>
                <w:r>
                  <w:rPr>
                    <w:szCs w:val="24"/>
                    <w:lang w:eastAsia="ar-SA"/>
                  </w:rPr>
                  <w:t>..38</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szCs w:val="24"/>
                    <w:lang w:eastAsia="ar-SA"/>
                  </w:rPr>
                  <w:t>16. Socialinių paslaugų plėtros vizija....................</w:t>
                </w:r>
                <w:r>
                  <w:rPr>
                    <w:rFonts w:cs="Courier New"/>
                    <w:szCs w:val="24"/>
                    <w:lang w:eastAsia="ar-SA"/>
                  </w:rPr>
                  <w:t>........................................................................</w:t>
                </w:r>
                <w:r>
                  <w:rPr>
                    <w:szCs w:val="24"/>
                    <w:lang w:eastAsia="ar-SA"/>
                  </w:rPr>
                  <w:t>.....38</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szCs w:val="24"/>
                    <w:lang w:eastAsia="ar-SA"/>
                  </w:rPr>
                  <w:t>17. Pro</w:t>
                </w:r>
                <w:r>
                  <w:rPr>
                    <w:rFonts w:cs="Courier New"/>
                    <w:szCs w:val="24"/>
                    <w:lang w:eastAsia="ar-SA"/>
                  </w:rPr>
                  <w:t xml:space="preserve">gnozuojamos socialinės paslaugos....................   ..........................................................</w:t>
                </w:r>
                <w:r>
                  <w:rPr>
                    <w:szCs w:val="24"/>
                    <w:lang w:eastAsia="ar-SA"/>
                  </w:rPr>
                  <w:t>.........38</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szCs w:val="24"/>
                    <w:lang w:eastAsia="ar-SA"/>
                  </w:rPr>
                  <w:t>18. Savivaldybės biudžeto lėšų, skirtų socialinėms paslaugoms teikti, augimo perspektyva ir numatomas pokytis.....</w:t>
                </w:r>
                <w:r>
                  <w:rPr>
                    <w:rFonts w:cs="Courier New"/>
                    <w:szCs w:val="24"/>
                    <w:lang w:eastAsia="ar-SA"/>
                  </w:rPr>
                  <w:t>..................................................................................................</w:t>
                </w:r>
                <w:r>
                  <w:rPr>
                    <w:szCs w:val="24"/>
                    <w:lang w:eastAsia="ar-SA"/>
                  </w:rPr>
                  <w:t>....................38</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szCs w:val="24"/>
                    <w:lang w:eastAsia="ar-SA"/>
                  </w:rPr>
                  <w:t>19. Išteklių prognozė ateinantiems 3 metams.....</w:t>
                </w:r>
                <w:r>
                  <w:rPr>
                    <w:rFonts w:cs="Courier New"/>
                    <w:szCs w:val="24"/>
                    <w:lang w:eastAsia="ar-SA"/>
                  </w:rPr>
                  <w:t>............................................................</w:t>
                </w:r>
                <w:r>
                  <w:rPr>
                    <w:szCs w:val="24"/>
                    <w:lang w:eastAsia="ar-SA"/>
                  </w:rPr>
                  <w:t>....................38</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szCs w:val="24"/>
                    <w:lang w:eastAsia="ar-SA"/>
                  </w:rPr>
                  <w:t xml:space="preserve">20. Siūlomos plėsti regioninės socialinės paslaugos, jų rūšys ir prognozuojamas </w:t>
                </w:r>
                <w:r>
                  <w:rPr>
                    <w:rFonts w:cs="Courier New"/>
                    <w:szCs w:val="24"/>
                    <w:lang w:eastAsia="ar-SA"/>
                  </w:rPr>
                  <w:t>m</w:t>
                </w:r>
                <w:r>
                  <w:rPr>
                    <w:szCs w:val="24"/>
                    <w:lang w:eastAsia="ar-SA"/>
                  </w:rPr>
                  <w:t>astas...</w:t>
                </w:r>
                <w:r>
                  <w:rPr>
                    <w:rFonts w:cs="Courier New"/>
                    <w:szCs w:val="24"/>
                    <w:lang w:eastAsia="ar-SA"/>
                  </w:rPr>
                  <w:t>.............</w:t>
                </w:r>
                <w:r>
                  <w:rPr>
                    <w:szCs w:val="24"/>
                    <w:lang w:eastAsia="ar-SA"/>
                  </w:rPr>
                  <w:t>.39</w:t>
                </w:r>
              </w:p>
              <w:p>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jc w:val="both"/>
                  <w:rPr>
                    <w:color w:val="000000"/>
                    <w:szCs w:val="24"/>
                  </w:rPr>
                </w:pPr>
                <w:r>
                  <w:rPr>
                    <w:b/>
                    <w:color w:val="000000"/>
                    <w:szCs w:val="24"/>
                  </w:rPr>
                  <w:t>VI. PLANO ĮGYVENDINIMO PRIEŽIŪRA</w:t>
                </w:r>
                <w:r>
                  <w:rPr>
                    <w:color w:val="000000"/>
                    <w:szCs w:val="24"/>
                  </w:rPr>
                  <w:t>................................................................................39</w:t>
                </w:r>
              </w:p>
              <w:p>
                <w:pPr>
                  <w:tabs>
                    <w:tab w:val="left" w:pos="709"/>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jc w:val="both"/>
                  <w:outlineLvl w:val="1"/>
                  <w:rPr>
                    <w:color w:val="000000"/>
                    <w:szCs w:val="24"/>
                  </w:rPr>
                </w:pPr>
                <w:r>
                  <w:rPr>
                    <w:color w:val="000000"/>
                    <w:szCs w:val="24"/>
                  </w:rPr>
                  <w:t>21. Socialinių paslaugų plano įgyvendinimo priežiūros vykdytojai................................................39</w:t>
                </w:r>
              </w:p>
              <w:p>
                <w:pPr>
                  <w:tabs>
                    <w:tab w:val="left" w:pos="709"/>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jc w:val="both"/>
                  <w:outlineLvl w:val="1"/>
                  <w:rPr>
                    <w:color w:val="000000"/>
                    <w:szCs w:val="24"/>
                  </w:rPr>
                </w:pPr>
                <w:r>
                  <w:rPr>
                    <w:color w:val="000000"/>
                    <w:szCs w:val="24"/>
                  </w:rPr>
                  <w:t xml:space="preserve">22. </w:t>
                </w:r>
                <w:r>
                  <w:rPr>
                    <w:szCs w:val="24"/>
                  </w:rPr>
                  <w:t>Socialinių</w:t>
                </w:r>
                <w:r>
                  <w:rPr>
                    <w:color w:val="000000"/>
                    <w:szCs w:val="24"/>
                  </w:rPr>
                  <w:t xml:space="preserve"> paslaugų plano įgyvendinimo priežiūros etapai ir įvertinimo rezultatai....................39</w:t>
                </w:r>
              </w:p>
              <w:p>
                <w:pPr>
                  <w:tabs>
                    <w:tab w:val="left" w:pos="709"/>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jc w:val="both"/>
                  <w:outlineLvl w:val="1"/>
                  <w:rPr>
                    <w:color w:val="000000"/>
                    <w:szCs w:val="24"/>
                  </w:rPr>
                </w:pPr>
                <w:r>
                  <w:rPr>
                    <w:color w:val="000000"/>
                    <w:szCs w:val="24"/>
                  </w:rPr>
                  <w:t xml:space="preserve">23. </w:t>
                </w:r>
                <w:r>
                  <w:rPr>
                    <w:bCs/>
                    <w:szCs w:val="24"/>
                    <w:lang w:eastAsia="lt-LT"/>
                  </w:rPr>
                  <w:t>Pasiektų rezultatų, tikslų ir uždavinių analizė, numatytų vykdyti priemonių efektyvumas.........39</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bCs/>
                    <w:szCs w:val="24"/>
                    <w:lang w:eastAsia="lt-LT"/>
                  </w:rPr>
                </w:pPr>
                <w:r>
                  <w:rPr>
                    <w:b/>
                    <w:bCs/>
                    <w:szCs w:val="24"/>
                    <w:lang w:eastAsia="lt-LT"/>
                  </w:rPr>
                  <w:t>PRIEDAS</w:t>
                </w:r>
              </w:p>
              <w:p>
                <w:pPr>
                  <w:tabs>
                    <w:tab w:val="left" w:pos="709"/>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jc w:val="both"/>
                  <w:outlineLvl w:val="1"/>
                  <w:rPr>
                    <w:color w:val="000000"/>
                    <w:szCs w:val="24"/>
                  </w:rPr>
                </w:pPr>
              </w:p>
              <w:p>
                <w:pPr>
                  <w:tabs>
                    <w:tab w:val="left" w:pos="851"/>
                  </w:tabs>
                  <w:contextualSpacing/>
                  <w:jc w:val="both"/>
                  <w:rPr>
                    <w:rFonts w:eastAsia="Calibri"/>
                    <w:szCs w:val="24"/>
                  </w:rPr>
                </w:pPr>
              </w:p>
              <w:p>
                <w:pPr>
                  <w:rPr>
                    <w:sz w:val="18"/>
                    <w:szCs w:val="18"/>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634"/>
                  <w:jc w:val="both"/>
                  <w:textAlignment w:val="baseline"/>
                  <w:rPr>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p>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rPr>
              <w:b/>
              <w:caps/>
              <w:szCs w:val="24"/>
            </w:rPr>
          </w:pPr>
        </w:p>
        <w:sdt>
          <w:sdtPr>
            <w:alias w:val="skyrius"/>
            <w:tag w:val="part_80ea5e79af0c4a99b2c5c6faa85fc58e"/>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r>
                <w:rPr>
                  <w:rFonts w:cs="Courier New"/>
                  <w:b/>
                  <w:szCs w:val="24"/>
                  <w:lang w:eastAsia="ar-SA"/>
                </w:rPr>
                <w:br w:type="page"/>
              </w:r>
              <w:sdt>
                <w:sdtPr>
                  <w:alias w:val="Numeris"/>
                  <w:tag w:val="nr_80ea5e79af0c4a99b2c5c6faa85fc58e"/>
                  <w:lock w:val="sdtLocked"/>
                  <w:richText/>
                </w:sdtPr>
                <w:sdtContent>
                  <w:r>
                    <w:rPr>
                      <w:b/>
                      <w:szCs w:val="24"/>
                      <w:lang w:eastAsia="ar-SA"/>
                    </w:rPr>
                    <w:t>I</w:t>
                  </w:r>
                </w:sdtContent>
              </w:sdt>
              <w:r>
                <w:rPr>
                  <w:b/>
                  <w:szCs w:val="24"/>
                  <w:lang w:eastAsia="ar-SA"/>
                </w:rPr>
                <w:t xml:space="preserve">. </w:t>
              </w:r>
              <w:sdt>
                <w:sdtPr>
                  <w:alias w:val="Pavadinimas"/>
                  <w:tag w:val="title_80ea5e79af0c4a99b2c5c6faa85fc58e"/>
                  <w:lock w:val="sdtLocked"/>
                  <w:richText/>
                </w:sdtPr>
                <w:sdtContent>
                  <w:r>
                    <w:rPr>
                      <w:b/>
                      <w:szCs w:val="24"/>
                      <w:lang w:eastAsia="ar-SA"/>
                    </w:rPr>
                    <w:t>ĮVADAS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sdt>
              <w:sdtPr>
                <w:alias w:val="1 p."/>
                <w:tag w:val="part_a7e96609b1d447b9986567ed62634da4"/>
                <w:lock w:val="sdtLocked"/>
                <w:richText/>
              </w:sdtPr>
              <w:sdtContent>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firstLine="709"/>
                    <w:jc w:val="both"/>
                    <w:textAlignment w:val="baseline"/>
                    <w:rPr>
                      <w:b/>
                      <w:szCs w:val="24"/>
                      <w:lang w:eastAsia="ar-SA"/>
                    </w:rPr>
                  </w:pPr>
                  <w:sdt>
                    <w:sdtPr>
                      <w:alias w:val="Numeris"/>
                      <w:tag w:val="nr_a7e96609b1d447b9986567ed62634da4"/>
                      <w:lock w:val="sdtLocked"/>
                      <w:richText/>
                    </w:sdtPr>
                    <w:sdtContent>
                      <w:r>
                        <w:rPr>
                          <w:b/>
                          <w:szCs w:val="24"/>
                          <w:lang w:eastAsia="ar-SA"/>
                        </w:rPr>
                        <w:t>1</w:t>
                      </w:r>
                    </w:sdtContent>
                  </w:sdt>
                  <w:r>
                    <w:rPr>
                      <w:b/>
                      <w:szCs w:val="24"/>
                      <w:lang w:eastAsia="ar-SA"/>
                    </w:rPr>
                    <w:t xml:space="preserve">. Bendroji informacija </w:t>
                  </w:r>
                </w:p>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both"/>
                    <w:textAlignment w:val="baseline"/>
                    <w:rPr>
                      <w:b/>
                      <w:color w:val="FF0000"/>
                      <w:szCs w:val="24"/>
                      <w:lang w:eastAsia="ar-SA"/>
                    </w:rPr>
                  </w:pPr>
                </w:p>
                <w:p>
                  <w:pPr>
                    <w:ind w:right="-1" w:firstLine="709"/>
                    <w:jc w:val="both"/>
                    <w:rPr>
                      <w:szCs w:val="24"/>
                    </w:rPr>
                  </w:pPr>
                  <w:r>
                    <w:rPr>
                      <w:szCs w:val="24"/>
                    </w:rPr>
                    <w:t xml:space="preserve">Telšių rajono savivaldybės (toliau – Savivaldybė) 2017 metų socialinių paslaugų planas (toliau tekste  – Planas) parengtas vadovaujantis Lietuvos Respublikos socialinių paslaugų įstatymu, Socialinių paslaugų planavimo metodika, patvirtinta Lietuvos Respublikos Vyriausybės 2006 m. lapkričio 15 d. nutarimu Nr. 1132 „Dėl Socialinių paslaugų planavimo metodikos patvirtinimo“, Lietuvos Respublikos socialinės apsaugos ir darbo ministro 2007 m. balandžio 12 d. įsakymu Nr. A1-104 „Dėl Socialinių paslaugų plano formos ir socialinių paslaugų efektyvumo vertinimo kriterijų patvirtinimo“.</w:t>
                    <w:tab/>
                  </w:r>
                </w:p>
                <w:p>
                  <w:pPr>
                    <w:ind w:right="-1" w:firstLine="709"/>
                    <w:jc w:val="both"/>
                    <w:rPr>
                      <w:szCs w:val="24"/>
                    </w:rPr>
                  </w:pPr>
                  <w:r>
                    <w:rPr>
                      <w:szCs w:val="24"/>
                    </w:rPr>
                    <w:t>Plano tikslai atitinka 2004–2020 metų Telšių rajono savivaldybės strateginio plėtros plano 3 prioriteto „Saugios socialinės aplinkos ir palankios žmogaus sveikatai aplinkos kūrimas“ 3.2 tikslo „Kurti saugią socialinę aplinką“ 3.2.1 uždavinio „Plėtoti socialinių paslaugų tinklą“ priemones:</w:t>
                  </w:r>
                </w:p>
                <w:p>
                  <w:pPr>
                    <w:widowControl w:val="0"/>
                    <w:suppressAutoHyphens/>
                    <w:ind w:left="993" w:right="-1" w:hanging="284"/>
                    <w:jc w:val="both"/>
                    <w:textAlignment w:val="baseline"/>
                    <w:rPr>
                      <w:szCs w:val="24"/>
                    </w:rPr>
                  </w:pPr>
                  <w:r>
                    <w:rPr>
                      <w:szCs w:val="24"/>
                    </w:rPr>
                    <w:t>–</w:t>
                    <w:tab/>
                    <w:t>pagerinti socialinės paramos infrastruktūrą ir socialinių paslaugų kokybę;</w:t>
                  </w:r>
                </w:p>
                <w:p>
                  <w:pPr>
                    <w:widowControl w:val="0"/>
                    <w:suppressAutoHyphens/>
                    <w:ind w:left="993" w:right="-1" w:hanging="284"/>
                    <w:jc w:val="both"/>
                    <w:textAlignment w:val="baseline"/>
                    <w:rPr>
                      <w:szCs w:val="24"/>
                    </w:rPr>
                  </w:pPr>
                  <w:r>
                    <w:rPr>
                      <w:szCs w:val="24"/>
                    </w:rPr>
                    <w:t>–</w:t>
                    <w:tab/>
                    <w:t>padidinti socialinių paslaugų prieinamumą labiausiai pažeidžiamoms gyventojų grupėms.</w:t>
                  </w:r>
                </w:p>
                <w:p>
                  <w:pPr>
                    <w:ind w:firstLine="720"/>
                    <w:jc w:val="both"/>
                    <w:rPr>
                      <w:szCs w:val="24"/>
                    </w:rPr>
                  </w:pPr>
                  <w:r>
                    <w:rPr>
                      <w:szCs w:val="24"/>
                    </w:rPr>
                    <w:t xml:space="preserve">Socialinių paslaugų plėtra planuojama vadovaujantis Telšių rajono savivaldybės 2017 – 2019 metų strateginio veiklos plano 07 programos „Socialinės paramos įgyvendinimas“ 2 tiksle iškeltais siekiais ─ kurti rajone socialiai saugią aplinką bei organizuoti ir teikti socialines paslaugas įvairioms žmonių socialinėms grupėms. </w:t>
                  </w:r>
                </w:p>
                <w:p>
                  <w:pPr>
                    <w:ind w:firstLine="720"/>
                    <w:jc w:val="both"/>
                    <w:rPr>
                      <w:szCs w:val="24"/>
                    </w:rPr>
                  </w:pPr>
                  <w:r>
                    <w:rPr>
                      <w:szCs w:val="24"/>
                    </w:rPr>
                    <w:t>Plane teikiama informacija apie Telšių rajone teikiamas socialines paslaugas, paslaugų teikėjus ir gavėjus, socialinių paslaugų infrastruktūrą, analizuojamas socialinių paslaugų išvystymo ir paslaugų plėtros poreikis, numatomos veiklos priemonės, jų įgyvendinimo būdai, finansinės galimybės ir galimi finansavimo šaltiniai.</w:t>
                  </w:r>
                </w:p>
                <w:p>
                  <w:pPr>
                    <w:ind w:firstLine="720"/>
                    <w:jc w:val="both"/>
                    <w:rPr>
                      <w:szCs w:val="24"/>
                    </w:rPr>
                  </w:pPr>
                  <w:r>
                    <w:rPr>
                      <w:szCs w:val="24"/>
                    </w:rPr>
                    <w:t xml:space="preserve">Plane naudoti Statistikos departamento prie Lietuvos Respublikos Vyriausybės, Lietuvos Respublikos socialinės apsaugos ir darbo ministerijos, Telšių darbo biržos, Savivaldybės administracijos Socialinės paramos ir rūpybos skyriaus (toliau tekste – Socialinės paramos ir rūpybos skyrius) statistiniai duomenys.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p>
              </w:sdtContent>
            </w:sdt>
            <w:sdt>
              <w:sdtPr>
                <w:alias w:val="2 p."/>
                <w:tag w:val="part_ca5f4ae0634743c2855de949bdb22075"/>
                <w:lock w:val="sdtLocked"/>
                <w:richText/>
              </w:sdtPr>
              <w:sdtContent>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firstLine="709"/>
                    <w:jc w:val="both"/>
                    <w:textAlignment w:val="baseline"/>
                    <w:rPr>
                      <w:b/>
                      <w:szCs w:val="24"/>
                      <w:lang w:eastAsia="ar-SA"/>
                    </w:rPr>
                  </w:pPr>
                  <w:sdt>
                    <w:sdtPr>
                      <w:alias w:val="Numeris"/>
                      <w:tag w:val="nr_ca5f4ae0634743c2855de949bdb22075"/>
                      <w:lock w:val="sdtLocked"/>
                      <w:richText/>
                    </w:sdtPr>
                    <w:sdtContent>
                      <w:r>
                        <w:rPr>
                          <w:b/>
                          <w:szCs w:val="24"/>
                          <w:lang w:eastAsia="ar-SA"/>
                        </w:rPr>
                        <w:t>2</w:t>
                      </w:r>
                    </w:sdtContent>
                  </w:sdt>
                  <w:r>
                    <w:rPr>
                      <w:b/>
                      <w:szCs w:val="24"/>
                      <w:lang w:eastAsia="ar-SA"/>
                    </w:rPr>
                    <w:t>. Socialinių paslaugų teikimo ir plėtros tikslai</w:t>
                  </w:r>
                </w:p>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both"/>
                    <w:textAlignment w:val="baseline"/>
                    <w:rPr>
                      <w:b/>
                      <w:szCs w:val="24"/>
                      <w:lang w:eastAsia="ar-SA"/>
                    </w:rPr>
                  </w:pPr>
                </w:p>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firstLine="709"/>
                    <w:jc w:val="both"/>
                    <w:textAlignment w:val="baseline"/>
                    <w:rPr>
                      <w:rFonts w:ascii="Courier New" w:hAnsi="Courier New" w:cs="Courier New"/>
                      <w:sz w:val="20"/>
                      <w:lang w:eastAsia="ar-SA"/>
                    </w:rPr>
                  </w:pPr>
                  <w:r>
                    <w:rPr>
                      <w:szCs w:val="24"/>
                      <w:lang w:eastAsia="ar-SA"/>
                    </w:rPr>
                    <w:t>Socialinės paslaugos organizuojamos ir plėtra vykdoma siekiant užtikrinti socialinių paslaugų teikimą socialinės rizikos šeimoms bei jose augantiems vaikams, neįgaliems vaikams; senyvo amžiaus ir asmenims su negalia; suaugusiems socialinės rizikos asmenims.</w:t>
                  </w:r>
                </w:p>
                <w:p>
                  <w:pPr>
                    <w:widowControl w:val="0"/>
                    <w:suppressAutoHyphens/>
                    <w:ind w:firstLine="709"/>
                    <w:jc w:val="both"/>
                    <w:textAlignment w:val="baseline"/>
                    <w:rPr>
                      <w:szCs w:val="24"/>
                      <w:lang w:eastAsia="ar-SA"/>
                    </w:rPr>
                  </w:pPr>
                  <w:r>
                    <w:rPr>
                      <w:szCs w:val="24"/>
                      <w:lang w:eastAsia="ar-SA"/>
                    </w:rPr>
                    <w:t>Paslaugos plečiamos siekiant didinti paslaugų prieinamumą, užtikrinti,</w:t>
                  </w:r>
                  <w:r>
                    <w:rPr>
                      <w:iCs/>
                      <w:szCs w:val="24"/>
                    </w:rPr>
                    <w:t xml:space="preserve"> kad socialinėje atskirtyje atsidūrę asmenys gautų tinkamą socialinę pagalbą, reabilituotųsi, adaptuotųsi ir integruotųsi į visuomenę</w:t>
                  </w:r>
                  <w:r>
                    <w:rPr>
                      <w:szCs w:val="24"/>
                      <w:lang w:eastAsia="ar-SA"/>
                    </w:rPr>
                    <w:t>. Siekiama plėtoti ir modernizuoti socialinių paslaugų infrastruktūrą, pritraukti įvairias investicijas, skatinti Telšių rajono nevyriausybines organizacijas, bendruomenes ir kitus subjektus aktyviau dalyvauti socialinių klausimų sprendime, savipagalbos organizavime ir socialinių paslaugų teikime.</w:t>
                  </w:r>
                </w:p>
                <w:p>
                  <w:pPr>
                    <w:widowControl w:val="0"/>
                    <w:suppressAutoHyphens/>
                    <w:ind w:firstLine="709"/>
                    <w:jc w:val="both"/>
                    <w:textAlignment w:val="baseline"/>
                    <w:rPr>
                      <w:szCs w:val="24"/>
                      <w:lang w:eastAsia="ar-SA"/>
                    </w:rPr>
                  </w:pPr>
                </w:p>
              </w:sdtContent>
            </w:sdt>
            <w:sdt>
              <w:sdtPr>
                <w:alias w:val="3 p."/>
                <w:tag w:val="part_8848c603fd7240b2bfc216ef1fcf5cfd"/>
                <w:lock w:val="sdtLocked"/>
                <w:richText/>
              </w:sdtPr>
              <w:sdtContent>
                <w:p>
                  <w:pPr>
                    <w:widowControl w:val="0"/>
                    <w:suppressAutoHyphens/>
                    <w:ind w:firstLine="709"/>
                    <w:jc w:val="both"/>
                    <w:textAlignment w:val="baseline"/>
                    <w:rPr>
                      <w:b/>
                      <w:szCs w:val="24"/>
                      <w:lang w:eastAsia="ar-SA"/>
                    </w:rPr>
                  </w:pPr>
                  <w:sdt>
                    <w:sdtPr>
                      <w:alias w:val="Numeris"/>
                      <w:tag w:val="nr_8848c603fd7240b2bfc216ef1fcf5cfd"/>
                      <w:lock w:val="sdtLocked"/>
                      <w:richText/>
                    </w:sdtPr>
                    <w:sdtContent>
                      <w:r>
                        <w:rPr>
                          <w:b/>
                          <w:szCs w:val="24"/>
                          <w:lang w:eastAsia="ar-SA"/>
                        </w:rPr>
                        <w:t>3</w:t>
                      </w:r>
                    </w:sdtContent>
                  </w:sdt>
                  <w:r>
                    <w:rPr>
                      <w:b/>
                      <w:szCs w:val="24"/>
                      <w:lang w:eastAsia="ar-SA"/>
                    </w:rPr>
                    <w:t>.</w:t>
                  </w:r>
                  <w:r>
                    <w:rPr>
                      <w:szCs w:val="24"/>
                      <w:lang w:eastAsia="ar-SA"/>
                    </w:rPr>
                    <w:t xml:space="preserve"> </w:t>
                  </w:r>
                  <w:r>
                    <w:rPr>
                      <w:b/>
                      <w:szCs w:val="24"/>
                      <w:lang w:eastAsia="ar-SA"/>
                    </w:rPr>
                    <w:t>Socialinių paslaugų plano rengėjai</w:t>
                  </w:r>
                </w:p>
                <w:p>
                  <w:pPr>
                    <w:widowControl w:val="0"/>
                    <w:suppressAutoHyphens/>
                    <w:ind w:firstLine="709"/>
                    <w:jc w:val="both"/>
                    <w:textAlignment w:val="baseline"/>
                    <w:rPr>
                      <w:b/>
                      <w:szCs w:val="24"/>
                      <w:lang w:eastAsia="ar-SA"/>
                    </w:rPr>
                  </w:pPr>
                </w:p>
                <w:p>
                  <w:pPr>
                    <w:widowControl w:val="0"/>
                    <w:suppressAutoHyphens/>
                    <w:ind w:firstLine="709"/>
                    <w:jc w:val="both"/>
                    <w:textAlignment w:val="baseline"/>
                    <w:rPr>
                      <w:szCs w:val="24"/>
                      <w:lang w:eastAsia="ar-SA"/>
                    </w:rPr>
                  </w:pPr>
                  <w:r>
                    <w:rPr>
                      <w:szCs w:val="24"/>
                      <w:lang w:eastAsia="ar-SA"/>
                    </w:rPr>
                    <w:t>Planą rengė Socialinės paramos ir rūpybos skyriaus vedėja Lendra Bukauskienė, Socialinės paramos ir rūpybos skyriaus vedėjo pavaduotoja Roma Mikalčienė, Socialinės paramos ir rūpybos skyriaus vyriausiosios specialistės Lina Karunkevičienė, Rimantė Levickienė, Reda Raginskienė, Rasa Vičkačienė.</w:t>
                  </w:r>
                  <w:r>
                    <w:rPr>
                      <w:b/>
                      <w:bCs/>
                      <w:szCs w:val="24"/>
                      <w:lang w:eastAsia="ar-SA"/>
                    </w:rPr>
                    <w:t xml:space="preserve"> </w:t>
                  </w:r>
                  <w:r>
                    <w:rPr>
                      <w:bCs/>
                      <w:szCs w:val="24"/>
                      <w:lang w:eastAsia="ar-SA"/>
                    </w:rPr>
                    <w:t>K</w:t>
                  </w:r>
                  <w:r>
                    <w:rPr>
                      <w:szCs w:val="24"/>
                      <w:lang w:eastAsia="ar-SA"/>
                    </w:rPr>
                    <w:t>onsultuotasi su Savivaldybės administracijos darbuotojais, Savivaldybės administracijos seniūnijų specialistais, Telšių rajono socialinių paslaugų įstaigų vadovais, socialiniais darbuotojais bei kitais socialiniais partneriais. Parengto Plano projektas buvo aptartas rajono socialinių įstaigų vadovų ir seniūnijų socialinių darbuotojų pasitarimuose</w:t>
                  </w:r>
                </w:p>
                <w:p>
                  <w:pPr>
                    <w:widowControl w:val="0"/>
                    <w:suppressAutoHyphens/>
                    <w:ind w:firstLine="709"/>
                    <w:jc w:val="both"/>
                    <w:textAlignment w:val="baseline"/>
                    <w:rPr>
                      <w:szCs w:val="24"/>
                      <w:lang w:eastAsia="ar-SA"/>
                    </w:rPr>
                  </w:pPr>
                </w:p>
                <w:p>
                  <w:pPr>
                    <w:widowControl w:val="0"/>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p>
              </w:sdtContent>
            </w:sdt>
          </w:sdtContent>
        </w:sdt>
        <w:sdt>
          <w:sdtPr>
            <w:alias w:val="skyrius"/>
            <w:tag w:val="part_3029108a47ba4f2285dd51cdb9e28ff1"/>
            <w:lock w:val="sdtLocked"/>
            <w:richText/>
          </w:sdtPr>
          <w:sdtContent>
            <w:p>
              <w:pPr>
                <w:widowControl w:val="0"/>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sdt>
                <w:sdtPr>
                  <w:alias w:val="Numeris"/>
                  <w:tag w:val="nr_3029108a47ba4f2285dd51cdb9e28ff1"/>
                  <w:lock w:val="sdtLocked"/>
                  <w:richText/>
                </w:sdtPr>
                <w:sdtContent>
                  <w:r>
                    <w:rPr>
                      <w:b/>
                      <w:szCs w:val="24"/>
                      <w:lang w:eastAsia="ar-SA"/>
                    </w:rPr>
                    <w:t>II</w:t>
                  </w:r>
                </w:sdtContent>
              </w:sdt>
              <w:r>
                <w:rPr>
                  <w:b/>
                  <w:szCs w:val="24"/>
                  <w:lang w:eastAsia="ar-SA"/>
                </w:rPr>
                <w:t xml:space="preserve">. </w:t>
              </w:r>
              <w:sdt>
                <w:sdtPr>
                  <w:alias w:val="Pavadinimas"/>
                  <w:tag w:val="title_3029108a47ba4f2285dd51cdb9e28ff1"/>
                  <w:lock w:val="sdtLocked"/>
                  <w:richText/>
                </w:sdtPr>
                <w:sdtContent>
                  <w:r>
                    <w:rPr>
                      <w:b/>
                      <w:szCs w:val="24"/>
                      <w:lang w:eastAsia="ar-SA"/>
                    </w:rPr>
                    <w:t>BŪKLĖS ANALIZĖ</w:t>
                  </w:r>
                </w:sdtContent>
              </w:sdt>
            </w:p>
            <w:sdt>
              <w:sdtPr>
                <w:alias w:val="4 p."/>
                <w:tag w:val="part_47009d4d0cbd4080b3c3971211c1a64f"/>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szCs w:val="24"/>
                      <w:lang w:eastAsia="ar-SA"/>
                    </w:rPr>
                  </w:pPr>
                  <w:sdt>
                    <w:sdtPr>
                      <w:alias w:val="Numeris"/>
                      <w:tag w:val="nr_47009d4d0cbd4080b3c3971211c1a64f"/>
                      <w:lock w:val="sdtLocked"/>
                      <w:richText/>
                    </w:sdtPr>
                    <w:sdtContent>
                      <w:r>
                        <w:rPr>
                          <w:b/>
                          <w:szCs w:val="24"/>
                          <w:lang w:eastAsia="ar-SA"/>
                        </w:rPr>
                        <w:t>4</w:t>
                      </w:r>
                    </w:sdtContent>
                  </w:sdt>
                  <w:r>
                    <w:rPr>
                      <w:b/>
                      <w:szCs w:val="24"/>
                      <w:lang w:eastAsia="ar-SA"/>
                    </w:rPr>
                    <w:t>. Savivaldybės socialinės ekonominės ir demografinės situacijos įvertinimas</w:t>
                  </w:r>
                  <w:r>
                    <w:rPr>
                      <w:szCs w:val="24"/>
                      <w:lang w:eastAsia="ar-SA"/>
                    </w:rPr>
                    <w:tab/>
                  </w:r>
                </w:p>
                <w:sdt>
                  <w:sdtPr>
                    <w:alias w:val="4.1 pp."/>
                    <w:tag w:val="part_868e66b31fe34b60abd11249aa188878"/>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firstLine="916"/>
                        <w:jc w:val="both"/>
                        <w:textAlignment w:val="baseline"/>
                        <w:rPr>
                          <w:b/>
                          <w:szCs w:val="24"/>
                          <w:lang w:eastAsia="ar-SA"/>
                        </w:rPr>
                      </w:pPr>
                      <w:sdt>
                        <w:sdtPr>
                          <w:alias w:val="Numeris"/>
                          <w:tag w:val="nr_868e66b31fe34b60abd11249aa188878"/>
                          <w:lock w:val="sdtLocked"/>
                          <w:richText/>
                        </w:sdtPr>
                        <w:sdtContent>
                          <w:r>
                            <w:rPr>
                              <w:b/>
                              <w:szCs w:val="24"/>
                              <w:lang w:eastAsia="ar-SA"/>
                            </w:rPr>
                            <w:t>4.1</w:t>
                          </w:r>
                        </w:sdtContent>
                      </w:sdt>
                      <w:r>
                        <w:rPr>
                          <w:b/>
                          <w:szCs w:val="24"/>
                          <w:lang w:eastAsia="ar-SA"/>
                        </w:rPr>
                        <w:t xml:space="preserve">. Vidutinis metinis gyventojų skaičius ir sudėtis </w:t>
                      </w:r>
                    </w:p>
                  </w:sdtContent>
                </w:sdt>
              </w:sdtContent>
            </w:sdt>
          </w:sdtContent>
        </w:sdt>
      </w:sdtContent>
    </w:sdt>
    <w:sdt>
      <w:sdtPr>
        <w:alias w:val="lentele"/>
        <w:tag w:val="part_843601819f7d4f2d9764079dcd39733e"/>
        <w:lock w:val="sdtLocked"/>
        <w:richText/>
      </w:sdtPr>
      <w:sdtContent>
        <w:tbl>
          <w:tblPr>
            <w:tblW w:w="7741" w:type="dxa"/>
            <w:jc w:val="center"/>
            <w:tblInd w:w="-1076" w:type="dxa"/>
            <w:tblLayout w:type="fixed"/>
            <w:tblLook w:val="0000" w:firstRow="0" w:lastRow="0" w:firstColumn="0" w:lastColumn="0" w:noHBand="0" w:noVBand="0"/>
          </w:tblPr>
          <w:tblGrid>
            <w:gridCol w:w="736"/>
            <w:gridCol w:w="3745"/>
            <w:gridCol w:w="1559"/>
            <w:gridCol w:w="1701"/>
          </w:tblGrid>
          <w:tr>
            <w:trPr>
              <w:trHeight w:val="255"/>
              <w:jc w:val="center"/>
            </w:trPr>
            <w:tc>
              <w:tcPr>
                <w:tcW w:w="736" w:type="dxa"/>
                <w:vMerge w:val="restart"/>
                <w:tcBorders>
                  <w:top w:val="single" w:sz="4" w:space="0" w:color="auto"/>
                  <w:left w:val="single" w:sz="4" w:space="0" w:color="auto"/>
                  <w:right w:val="single" w:sz="4" w:space="0" w:color="auto"/>
                </w:tcBorders>
                <w:shd w:val="pct10" w:color="auto" w:fill="auto"/>
              </w:tcPr>
              <w:p>
                <w:pPr>
                  <w:ind w:firstLine="720"/>
                  <w:jc w:val="center"/>
                  <w:rPr>
                    <w:b/>
                    <w:sz w:val="20"/>
                  </w:rPr>
                </w:pPr>
                <w:r>
                  <w:rPr>
                    <w:b/>
                    <w:sz w:val="20"/>
                  </w:rPr>
                  <w:t>Eil. Nr.</w:t>
                </w:r>
              </w:p>
            </w:tc>
            <w:tc>
              <w:tcPr>
                <w:tcW w:w="3745" w:type="dxa"/>
                <w:vMerge w:val="restart"/>
                <w:tcBorders>
                  <w:top w:val="single" w:sz="4" w:space="0" w:color="auto"/>
                  <w:left w:val="single" w:sz="4" w:space="0" w:color="auto"/>
                  <w:right w:val="single" w:sz="4" w:space="0" w:color="auto"/>
                </w:tcBorders>
                <w:shd w:val="pct10" w:color="auto" w:fill="auto"/>
                <w:noWrap/>
                <w:vAlign w:val="center"/>
              </w:tcPr>
              <w:p>
                <w:pPr>
                  <w:jc w:val="center"/>
                  <w:rPr>
                    <w:b/>
                    <w:sz w:val="20"/>
                  </w:rPr>
                </w:pPr>
                <w:r>
                  <w:rPr>
                    <w:b/>
                    <w:sz w:val="20"/>
                  </w:rPr>
                  <w:t>Rodiklis</w:t>
                </w:r>
              </w:p>
            </w:tc>
            <w:tc>
              <w:tcPr>
                <w:tcW w:w="3260" w:type="dxa"/>
                <w:gridSpan w:val="2"/>
                <w:tcBorders>
                  <w:top w:val="single" w:sz="4" w:space="0" w:color="auto"/>
                  <w:left w:val="single" w:sz="4" w:space="0" w:color="auto"/>
                  <w:bottom w:val="single" w:sz="4" w:space="0" w:color="auto"/>
                  <w:right w:val="single" w:sz="4" w:space="0" w:color="auto"/>
                </w:tcBorders>
                <w:shd w:val="pct10" w:color="auto" w:fill="auto"/>
                <w:vAlign w:val="center"/>
              </w:tcPr>
              <w:p>
                <w:pPr>
                  <w:tabs>
                    <w:tab w:val="left" w:pos="5832"/>
                  </w:tabs>
                  <w:jc w:val="center"/>
                  <w:rPr>
                    <w:b/>
                    <w:sz w:val="20"/>
                  </w:rPr>
                </w:pPr>
                <w:r>
                  <w:rPr>
                    <w:b/>
                    <w:sz w:val="20"/>
                  </w:rPr>
                  <w:t>Gyventojų (šeimų) skaičius</w:t>
                </w:r>
                <w:r>
                  <w:rPr>
                    <w:sz w:val="20"/>
                    <w:vertAlign w:val="superscript"/>
                  </w:rPr>
                  <w:footnoteReference w:id="1"/>
                </w:r>
              </w:p>
            </w:tc>
          </w:tr>
          <w:tr>
            <w:trPr>
              <w:trHeight w:val="360"/>
              <w:jc w:val="center"/>
            </w:trPr>
            <w:tc>
              <w:tcPr>
                <w:tcW w:w="736" w:type="dxa"/>
                <w:vMerge/>
                <w:tcBorders>
                  <w:left w:val="single" w:sz="4" w:space="0" w:color="auto"/>
                  <w:bottom w:val="single" w:sz="4" w:space="0" w:color="auto"/>
                  <w:right w:val="single" w:sz="4" w:space="0" w:color="auto"/>
                </w:tcBorders>
                <w:shd w:val="pct10" w:color="auto" w:fill="auto"/>
              </w:tcPr>
              <w:p>
                <w:pPr>
                  <w:jc w:val="center"/>
                  <w:rPr>
                    <w:b/>
                    <w:i/>
                    <w:iCs/>
                    <w:sz w:val="20"/>
                  </w:rPr>
                </w:pPr>
              </w:p>
            </w:tc>
            <w:tc>
              <w:tcPr>
                <w:tcW w:w="3745" w:type="dxa"/>
                <w:vMerge/>
                <w:tcBorders>
                  <w:left w:val="single" w:sz="4" w:space="0" w:color="auto"/>
                  <w:bottom w:val="single" w:sz="4" w:space="0" w:color="auto"/>
                  <w:right w:val="single" w:sz="4" w:space="0" w:color="auto"/>
                </w:tcBorders>
                <w:shd w:val="pct10" w:color="auto" w:fill="auto"/>
                <w:noWrap/>
                <w:vAlign w:val="center"/>
              </w:tcPr>
              <w:p>
                <w:pPr>
                  <w:jc w:val="center"/>
                  <w:rPr>
                    <w:b/>
                    <w:i/>
                    <w:iCs/>
                    <w:sz w:val="20"/>
                  </w:rPr>
                </w:pPr>
              </w:p>
            </w:tc>
            <w:tc>
              <w:tcPr>
                <w:tcW w:w="1559" w:type="dxa"/>
                <w:tcBorders>
                  <w:top w:val="single" w:sz="4" w:space="0" w:color="auto"/>
                  <w:left w:val="single" w:sz="4" w:space="0" w:color="auto"/>
                  <w:bottom w:val="single" w:sz="4" w:space="0" w:color="auto"/>
                  <w:right w:val="single" w:sz="4" w:space="0" w:color="auto"/>
                </w:tcBorders>
                <w:shd w:val="pct10" w:color="auto" w:fill="auto"/>
                <w:vAlign w:val="center"/>
              </w:tcPr>
              <w:p>
                <w:pPr>
                  <w:jc w:val="center"/>
                  <w:rPr>
                    <w:b/>
                    <w:iCs/>
                    <w:sz w:val="20"/>
                  </w:rPr>
                </w:pPr>
                <w:r>
                  <w:rPr>
                    <w:b/>
                    <w:iCs/>
                    <w:sz w:val="20"/>
                  </w:rPr>
                  <w:t>2015 m.</w:t>
                </w:r>
              </w:p>
            </w:tc>
            <w:tc>
              <w:tcPr>
                <w:tcW w:w="1701" w:type="dxa"/>
                <w:tcBorders>
                  <w:top w:val="single" w:sz="4" w:space="0" w:color="auto"/>
                  <w:left w:val="single" w:sz="4" w:space="0" w:color="auto"/>
                  <w:bottom w:val="single" w:sz="4" w:space="0" w:color="auto"/>
                  <w:right w:val="single" w:sz="4" w:space="0" w:color="auto"/>
                </w:tcBorders>
                <w:shd w:val="pct10" w:color="auto" w:fill="auto"/>
                <w:vAlign w:val="center"/>
              </w:tcPr>
              <w:p>
                <w:pPr>
                  <w:jc w:val="center"/>
                  <w:rPr>
                    <w:b/>
                    <w:iCs/>
                    <w:sz w:val="20"/>
                  </w:rPr>
                </w:pPr>
                <w:r>
                  <w:rPr>
                    <w:b/>
                    <w:iCs/>
                    <w:sz w:val="20"/>
                  </w:rPr>
                  <w:t>2016 m.</w:t>
                </w: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1.</w:t>
                </w:r>
              </w:p>
            </w:tc>
            <w:tc>
              <w:tcPr>
                <w:tcW w:w="3745" w:type="dxa"/>
                <w:tcBorders>
                  <w:top w:val="single" w:sz="4" w:space="0" w:color="auto"/>
                  <w:left w:val="single" w:sz="4" w:space="0" w:color="auto"/>
                  <w:bottom w:val="single" w:sz="4" w:space="0" w:color="auto"/>
                  <w:right w:val="single" w:sz="4" w:space="0" w:color="auto"/>
                </w:tcBorders>
                <w:noWrap/>
                <w:vAlign w:val="center"/>
              </w:tcPr>
              <w:p>
                <w:pPr>
                  <w:rPr>
                    <w:b/>
                    <w:sz w:val="20"/>
                  </w:rPr>
                </w:pPr>
                <w:r>
                  <w:rPr>
                    <w:b/>
                    <w:sz w:val="20"/>
                  </w:rPr>
                  <w:t>Gyventojų skaičius, iš jų:</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43992</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43059</w:t>
                </w: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1.1.</w:t>
                </w:r>
              </w:p>
            </w:tc>
            <w:tc>
              <w:tcPr>
                <w:tcW w:w="3745" w:type="dxa"/>
                <w:tcBorders>
                  <w:top w:val="single" w:sz="4" w:space="0" w:color="auto"/>
                  <w:left w:val="single" w:sz="4" w:space="0" w:color="auto"/>
                  <w:bottom w:val="single" w:sz="4" w:space="0" w:color="auto"/>
                  <w:right w:val="single" w:sz="4" w:space="0" w:color="auto"/>
                </w:tcBorders>
                <w:noWrap/>
                <w:vAlign w:val="center"/>
              </w:tcPr>
              <w:p>
                <w:pPr>
                  <w:rPr>
                    <w:sz w:val="20"/>
                  </w:rPr>
                </w:pPr>
                <w:r>
                  <w:rPr>
                    <w:sz w:val="20"/>
                  </w:rPr>
                  <w:t>Mieste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25068</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24642</w:t>
                </w: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1.2.</w:t>
                </w:r>
              </w:p>
            </w:tc>
            <w:tc>
              <w:tcPr>
                <w:tcW w:w="3745" w:type="dxa"/>
                <w:tcBorders>
                  <w:top w:val="single" w:sz="4" w:space="0" w:color="auto"/>
                  <w:left w:val="single" w:sz="4" w:space="0" w:color="auto"/>
                  <w:bottom w:val="single" w:sz="4" w:space="0" w:color="auto"/>
                  <w:right w:val="single" w:sz="4" w:space="0" w:color="auto"/>
                </w:tcBorders>
                <w:noWrap/>
                <w:vAlign w:val="center"/>
              </w:tcPr>
              <w:p>
                <w:pPr>
                  <w:rPr>
                    <w:sz w:val="20"/>
                  </w:rPr>
                </w:pPr>
                <w:r>
                  <w:rPr>
                    <w:sz w:val="20"/>
                  </w:rPr>
                  <w:t>Kaime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18854</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18417</w:t>
                </w: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2.</w:t>
                </w:r>
              </w:p>
            </w:tc>
            <w:tc>
              <w:tcPr>
                <w:tcW w:w="3745" w:type="dxa"/>
                <w:tcBorders>
                  <w:top w:val="single" w:sz="4" w:space="0" w:color="auto"/>
                  <w:left w:val="single" w:sz="4" w:space="0" w:color="auto"/>
                  <w:bottom w:val="single" w:sz="4" w:space="0" w:color="auto"/>
                  <w:right w:val="single" w:sz="4" w:space="0" w:color="auto"/>
                </w:tcBorders>
                <w:noWrap/>
                <w:vAlign w:val="center"/>
              </w:tcPr>
              <w:p>
                <w:pPr>
                  <w:rPr>
                    <w:b/>
                    <w:sz w:val="20"/>
                  </w:rPr>
                </w:pPr>
                <w:r>
                  <w:rPr>
                    <w:b/>
                    <w:sz w:val="20"/>
                  </w:rPr>
                  <w:t>Iš bendro gyventojų skaičiaus: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2.1.</w:t>
                </w:r>
              </w:p>
            </w:tc>
            <w:tc>
              <w:tcPr>
                <w:tcW w:w="3745" w:type="dxa"/>
                <w:tcBorders>
                  <w:top w:val="single" w:sz="4" w:space="0" w:color="auto"/>
                  <w:left w:val="single" w:sz="4" w:space="0" w:color="auto"/>
                  <w:bottom w:val="single" w:sz="4" w:space="0" w:color="auto"/>
                  <w:right w:val="single" w:sz="4" w:space="0" w:color="auto"/>
                </w:tcBorders>
                <w:noWrap/>
                <w:vAlign w:val="center"/>
              </w:tcPr>
              <w:p>
                <w:pPr>
                  <w:ind w:hanging="13"/>
                  <w:rPr>
                    <w:sz w:val="20"/>
                  </w:rPr>
                </w:pPr>
                <w:r>
                  <w:rPr>
                    <w:sz w:val="20"/>
                  </w:rPr>
                  <w:t>darbingo amžiaus gyventojų</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26466</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25990</w:t>
                </w: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2.1.</w:t>
                </w:r>
              </w:p>
            </w:tc>
            <w:tc>
              <w:tcPr>
                <w:tcW w:w="3745" w:type="dxa"/>
                <w:tcBorders>
                  <w:top w:val="single" w:sz="4" w:space="0" w:color="auto"/>
                  <w:left w:val="single" w:sz="4" w:space="0" w:color="auto"/>
                  <w:bottom w:val="single" w:sz="4" w:space="0" w:color="auto"/>
                  <w:right w:val="single" w:sz="4" w:space="0" w:color="auto"/>
                </w:tcBorders>
                <w:noWrap/>
                <w:vAlign w:val="center"/>
              </w:tcPr>
              <w:p>
                <w:pPr>
                  <w:ind w:firstLine="40"/>
                  <w:rPr>
                    <w:sz w:val="20"/>
                  </w:rPr>
                </w:pPr>
                <w:r>
                  <w:rPr>
                    <w:sz w:val="20"/>
                  </w:rPr>
                  <w:t>pensinio amžiaus gyventojų</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10389</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10222</w:t>
                </w: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2.2.</w:t>
                </w:r>
              </w:p>
            </w:tc>
            <w:tc>
              <w:tcPr>
                <w:tcW w:w="3745" w:type="dxa"/>
                <w:tcBorders>
                  <w:top w:val="single" w:sz="4" w:space="0" w:color="auto"/>
                  <w:left w:val="single" w:sz="4" w:space="0" w:color="auto"/>
                  <w:bottom w:val="single" w:sz="4" w:space="0" w:color="auto"/>
                  <w:right w:val="single" w:sz="4" w:space="0" w:color="auto"/>
                </w:tcBorders>
                <w:noWrap/>
                <w:vAlign w:val="center"/>
              </w:tcPr>
              <w:p>
                <w:pPr>
                  <w:ind w:firstLine="40"/>
                  <w:rPr>
                    <w:sz w:val="20"/>
                  </w:rPr>
                </w:pPr>
                <w:r>
                  <w:rPr>
                    <w:sz w:val="20"/>
                  </w:rPr>
                  <w:t xml:space="preserve">suaugusių asmenų su negalia </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4049</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3984</w:t>
                </w: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2.3.</w:t>
                </w:r>
              </w:p>
            </w:tc>
            <w:tc>
              <w:tcPr>
                <w:tcW w:w="3745" w:type="dxa"/>
                <w:tcBorders>
                  <w:top w:val="single" w:sz="4" w:space="0" w:color="auto"/>
                  <w:left w:val="single" w:sz="4" w:space="0" w:color="auto"/>
                  <w:bottom w:val="single" w:sz="4" w:space="0" w:color="auto"/>
                  <w:right w:val="single" w:sz="4" w:space="0" w:color="auto"/>
                </w:tcBorders>
                <w:noWrap/>
                <w:vAlign w:val="center"/>
              </w:tcPr>
              <w:p>
                <w:pPr>
                  <w:ind w:firstLine="40"/>
                  <w:rPr>
                    <w:sz w:val="20"/>
                  </w:rPr>
                </w:pPr>
                <w:r>
                  <w:rPr>
                    <w:sz w:val="20"/>
                  </w:rPr>
                  <w:t xml:space="preserve">vaikų  (iki 15 metų)</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7067</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6847</w:t>
                </w: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2.4.</w:t>
                </w:r>
              </w:p>
            </w:tc>
            <w:tc>
              <w:tcPr>
                <w:tcW w:w="3745" w:type="dxa"/>
                <w:tcBorders>
                  <w:top w:val="single" w:sz="4" w:space="0" w:color="auto"/>
                  <w:left w:val="single" w:sz="4" w:space="0" w:color="auto"/>
                  <w:bottom w:val="single" w:sz="4" w:space="0" w:color="auto"/>
                  <w:right w:val="single" w:sz="4" w:space="0" w:color="auto"/>
                </w:tcBorders>
                <w:noWrap/>
                <w:vAlign w:val="center"/>
              </w:tcPr>
              <w:p>
                <w:pPr>
                  <w:ind w:firstLine="40"/>
                  <w:rPr>
                    <w:sz w:val="20"/>
                  </w:rPr>
                </w:pPr>
                <w:r>
                  <w:rPr>
                    <w:sz w:val="20"/>
                  </w:rPr>
                  <w:t>vaikų su negalia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409</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393</w:t>
                </w: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3.</w:t>
                </w:r>
              </w:p>
            </w:tc>
            <w:tc>
              <w:tcPr>
                <w:tcW w:w="3745" w:type="dxa"/>
                <w:tcBorders>
                  <w:top w:val="single" w:sz="4" w:space="0" w:color="auto"/>
                  <w:left w:val="single" w:sz="4" w:space="0" w:color="auto"/>
                  <w:bottom w:val="single" w:sz="4" w:space="0" w:color="auto"/>
                  <w:right w:val="single" w:sz="4" w:space="0" w:color="auto"/>
                </w:tcBorders>
                <w:noWrap/>
                <w:vAlign w:val="bottom"/>
              </w:tcPr>
              <w:p>
                <w:pPr>
                  <w:rPr>
                    <w:b/>
                    <w:sz w:val="20"/>
                  </w:rPr>
                </w:pPr>
                <w:r>
                  <w:rPr>
                    <w:b/>
                    <w:sz w:val="20"/>
                  </w:rPr>
                  <w:t>Socialinės rizikos šeimos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157</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165</w:t>
                </w: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4.</w:t>
                </w:r>
              </w:p>
            </w:tc>
            <w:tc>
              <w:tcPr>
                <w:tcW w:w="3745" w:type="dxa"/>
                <w:tcBorders>
                  <w:top w:val="single" w:sz="4" w:space="0" w:color="auto"/>
                  <w:left w:val="single" w:sz="4" w:space="0" w:color="auto"/>
                  <w:bottom w:val="single" w:sz="4" w:space="0" w:color="auto"/>
                  <w:right w:val="single" w:sz="4" w:space="0" w:color="auto"/>
                </w:tcBorders>
                <w:noWrap/>
                <w:vAlign w:val="bottom"/>
              </w:tcPr>
              <w:p>
                <w:pPr>
                  <w:rPr>
                    <w:b/>
                    <w:sz w:val="20"/>
                  </w:rPr>
                </w:pPr>
                <w:r>
                  <w:rPr>
                    <w:b/>
                    <w:sz w:val="20"/>
                  </w:rPr>
                  <w:t>Vaikų skaičius socialinės rizikos šeimose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349</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373</w:t>
                </w:r>
              </w:p>
            </w:tc>
          </w:tr>
          <w:tr>
            <w:trPr>
              <w:trHeight w:val="255"/>
              <w:jc w:val="center"/>
            </w:trPr>
            <w:tc>
              <w:tcPr>
                <w:tcW w:w="73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5.</w:t>
                </w:r>
              </w:p>
            </w:tc>
            <w:tc>
              <w:tcPr>
                <w:tcW w:w="3745" w:type="dxa"/>
                <w:tcBorders>
                  <w:top w:val="single" w:sz="4" w:space="0" w:color="auto"/>
                  <w:left w:val="single" w:sz="4" w:space="0" w:color="auto"/>
                  <w:bottom w:val="single" w:sz="4" w:space="0" w:color="auto"/>
                  <w:right w:val="single" w:sz="4" w:space="0" w:color="auto"/>
                </w:tcBorders>
                <w:noWrap/>
                <w:vAlign w:val="bottom"/>
              </w:tcPr>
              <w:p>
                <w:pPr>
                  <w:rPr>
                    <w:b/>
                    <w:sz w:val="20"/>
                  </w:rPr>
                </w:pPr>
                <w:r>
                  <w:rPr>
                    <w:b/>
                    <w:sz w:val="20"/>
                  </w:rPr>
                  <w:t>Socialinės rizikos asmenys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115</w:t>
                </w:r>
              </w:p>
            </w:tc>
          </w:tr>
        </w:tbl>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both"/>
            <w:textAlignment w:val="baseline"/>
            <w:rPr>
              <w:szCs w:val="24"/>
              <w:lang w:eastAsia="ar-SA"/>
            </w:rPr>
          </w:pPr>
        </w:p>
        <w:sdt>
          <w:sdtPr>
            <w:alias w:val="4.2 pp."/>
            <w:tag w:val="part_2092323e4341485594cb0d2aa705de4b"/>
            <w:lock w:val="sdtLocked"/>
            <w:richText/>
          </w:sdtPr>
          <w:sdtContent>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sdt>
                <w:sdtPr>
                  <w:alias w:val="Numeris"/>
                  <w:tag w:val="nr_2092323e4341485594cb0d2aa705de4b"/>
                  <w:lock w:val="sdtLocked"/>
                  <w:richText/>
                </w:sdtPr>
                <w:sdtContent>
                  <w:r>
                    <w:rPr>
                      <w:b/>
                      <w:szCs w:val="24"/>
                      <w:lang w:eastAsia="ar-SA"/>
                    </w:rPr>
                    <w:t>4.2</w:t>
                  </w:r>
                </w:sdtContent>
              </w:sdt>
              <w:r>
                <w:rPr>
                  <w:b/>
                  <w:szCs w:val="24"/>
                  <w:lang w:eastAsia="ar-SA"/>
                </w:rPr>
                <w:t>. Gyventojų socialinių paslaugų poreikius lemiantys veiksniai</w:t>
              </w:r>
              <w:r>
                <w:rPr>
                  <w:b/>
                  <w:color w:val="FF0000"/>
                  <w:szCs w:val="24"/>
                  <w:lang w:eastAsia="ar-SA"/>
                </w:rPr>
                <w:t xml:space="preserve"> </w:t>
              </w:r>
            </w:p>
            <w:sdt>
              <w:sdtPr>
                <w:alias w:val="4.2.1 pp."/>
                <w:tag w:val="part_9874fcd42bdc4ebe8f14ff12f93cb125"/>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rPr>
                      <w:b/>
                      <w:szCs w:val="24"/>
                    </w:rPr>
                  </w:pPr>
                  <w:sdt>
                    <w:sdtPr>
                      <w:alias w:val="Numeris"/>
                      <w:tag w:val="nr_9874fcd42bdc4ebe8f14ff12f93cb125"/>
                      <w:lock w:val="sdtLocked"/>
                      <w:richText/>
                    </w:sdtPr>
                    <w:sdtContent>
                      <w:r>
                        <w:rPr>
                          <w:b/>
                          <w:szCs w:val="24"/>
                        </w:rPr>
                        <w:t>4.2.1</w:t>
                      </w:r>
                    </w:sdtContent>
                  </w:sdt>
                  <w:r>
                    <w:rPr>
                      <w:b/>
                      <w:szCs w:val="24"/>
                    </w:rPr>
                    <w:t>. Paslaugų poreikį lemiantys veiksniai pagal gyventojų grupes</w:t>
                  </w:r>
                </w:p>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szCs w:val="24"/>
                    </w:rPr>
                  </w:pPr>
                  <w:r>
                    <w:rPr>
                      <w:szCs w:val="24"/>
                    </w:rPr>
                    <w:t>Telšių rajono gyventojų socialinių paslaugų poreikius bei socialinių paslaugų tinklo plėtrą lemia tiek objektyvūs, tiek ir subjektyvūs veiksniai: visuomenės senėjimas, vidutinės gyvenimo trukmės ilgėjimas, nedarbas (bedarbių skaičius siekia 7,4 proc. visų darbingo amžiaus gyventojų</w:t>
                  </w:r>
                  <w:r>
                    <w:rPr>
                      <w:rFonts w:ascii="Courier New" w:hAnsi="Courier New"/>
                      <w:sz w:val="20"/>
                      <w:vertAlign w:val="superscript"/>
                    </w:rPr>
                    <w:footnoteReference w:id="2"/>
                  </w:r>
                  <w:r>
                    <w:rPr>
                      <w:szCs w:val="24"/>
                    </w:rPr>
                    <w:t>), negalia (9,2 proc. visų gyventojų – neįgalūs asmenys), alkoholio, narkotinių ir kitų psichotropinių medžiagų vartojimas, psichologinė, fizinė ar seksualinė prievarta, motyvacijos stoka.</w:t>
                  </w:r>
                </w:p>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szCs w:val="24"/>
                    </w:rPr>
                  </w:pPr>
                  <w:r>
                    <w:rPr>
                      <w:szCs w:val="24"/>
                    </w:rPr>
                    <w:t>Socialinių paslaugų poreikius sąlygojantys veiksniai analizuojami pagal 3 žmonių socialines grupes:</w:t>
                  </w:r>
                </w:p>
                <w:sdt>
                  <w:sdtPr>
                    <w:alias w:val="4.2.1 pp. 1 pp."/>
                    <w:tag w:val="part_6db8e6bfc773435d802d45ab8d145b8f"/>
                    <w:lock w:val="sdtLocked"/>
                    <w:richText/>
                  </w:sdtPr>
                  <w:sdtContent>
                    <w:p>
                      <w:pPr>
                        <w:widowControl w:val="0"/>
                        <w:tabs>
                          <w:tab w:val="left" w:pos="0"/>
                          <w:tab w:val="left" w:pos="916"/>
                          <w:tab w:val="left" w:pos="12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textAlignment w:val="baseline"/>
                        <w:rPr>
                          <w:szCs w:val="24"/>
                        </w:rPr>
                      </w:pPr>
                      <w:sdt>
                        <w:sdtPr>
                          <w:alias w:val="Numeris"/>
                          <w:tag w:val="nr_6db8e6bfc773435d802d45ab8d145b8f"/>
                          <w:lock w:val="sdtLocked"/>
                          <w:richText/>
                        </w:sdtPr>
                        <w:sdtContent>
                          <w:r>
                            <w:rPr>
                              <w:szCs w:val="24"/>
                            </w:rPr>
                            <w:t>1</w:t>
                          </w:r>
                        </w:sdtContent>
                      </w:sdt>
                      <w:r>
                        <w:rPr>
                          <w:szCs w:val="24"/>
                        </w:rPr>
                        <w:t>)</w:t>
                        <w:tab/>
                        <w:t>vaikai ir šeimos: likę be tėvų globos vaikai, neįgalūs vaikai, vaikai iš socialinės rizikos šeimų, stebimų ir socialinės rizikos šeimų apskaitoje esančios šeimos, auginančios nepilnamečius vaikus (toliau – socialinės rizikos šeimos);</w:t>
                      </w:r>
                    </w:p>
                  </w:sdtContent>
                </w:sdt>
                <w:sdt>
                  <w:sdtPr>
                    <w:alias w:val="4.2.1 pp. 2 pp."/>
                    <w:tag w:val="part_aa5329d51891403bb6a6af9e095fee1d"/>
                    <w:lock w:val="sdtLocked"/>
                    <w:richText/>
                  </w:sdtPr>
                  <w:sdtContent>
                    <w:p>
                      <w:pPr>
                        <w:widowControl w:val="0"/>
                        <w:tabs>
                          <w:tab w:val="left" w:pos="0"/>
                          <w:tab w:val="left" w:pos="916"/>
                          <w:tab w:val="left" w:pos="12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textAlignment w:val="baseline"/>
                        <w:rPr>
                          <w:szCs w:val="24"/>
                        </w:rPr>
                      </w:pPr>
                      <w:sdt>
                        <w:sdtPr>
                          <w:alias w:val="Numeris"/>
                          <w:tag w:val="nr_aa5329d51891403bb6a6af9e095fee1d"/>
                          <w:lock w:val="sdtLocked"/>
                          <w:richText/>
                        </w:sdtPr>
                        <w:sdtContent>
                          <w:r>
                            <w:rPr>
                              <w:szCs w:val="24"/>
                            </w:rPr>
                            <w:t>2</w:t>
                          </w:r>
                        </w:sdtContent>
                      </w:sdt>
                      <w:r>
                        <w:rPr>
                          <w:szCs w:val="24"/>
                        </w:rPr>
                        <w:t>)</w:t>
                        <w:tab/>
                        <w:t>senyvo amžiaus ir neįgalūs asmenys;</w:t>
                      </w:r>
                    </w:p>
                  </w:sdtContent>
                </w:sdt>
                <w:sdt>
                  <w:sdtPr>
                    <w:alias w:val="4.2.1 pp. 3 pp."/>
                    <w:tag w:val="part_164216a26e5845e8b4b00027c7c36d9b"/>
                    <w:lock w:val="sdtLocked"/>
                    <w:richText/>
                  </w:sdtPr>
                  <w:sdtContent>
                    <w:p>
                      <w:pPr>
                        <w:widowControl w:val="0"/>
                        <w:tabs>
                          <w:tab w:val="left" w:pos="0"/>
                          <w:tab w:val="left" w:pos="916"/>
                          <w:tab w:val="left" w:pos="12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textAlignment w:val="baseline"/>
                        <w:rPr>
                          <w:szCs w:val="24"/>
                        </w:rPr>
                      </w:pPr>
                      <w:sdt>
                        <w:sdtPr>
                          <w:alias w:val="Numeris"/>
                          <w:tag w:val="nr_164216a26e5845e8b4b00027c7c36d9b"/>
                          <w:lock w:val="sdtLocked"/>
                          <w:richText/>
                        </w:sdtPr>
                        <w:sdtContent>
                          <w:r>
                            <w:rPr>
                              <w:szCs w:val="24"/>
                            </w:rPr>
                            <w:t>3</w:t>
                          </w:r>
                        </w:sdtContent>
                      </w:sdt>
                      <w:r>
                        <w:rPr>
                          <w:szCs w:val="24"/>
                        </w:rPr>
                        <w:t>)</w:t>
                        <w:tab/>
                        <w:t>socialinės rizikos asmenys, t.y. vyresni kaip 18 metų asmenys, turintys emocinių, elgesio, socialinių problemų ir dėl to esantys socialiai atskirti.</w:t>
                      </w:r>
                      <w:r>
                        <w:rPr>
                          <w:rFonts w:ascii="Courier New" w:hAnsi="Courier New"/>
                          <w:sz w:val="20"/>
                        </w:rPr>
                        <w:t xml:space="preserve">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rFonts w:cs="Courier New"/>
                          <w:szCs w:val="24"/>
                          <w:lang w:eastAsia="ar-SA"/>
                        </w:rPr>
                      </w:pPr>
                      <w:r>
                        <w:rPr>
                          <w:b/>
                          <w:szCs w:val="24"/>
                          <w:lang w:eastAsia="ar-SA"/>
                        </w:rPr>
                        <w:t xml:space="preserve">Socialinės rizikos šeimų </w:t>
                      </w:r>
                      <w:r>
                        <w:rPr>
                          <w:szCs w:val="24"/>
                          <w:lang w:eastAsia="ar-SA"/>
                        </w:rPr>
                        <w:t>apskaitoje 2017 m. sausio 1 d. buvo 165 socialinės rizikos šeimos ir jose augo 373 nepilnamečiai vaikai. Socialinės rizikos šeimų ir socialinių įgūdžių stokojančių šeimų pokytis pateiktas žemiau lentelėje.</w:t>
                      </w:r>
                      <w:r>
                        <w:rPr>
                          <w:rFonts w:ascii="Courier New" w:hAnsi="Courier New" w:cs="Courier New"/>
                          <w:sz w:val="20"/>
                          <w:vertAlign w:val="superscript"/>
                          <w:lang w:eastAsia="ar-SA"/>
                        </w:rPr>
                        <w:footnoteReference w:id="3"/>
                      </w:r>
                    </w:p>
                    <w:p>
                      <w:pPr>
                        <w:tabs>
                          <w:tab w:val="left" w:pos="916"/>
                          <w:tab w:val="left" w:pos="12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r>
                        <w:rPr>
                          <w:b/>
                          <w:szCs w:val="24"/>
                        </w:rPr>
                        <w:t>Socialinės rizikos šeimų ir jose augančių vaikų dinamika 2012─2016 metais</w:t>
                      </w:r>
                    </w:p>
                  </w:sdtContent>
                </w:sdt>
              </w:sdtContent>
            </w:sdt>
          </w:sdtContent>
        </w:sdt>
      </w:sdtContent>
    </w:sdt>
    <w:sdt>
      <w:sdtPr>
        <w:alias w:val="lentele"/>
        <w:tag w:val="part_0f3a0559154a4ce1ab8798f795687806"/>
        <w:lock w:val="sdtLocked"/>
        <w:richText/>
      </w:sdtPr>
      <w:sdtContent>
        <w:tbl>
          <w:tblPr>
            <w:tblW w:w="9418" w:type="dxa"/>
            <w:jc w:val="center"/>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23"/>
            <w:gridCol w:w="827"/>
            <w:gridCol w:w="827"/>
            <w:gridCol w:w="826"/>
            <w:gridCol w:w="826"/>
            <w:gridCol w:w="989"/>
          </w:tblGrid>
          <w:tr>
            <w:trPr>
              <w:trHeight w:val="485"/>
              <w:jc w:val="center"/>
            </w:trPr>
            <w:tc>
              <w:tcPr>
                <w:tcW w:w="5123" w:type="dxa"/>
                <w:tcBorders>
                  <w:tl2br w:val="single" w:sz="4" w:space="0" w:color="auto"/>
                </w:tcBorders>
                <w:shd w:val="pct10" w:color="auto" w:fill="auto"/>
                <w:vAlign w:val="center"/>
              </w:tcPr>
              <w:p>
                <w:pPr>
                  <w:ind w:firstLine="2279"/>
                  <w:jc w:val="right"/>
                  <w:rPr>
                    <w:b/>
                    <w:sz w:val="20"/>
                  </w:rPr>
                </w:pPr>
                <w:r>
                  <w:rPr>
                    <w:b/>
                    <w:sz w:val="20"/>
                  </w:rPr>
                  <w:t>Metai</w:t>
                </w:r>
              </w:p>
              <w:p>
                <w:pPr>
                  <w:rPr>
                    <w:b/>
                    <w:sz w:val="20"/>
                  </w:rPr>
                </w:pPr>
                <w:r>
                  <w:rPr>
                    <w:b/>
                    <w:sz w:val="20"/>
                  </w:rPr>
                  <w:t>Rodiklis</w:t>
                </w:r>
              </w:p>
            </w:tc>
            <w:tc>
              <w:tcPr>
                <w:tcW w:w="827" w:type="dxa"/>
                <w:shd w:val="pct10" w:color="auto" w:fill="auto"/>
                <w:vAlign w:val="center"/>
              </w:tcPr>
              <w:p>
                <w:pPr>
                  <w:jc w:val="center"/>
                  <w:rPr>
                    <w:b/>
                    <w:sz w:val="20"/>
                  </w:rPr>
                </w:pPr>
                <w:r>
                  <w:rPr>
                    <w:b/>
                    <w:sz w:val="20"/>
                  </w:rPr>
                  <w:t>2012</w:t>
                </w:r>
              </w:p>
            </w:tc>
            <w:tc>
              <w:tcPr>
                <w:tcW w:w="827" w:type="dxa"/>
                <w:shd w:val="pct10" w:color="auto" w:fill="auto"/>
                <w:vAlign w:val="center"/>
              </w:tcPr>
              <w:p>
                <w:pPr>
                  <w:jc w:val="center"/>
                  <w:rPr>
                    <w:b/>
                    <w:sz w:val="20"/>
                  </w:rPr>
                </w:pPr>
                <w:r>
                  <w:rPr>
                    <w:b/>
                    <w:sz w:val="20"/>
                  </w:rPr>
                  <w:t>2013</w:t>
                </w:r>
              </w:p>
            </w:tc>
            <w:tc>
              <w:tcPr>
                <w:tcW w:w="826" w:type="dxa"/>
                <w:shd w:val="pct10" w:color="auto" w:fill="auto"/>
                <w:vAlign w:val="center"/>
              </w:tcPr>
              <w:p>
                <w:pPr>
                  <w:jc w:val="center"/>
                  <w:rPr>
                    <w:b/>
                    <w:sz w:val="20"/>
                  </w:rPr>
                </w:pPr>
                <w:r>
                  <w:rPr>
                    <w:b/>
                    <w:sz w:val="20"/>
                  </w:rPr>
                  <w:t>2014</w:t>
                </w:r>
              </w:p>
            </w:tc>
            <w:tc>
              <w:tcPr>
                <w:tcW w:w="826" w:type="dxa"/>
                <w:shd w:val="pct10" w:color="auto" w:fill="auto"/>
                <w:vAlign w:val="center"/>
              </w:tcPr>
              <w:p>
                <w:pPr>
                  <w:jc w:val="center"/>
                  <w:rPr>
                    <w:b/>
                    <w:sz w:val="20"/>
                  </w:rPr>
                </w:pPr>
                <w:r>
                  <w:rPr>
                    <w:b/>
                    <w:sz w:val="20"/>
                  </w:rPr>
                  <w:t>2015</w:t>
                </w:r>
              </w:p>
            </w:tc>
            <w:tc>
              <w:tcPr>
                <w:tcW w:w="989" w:type="dxa"/>
                <w:shd w:val="pct10" w:color="auto" w:fill="auto"/>
                <w:vAlign w:val="center"/>
              </w:tcPr>
              <w:p>
                <w:pPr>
                  <w:jc w:val="center"/>
                  <w:rPr>
                    <w:b/>
                    <w:sz w:val="20"/>
                  </w:rPr>
                </w:pPr>
                <w:r>
                  <w:rPr>
                    <w:b/>
                    <w:sz w:val="20"/>
                  </w:rPr>
                  <w:t>2016</w:t>
                </w:r>
              </w:p>
            </w:tc>
          </w:tr>
          <w:tr>
            <w:trPr>
              <w:jc w:val="center"/>
            </w:trPr>
            <w:tc>
              <w:tcPr>
                <w:tcW w:w="5123" w:type="dxa"/>
                <w:shd w:val="clear" w:color="auto" w:fill="auto"/>
              </w:tcPr>
              <w:p>
                <w:pPr>
                  <w:widowControl w:val="0"/>
                  <w:suppressLineNumbers/>
                  <w:suppressAutoHyphens/>
                  <w:snapToGrid w:val="0"/>
                  <w:rPr>
                    <w:rFonts w:eastAsia="Lucida Sans Unicode" w:cs="Tahoma"/>
                    <w:kern w:val="1"/>
                    <w:sz w:val="20"/>
                  </w:rPr>
                </w:pPr>
                <w:r>
                  <w:rPr>
                    <w:rFonts w:eastAsia="Lucida Sans Unicode" w:cs="Tahoma"/>
                    <w:kern w:val="1"/>
                    <w:sz w:val="20"/>
                  </w:rPr>
                  <w:t>Socialinės rizikos šeimų skaičius</w:t>
                </w:r>
              </w:p>
            </w:tc>
            <w:tc>
              <w:tcPr>
                <w:tcW w:w="827" w:type="dxa"/>
                <w:shd w:val="clear" w:color="auto" w:fill="auto"/>
                <w:vAlign w:val="center"/>
              </w:tcPr>
              <w:p>
                <w:pPr>
                  <w:widowControl w:val="0"/>
                  <w:suppressLineNumbers/>
                  <w:suppressAutoHyphens/>
                  <w:snapToGrid w:val="0"/>
                  <w:jc w:val="center"/>
                  <w:rPr>
                    <w:rFonts w:eastAsia="Lucida Sans Unicode" w:cs="Tahoma"/>
                    <w:kern w:val="1"/>
                    <w:sz w:val="20"/>
                  </w:rPr>
                </w:pPr>
                <w:r>
                  <w:rPr>
                    <w:rFonts w:eastAsia="Lucida Sans Unicode" w:cs="Tahoma"/>
                    <w:kern w:val="1"/>
                    <w:sz w:val="20"/>
                  </w:rPr>
                  <w:t>167</w:t>
                </w:r>
              </w:p>
            </w:tc>
            <w:tc>
              <w:tcPr>
                <w:tcW w:w="827" w:type="dxa"/>
                <w:shd w:val="clear" w:color="auto" w:fill="auto"/>
                <w:vAlign w:val="center"/>
              </w:tcPr>
              <w:p>
                <w:pPr>
                  <w:widowControl w:val="0"/>
                  <w:suppressLineNumbers/>
                  <w:suppressAutoHyphens/>
                  <w:snapToGrid w:val="0"/>
                  <w:jc w:val="center"/>
                  <w:rPr>
                    <w:rFonts w:eastAsia="Lucida Sans Unicode" w:cs="Tahoma"/>
                    <w:kern w:val="1"/>
                    <w:sz w:val="20"/>
                  </w:rPr>
                </w:pPr>
                <w:r>
                  <w:rPr>
                    <w:rFonts w:eastAsia="Lucida Sans Unicode" w:cs="Tahoma"/>
                    <w:kern w:val="1"/>
                    <w:sz w:val="20"/>
                  </w:rPr>
                  <w:t>160</w:t>
                </w:r>
              </w:p>
            </w:tc>
            <w:tc>
              <w:tcPr>
                <w:tcW w:w="826" w:type="dxa"/>
                <w:shd w:val="clear" w:color="auto" w:fill="auto"/>
                <w:vAlign w:val="center"/>
              </w:tcPr>
              <w:p>
                <w:pPr>
                  <w:widowControl w:val="0"/>
                  <w:suppressLineNumbers/>
                  <w:suppressAutoHyphens/>
                  <w:snapToGrid w:val="0"/>
                  <w:jc w:val="center"/>
                  <w:rPr>
                    <w:rFonts w:eastAsia="Lucida Sans Unicode" w:cs="Tahoma"/>
                    <w:kern w:val="1"/>
                    <w:sz w:val="20"/>
                  </w:rPr>
                </w:pPr>
                <w:r>
                  <w:rPr>
                    <w:rFonts w:eastAsia="Lucida Sans Unicode" w:cs="Tahoma"/>
                    <w:kern w:val="1"/>
                    <w:sz w:val="20"/>
                  </w:rPr>
                  <w:t>167</w:t>
                </w:r>
              </w:p>
            </w:tc>
            <w:tc>
              <w:tcPr>
                <w:tcW w:w="826" w:type="dxa"/>
                <w:vAlign w:val="center"/>
              </w:tcPr>
              <w:p>
                <w:pPr>
                  <w:widowControl w:val="0"/>
                  <w:suppressLineNumbers/>
                  <w:suppressAutoHyphens/>
                  <w:snapToGrid w:val="0"/>
                  <w:jc w:val="center"/>
                  <w:rPr>
                    <w:rFonts w:eastAsia="Lucida Sans Unicode" w:cs="Tahoma"/>
                    <w:kern w:val="1"/>
                    <w:sz w:val="20"/>
                  </w:rPr>
                </w:pPr>
                <w:r>
                  <w:rPr>
                    <w:rFonts w:eastAsia="Lucida Sans Unicode" w:cs="Tahoma"/>
                    <w:kern w:val="1"/>
                    <w:sz w:val="20"/>
                  </w:rPr>
                  <w:t>157</w:t>
                </w:r>
              </w:p>
            </w:tc>
            <w:tc>
              <w:tcPr>
                <w:tcW w:w="989" w:type="dxa"/>
                <w:vAlign w:val="center"/>
              </w:tcPr>
              <w:p>
                <w:pPr>
                  <w:widowControl w:val="0"/>
                  <w:suppressLineNumbers/>
                  <w:suppressAutoHyphens/>
                  <w:snapToGrid w:val="0"/>
                  <w:jc w:val="center"/>
                  <w:rPr>
                    <w:rFonts w:eastAsia="Lucida Sans Unicode" w:cs="Tahoma"/>
                    <w:kern w:val="1"/>
                    <w:sz w:val="20"/>
                  </w:rPr>
                </w:pPr>
                <w:r>
                  <w:rPr>
                    <w:rFonts w:eastAsia="Lucida Sans Unicode" w:cs="Tahoma"/>
                    <w:kern w:val="1"/>
                    <w:sz w:val="20"/>
                  </w:rPr>
                  <w:t>165</w:t>
                </w:r>
              </w:p>
            </w:tc>
          </w:tr>
          <w:tr>
            <w:trPr>
              <w:trHeight w:val="123"/>
              <w:jc w:val="center"/>
            </w:trPr>
            <w:tc>
              <w:tcPr>
                <w:tcW w:w="5123" w:type="dxa"/>
                <w:shd w:val="clear" w:color="auto" w:fill="auto"/>
              </w:tcPr>
              <w:p>
                <w:pPr>
                  <w:widowControl w:val="0"/>
                  <w:suppressLineNumbers/>
                  <w:suppressAutoHyphens/>
                  <w:snapToGrid w:val="0"/>
                  <w:rPr>
                    <w:rFonts w:eastAsia="Lucida Sans Unicode" w:cs="Tahoma"/>
                    <w:kern w:val="1"/>
                    <w:sz w:val="20"/>
                  </w:rPr>
                </w:pPr>
                <w:r>
                  <w:rPr>
                    <w:rFonts w:eastAsia="Lucida Sans Unicode" w:cs="Tahoma"/>
                    <w:kern w:val="1"/>
                    <w:sz w:val="20"/>
                  </w:rPr>
                  <w:t>Jose augančių vaikų skaičius</w:t>
                </w:r>
              </w:p>
            </w:tc>
            <w:tc>
              <w:tcPr>
                <w:tcW w:w="827" w:type="dxa"/>
                <w:shd w:val="clear" w:color="auto" w:fill="auto"/>
                <w:vAlign w:val="center"/>
              </w:tcPr>
              <w:p>
                <w:pPr>
                  <w:widowControl w:val="0"/>
                  <w:suppressLineNumbers/>
                  <w:suppressAutoHyphens/>
                  <w:snapToGrid w:val="0"/>
                  <w:jc w:val="center"/>
                  <w:rPr>
                    <w:rFonts w:eastAsia="Lucida Sans Unicode" w:cs="Tahoma"/>
                    <w:kern w:val="1"/>
                    <w:sz w:val="20"/>
                  </w:rPr>
                </w:pPr>
                <w:r>
                  <w:rPr>
                    <w:rFonts w:eastAsia="Lucida Sans Unicode" w:cs="Tahoma"/>
                    <w:kern w:val="1"/>
                    <w:sz w:val="20"/>
                  </w:rPr>
                  <w:t>373</w:t>
                </w:r>
              </w:p>
            </w:tc>
            <w:tc>
              <w:tcPr>
                <w:tcW w:w="827" w:type="dxa"/>
                <w:shd w:val="clear" w:color="auto" w:fill="auto"/>
                <w:vAlign w:val="center"/>
              </w:tcPr>
              <w:p>
                <w:pPr>
                  <w:widowControl w:val="0"/>
                  <w:suppressLineNumbers/>
                  <w:suppressAutoHyphens/>
                  <w:snapToGrid w:val="0"/>
                  <w:jc w:val="center"/>
                  <w:rPr>
                    <w:rFonts w:eastAsia="Lucida Sans Unicode" w:cs="Tahoma"/>
                    <w:kern w:val="1"/>
                    <w:sz w:val="20"/>
                  </w:rPr>
                </w:pPr>
                <w:r>
                  <w:rPr>
                    <w:rFonts w:eastAsia="Lucida Sans Unicode" w:cs="Tahoma"/>
                    <w:kern w:val="1"/>
                    <w:sz w:val="20"/>
                  </w:rPr>
                  <w:t>359</w:t>
                </w:r>
              </w:p>
            </w:tc>
            <w:tc>
              <w:tcPr>
                <w:tcW w:w="826" w:type="dxa"/>
                <w:shd w:val="clear" w:color="auto" w:fill="auto"/>
                <w:vAlign w:val="center"/>
              </w:tcPr>
              <w:p>
                <w:pPr>
                  <w:widowControl w:val="0"/>
                  <w:suppressLineNumbers/>
                  <w:suppressAutoHyphens/>
                  <w:snapToGrid w:val="0"/>
                  <w:jc w:val="center"/>
                  <w:rPr>
                    <w:rFonts w:eastAsia="Lucida Sans Unicode" w:cs="Tahoma"/>
                    <w:kern w:val="1"/>
                    <w:sz w:val="20"/>
                  </w:rPr>
                </w:pPr>
                <w:r>
                  <w:rPr>
                    <w:rFonts w:eastAsia="Lucida Sans Unicode" w:cs="Tahoma"/>
                    <w:kern w:val="1"/>
                    <w:sz w:val="20"/>
                  </w:rPr>
                  <w:t>359</w:t>
                </w:r>
              </w:p>
            </w:tc>
            <w:tc>
              <w:tcPr>
                <w:tcW w:w="826" w:type="dxa"/>
                <w:vAlign w:val="center"/>
              </w:tcPr>
              <w:p>
                <w:pPr>
                  <w:widowControl w:val="0"/>
                  <w:suppressLineNumbers/>
                  <w:suppressAutoHyphens/>
                  <w:snapToGrid w:val="0"/>
                  <w:jc w:val="center"/>
                  <w:rPr>
                    <w:rFonts w:eastAsia="Lucida Sans Unicode" w:cs="Tahoma"/>
                    <w:kern w:val="1"/>
                    <w:sz w:val="20"/>
                  </w:rPr>
                </w:pPr>
                <w:r>
                  <w:rPr>
                    <w:rFonts w:eastAsia="Lucida Sans Unicode" w:cs="Tahoma"/>
                    <w:kern w:val="1"/>
                    <w:sz w:val="20"/>
                  </w:rPr>
                  <w:t>349</w:t>
                </w:r>
              </w:p>
            </w:tc>
            <w:tc>
              <w:tcPr>
                <w:tcW w:w="989" w:type="dxa"/>
                <w:vAlign w:val="center"/>
              </w:tcPr>
              <w:p>
                <w:pPr>
                  <w:widowControl w:val="0"/>
                  <w:suppressLineNumbers/>
                  <w:suppressAutoHyphens/>
                  <w:snapToGrid w:val="0"/>
                  <w:jc w:val="center"/>
                  <w:rPr>
                    <w:rFonts w:eastAsia="Lucida Sans Unicode" w:cs="Tahoma"/>
                    <w:kern w:val="1"/>
                    <w:sz w:val="20"/>
                  </w:rPr>
                </w:pPr>
                <w:r>
                  <w:rPr>
                    <w:rFonts w:eastAsia="Lucida Sans Unicode" w:cs="Tahoma"/>
                    <w:kern w:val="1"/>
                    <w:sz w:val="20"/>
                  </w:rPr>
                  <w:t>373</w:t>
                </w:r>
              </w:p>
            </w:tc>
          </w:tr>
        </w:tbl>
        <w:p/>
      </w:sdtContent>
    </w:sdt>
    <w:sdt>
      <w:sdtPr>
        <w:alias w:val="pastraipa"/>
        <w:tag w:val="part_598ed99db33246808532859a0d44770b"/>
        <w:lock w:val="sdtLocked"/>
        <w:richText/>
      </w:sdtPr>
      <w:sdtContent>
        <w:p>
          <w:pPr>
            <w:tabs>
              <w:tab w:val="left" w:pos="851"/>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4"/>
            </w:rPr>
          </w:pPr>
          <w:r>
            <w:rPr>
              <w:szCs w:val="24"/>
            </w:rPr>
            <w:t>Socialinės rizikos šeimų skaičius, vertinant pagal gyventojų skaičių, nemažėja. Viena iš pagrindinių problemų yra skurdas, šeimos narių priklausomybės ir įvairios negalios. Žemiau pateikiama tokių šeimų statistika.</w:t>
          </w:r>
        </w:p>
        <w:p>
          <w:pPr>
            <w:tabs>
              <w:tab w:val="left" w:pos="916"/>
              <w:tab w:val="left" w:pos="12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
          <w:sdtPr>
            <w:alias w:val="poskyris"/>
            <w:tag w:val="part_93562c37a9f34cab972abc837b72930e"/>
            <w:lock w:val="sdtLocked"/>
            <w:richText/>
          </w:sdtPr>
          <w:sdtContent>
            <w:p>
              <w:pPr>
                <w:tabs>
                  <w:tab w:val="left" w:pos="916"/>
                  <w:tab w:val="left" w:pos="12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0"/>
                </w:rPr>
              </w:pPr>
              <w:sdt>
                <w:sdtPr>
                  <w:alias w:val="Pavadinimas"/>
                  <w:tag w:val="title_93562c37a9f34cab972abc837b72930e"/>
                  <w:lock w:val="sdtLocked"/>
                  <w:richText/>
                </w:sdtPr>
                <w:sdtContent>
                  <w:r>
                    <w:rPr>
                      <w:b/>
                      <w:sz w:val="20"/>
                    </w:rPr>
                    <w:t>Socialinės rizikos šeimų, kurioms suteiktos paslaugos ir kurių šeimų nariai turi negalią, statistika 2012─2016 m.</w:t>
                  </w:r>
                  <w:r>
                    <w:rPr>
                      <w:sz w:val="20"/>
                      <w:vertAlign w:val="superscript"/>
                    </w:rPr>
                    <w:t xml:space="preserve"> </w:t>
                  </w:r>
                </w:sdtContent>
              </w:sdt>
              <w:r>
                <w:rPr>
                  <w:sz w:val="20"/>
                  <w:vertAlign w:val="superscript"/>
                </w:rPr>
                <w:footnoteReference w:id="4"/>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819"/>
                <w:gridCol w:w="793"/>
                <w:gridCol w:w="794"/>
                <w:gridCol w:w="794"/>
                <w:gridCol w:w="794"/>
                <w:gridCol w:w="794"/>
              </w:tblGrid>
              <w:tr>
                <w:trPr>
                  <w:trHeight w:val="387"/>
                </w:trPr>
                <w:tc>
                  <w:tcPr>
                    <w:tcW w:w="709" w:type="dxa"/>
                    <w:tcBorders>
                      <w:top w:val="single" w:sz="4" w:space="0" w:color="auto"/>
                      <w:left w:val="single" w:sz="4" w:space="0" w:color="auto"/>
                      <w:bottom w:val="single" w:sz="4" w:space="0" w:color="auto"/>
                      <w:right w:val="single" w:sz="4" w:space="0" w:color="auto"/>
                      <w:tl2br w:val="nil"/>
                    </w:tcBorders>
                    <w:shd w:val="clear" w:color="auto" w:fill="D9D9D9"/>
                  </w:tcPr>
                  <w:p>
                    <w:pPr>
                      <w:tabs>
                        <w:tab w:val="left" w:pos="851"/>
                        <w:tab w:val="left" w:pos="9540"/>
                      </w:tabs>
                      <w:rPr>
                        <w:b/>
                        <w:sz w:val="20"/>
                      </w:rPr>
                    </w:pPr>
                    <w:r>
                      <w:rPr>
                        <w:b/>
                        <w:sz w:val="20"/>
                      </w:rPr>
                      <w:t>Eil. Nr.</w:t>
                    </w:r>
                  </w:p>
                </w:tc>
                <w:tc>
                  <w:tcPr>
                    <w:tcW w:w="4819" w:type="dxa"/>
                    <w:tcBorders>
                      <w:left w:val="single" w:sz="4" w:space="0" w:color="auto"/>
                      <w:tl2br w:val="single" w:sz="4" w:space="0" w:color="auto"/>
                    </w:tcBorders>
                    <w:shd w:val="clear" w:color="auto" w:fill="D9D9D9"/>
                  </w:tcPr>
                  <w:p>
                    <w:pPr>
                      <w:tabs>
                        <w:tab w:val="left" w:pos="851"/>
                        <w:tab w:val="left" w:pos="9540"/>
                      </w:tabs>
                      <w:ind w:firstLine="2279"/>
                      <w:rPr>
                        <w:b/>
                        <w:sz w:val="20"/>
                      </w:rPr>
                    </w:pPr>
                    <w:r>
                      <w:rPr>
                        <w:b/>
                        <w:sz w:val="20"/>
                      </w:rPr>
                      <w:t xml:space="preserve">Metai </w:t>
                    </w:r>
                  </w:p>
                  <w:p>
                    <w:pPr>
                      <w:tabs>
                        <w:tab w:val="left" w:pos="851"/>
                        <w:tab w:val="left" w:pos="9540"/>
                      </w:tabs>
                      <w:rPr>
                        <w:b/>
                        <w:sz w:val="20"/>
                      </w:rPr>
                    </w:pPr>
                    <w:r>
                      <w:rPr>
                        <w:b/>
                        <w:sz w:val="20"/>
                      </w:rPr>
                      <w:t>Rodikliai</w:t>
                    </w:r>
                  </w:p>
                </w:tc>
                <w:tc>
                  <w:tcPr>
                    <w:tcW w:w="793" w:type="dxa"/>
                    <w:shd w:val="clear" w:color="auto" w:fill="D9D9D9"/>
                    <w:vAlign w:val="center"/>
                  </w:tcPr>
                  <w:p>
                    <w:pPr>
                      <w:tabs>
                        <w:tab w:val="left" w:pos="851"/>
                        <w:tab w:val="left" w:pos="9540"/>
                      </w:tabs>
                      <w:jc w:val="center"/>
                      <w:rPr>
                        <w:b/>
                        <w:sz w:val="20"/>
                      </w:rPr>
                    </w:pPr>
                    <w:r>
                      <w:rPr>
                        <w:b/>
                        <w:sz w:val="20"/>
                      </w:rPr>
                      <w:t>2012</w:t>
                    </w:r>
                  </w:p>
                </w:tc>
                <w:tc>
                  <w:tcPr>
                    <w:tcW w:w="794" w:type="dxa"/>
                    <w:shd w:val="clear" w:color="auto" w:fill="D9D9D9"/>
                    <w:vAlign w:val="center"/>
                  </w:tcPr>
                  <w:p>
                    <w:pPr>
                      <w:tabs>
                        <w:tab w:val="left" w:pos="851"/>
                        <w:tab w:val="left" w:pos="9540"/>
                      </w:tabs>
                      <w:jc w:val="center"/>
                      <w:rPr>
                        <w:b/>
                        <w:sz w:val="20"/>
                      </w:rPr>
                    </w:pPr>
                    <w:r>
                      <w:rPr>
                        <w:b/>
                        <w:sz w:val="20"/>
                      </w:rPr>
                      <w:t>2013</w:t>
                    </w:r>
                  </w:p>
                </w:tc>
                <w:tc>
                  <w:tcPr>
                    <w:tcW w:w="794" w:type="dxa"/>
                    <w:shd w:val="clear" w:color="auto" w:fill="D9D9D9"/>
                    <w:vAlign w:val="center"/>
                  </w:tcPr>
                  <w:p>
                    <w:pPr>
                      <w:tabs>
                        <w:tab w:val="left" w:pos="851"/>
                        <w:tab w:val="left" w:pos="9540"/>
                      </w:tabs>
                      <w:jc w:val="center"/>
                      <w:rPr>
                        <w:b/>
                        <w:sz w:val="20"/>
                      </w:rPr>
                    </w:pPr>
                    <w:r>
                      <w:rPr>
                        <w:b/>
                        <w:sz w:val="20"/>
                      </w:rPr>
                      <w:t>2014</w:t>
                    </w:r>
                  </w:p>
                </w:tc>
                <w:tc>
                  <w:tcPr>
                    <w:tcW w:w="794" w:type="dxa"/>
                    <w:shd w:val="clear" w:color="auto" w:fill="D9D9D9"/>
                    <w:vAlign w:val="center"/>
                  </w:tcPr>
                  <w:p>
                    <w:pPr>
                      <w:tabs>
                        <w:tab w:val="left" w:pos="851"/>
                        <w:tab w:val="left" w:pos="9540"/>
                      </w:tabs>
                      <w:jc w:val="center"/>
                      <w:rPr>
                        <w:b/>
                        <w:sz w:val="20"/>
                      </w:rPr>
                    </w:pPr>
                    <w:r>
                      <w:rPr>
                        <w:b/>
                        <w:sz w:val="20"/>
                      </w:rPr>
                      <w:t>2015</w:t>
                    </w:r>
                  </w:p>
                </w:tc>
                <w:tc>
                  <w:tcPr>
                    <w:tcW w:w="794" w:type="dxa"/>
                    <w:shd w:val="clear" w:color="auto" w:fill="D9D9D9"/>
                    <w:vAlign w:val="center"/>
                  </w:tcPr>
                  <w:p>
                    <w:pPr>
                      <w:tabs>
                        <w:tab w:val="left" w:pos="851"/>
                        <w:tab w:val="left" w:pos="9540"/>
                      </w:tabs>
                      <w:jc w:val="center"/>
                      <w:rPr>
                        <w:b/>
                        <w:sz w:val="20"/>
                      </w:rPr>
                    </w:pPr>
                    <w:r>
                      <w:rPr>
                        <w:b/>
                        <w:sz w:val="20"/>
                      </w:rPr>
                      <w:t>2016</w:t>
                    </w:r>
                  </w:p>
                </w:tc>
              </w:tr>
              <w:tr>
                <w:tc>
                  <w:tcPr>
                    <w:tcW w:w="709" w:type="dxa"/>
                    <w:tcBorders>
                      <w:top w:val="single" w:sz="4" w:space="0" w:color="auto"/>
                    </w:tcBorders>
                    <w:shd w:val="clear" w:color="auto" w:fill="D9D9D9"/>
                  </w:tcPr>
                  <w:p>
                    <w:pPr>
                      <w:tabs>
                        <w:tab w:val="left" w:pos="851"/>
                        <w:tab w:val="left" w:pos="9540"/>
                      </w:tabs>
                      <w:jc w:val="center"/>
                      <w:rPr>
                        <w:b/>
                        <w:sz w:val="20"/>
                      </w:rPr>
                    </w:pPr>
                    <w:r>
                      <w:rPr>
                        <w:b/>
                        <w:sz w:val="20"/>
                      </w:rPr>
                      <w:t>1.</w:t>
                    </w:r>
                  </w:p>
                </w:tc>
                <w:tc>
                  <w:tcPr>
                    <w:tcW w:w="4819" w:type="dxa"/>
                    <w:shd w:val="clear" w:color="auto" w:fill="D9D9D9"/>
                  </w:tcPr>
                  <w:p>
                    <w:pPr>
                      <w:tabs>
                        <w:tab w:val="left" w:pos="851"/>
                        <w:tab w:val="left" w:pos="9540"/>
                      </w:tabs>
                      <w:rPr>
                        <w:b/>
                        <w:sz w:val="20"/>
                      </w:rPr>
                    </w:pPr>
                    <w:r>
                      <w:rPr>
                        <w:b/>
                        <w:sz w:val="20"/>
                      </w:rPr>
                      <w:t>Paslaugas gavusių šeimų skaičius</w:t>
                    </w:r>
                  </w:p>
                </w:tc>
                <w:tc>
                  <w:tcPr>
                    <w:tcW w:w="793" w:type="dxa"/>
                    <w:shd w:val="clear" w:color="auto" w:fill="auto"/>
                  </w:tcPr>
                  <w:p>
                    <w:pPr>
                      <w:tabs>
                        <w:tab w:val="left" w:pos="851"/>
                        <w:tab w:val="left" w:pos="9540"/>
                      </w:tabs>
                      <w:jc w:val="center"/>
                      <w:rPr>
                        <w:sz w:val="20"/>
                      </w:rPr>
                    </w:pPr>
                    <w:r>
                      <w:rPr>
                        <w:sz w:val="20"/>
                      </w:rPr>
                      <w:t>167</w:t>
                    </w:r>
                  </w:p>
                </w:tc>
                <w:tc>
                  <w:tcPr>
                    <w:tcW w:w="794" w:type="dxa"/>
                    <w:shd w:val="clear" w:color="auto" w:fill="auto"/>
                  </w:tcPr>
                  <w:p>
                    <w:pPr>
                      <w:tabs>
                        <w:tab w:val="left" w:pos="851"/>
                        <w:tab w:val="left" w:pos="9540"/>
                      </w:tabs>
                      <w:jc w:val="center"/>
                      <w:rPr>
                        <w:sz w:val="20"/>
                      </w:rPr>
                    </w:pPr>
                    <w:r>
                      <w:rPr>
                        <w:sz w:val="20"/>
                      </w:rPr>
                      <w:t>193</w:t>
                    </w:r>
                  </w:p>
                </w:tc>
                <w:tc>
                  <w:tcPr>
                    <w:tcW w:w="794" w:type="dxa"/>
                    <w:shd w:val="clear" w:color="auto" w:fill="auto"/>
                  </w:tcPr>
                  <w:p>
                    <w:pPr>
                      <w:tabs>
                        <w:tab w:val="left" w:pos="851"/>
                        <w:tab w:val="left" w:pos="9540"/>
                      </w:tabs>
                      <w:jc w:val="center"/>
                      <w:rPr>
                        <w:sz w:val="20"/>
                      </w:rPr>
                    </w:pPr>
                    <w:r>
                      <w:rPr>
                        <w:sz w:val="20"/>
                      </w:rPr>
                      <w:t>180</w:t>
                    </w:r>
                  </w:p>
                </w:tc>
                <w:tc>
                  <w:tcPr>
                    <w:tcW w:w="794" w:type="dxa"/>
                    <w:shd w:val="clear" w:color="auto" w:fill="auto"/>
                  </w:tcPr>
                  <w:p>
                    <w:pPr>
                      <w:tabs>
                        <w:tab w:val="left" w:pos="851"/>
                        <w:tab w:val="left" w:pos="9540"/>
                      </w:tabs>
                      <w:jc w:val="center"/>
                      <w:rPr>
                        <w:sz w:val="20"/>
                      </w:rPr>
                    </w:pPr>
                    <w:r>
                      <w:rPr>
                        <w:sz w:val="20"/>
                      </w:rPr>
                      <w:t>190</w:t>
                    </w:r>
                  </w:p>
                </w:tc>
                <w:tc>
                  <w:tcPr>
                    <w:tcW w:w="794" w:type="dxa"/>
                  </w:tcPr>
                  <w:p>
                    <w:pPr>
                      <w:tabs>
                        <w:tab w:val="left" w:pos="851"/>
                        <w:tab w:val="left" w:pos="9540"/>
                      </w:tabs>
                      <w:jc w:val="center"/>
                      <w:rPr>
                        <w:sz w:val="20"/>
                      </w:rPr>
                    </w:pPr>
                    <w:r>
                      <w:rPr>
                        <w:sz w:val="20"/>
                      </w:rPr>
                      <w:t>191</w:t>
                    </w:r>
                  </w:p>
                </w:tc>
              </w:tr>
              <w:tr>
                <w:tc>
                  <w:tcPr>
                    <w:tcW w:w="709" w:type="dxa"/>
                    <w:shd w:val="clear" w:color="auto" w:fill="D9D9D9"/>
                  </w:tcPr>
                  <w:p>
                    <w:pPr>
                      <w:tabs>
                        <w:tab w:val="left" w:pos="851"/>
                        <w:tab w:val="left" w:pos="9540"/>
                      </w:tabs>
                      <w:jc w:val="center"/>
                      <w:rPr>
                        <w:b/>
                        <w:sz w:val="20"/>
                      </w:rPr>
                    </w:pPr>
                    <w:r>
                      <w:rPr>
                        <w:b/>
                        <w:sz w:val="20"/>
                      </w:rPr>
                      <w:t>1.1.</w:t>
                    </w:r>
                  </w:p>
                </w:tc>
                <w:tc>
                  <w:tcPr>
                    <w:tcW w:w="4819" w:type="dxa"/>
                    <w:shd w:val="clear" w:color="auto" w:fill="D9D9D9"/>
                    <w:vAlign w:val="center"/>
                  </w:tcPr>
                  <w:p>
                    <w:pPr>
                      <w:tabs>
                        <w:tab w:val="left" w:pos="851"/>
                        <w:tab w:val="left" w:pos="9540"/>
                      </w:tabs>
                      <w:rPr>
                        <w:b/>
                        <w:sz w:val="20"/>
                      </w:rPr>
                    </w:pPr>
                    <w:r>
                      <w:rPr>
                        <w:b/>
                        <w:sz w:val="20"/>
                      </w:rPr>
                      <w:t>Jose gyvenančių suaugusių neįgalių asmenų skaičius</w:t>
                    </w:r>
                  </w:p>
                </w:tc>
                <w:tc>
                  <w:tcPr>
                    <w:tcW w:w="793" w:type="dxa"/>
                    <w:shd w:val="clear" w:color="auto" w:fill="auto"/>
                    <w:vAlign w:val="center"/>
                  </w:tcPr>
                  <w:p>
                    <w:pPr>
                      <w:tabs>
                        <w:tab w:val="left" w:pos="851"/>
                        <w:tab w:val="left" w:pos="9540"/>
                      </w:tabs>
                      <w:jc w:val="center"/>
                      <w:rPr>
                        <w:sz w:val="20"/>
                      </w:rPr>
                    </w:pPr>
                    <w:r>
                      <w:rPr>
                        <w:sz w:val="20"/>
                      </w:rPr>
                      <w:t>36</w:t>
                    </w:r>
                  </w:p>
                </w:tc>
                <w:tc>
                  <w:tcPr>
                    <w:tcW w:w="794" w:type="dxa"/>
                    <w:shd w:val="clear" w:color="auto" w:fill="auto"/>
                    <w:vAlign w:val="center"/>
                  </w:tcPr>
                  <w:p>
                    <w:pPr>
                      <w:tabs>
                        <w:tab w:val="left" w:pos="851"/>
                        <w:tab w:val="left" w:pos="9540"/>
                      </w:tabs>
                      <w:jc w:val="center"/>
                      <w:rPr>
                        <w:sz w:val="20"/>
                      </w:rPr>
                    </w:pPr>
                    <w:r>
                      <w:rPr>
                        <w:sz w:val="20"/>
                      </w:rPr>
                      <w:t>34</w:t>
                    </w:r>
                  </w:p>
                </w:tc>
                <w:tc>
                  <w:tcPr>
                    <w:tcW w:w="794" w:type="dxa"/>
                    <w:shd w:val="clear" w:color="auto" w:fill="auto"/>
                    <w:vAlign w:val="center"/>
                  </w:tcPr>
                  <w:p>
                    <w:pPr>
                      <w:tabs>
                        <w:tab w:val="left" w:pos="851"/>
                        <w:tab w:val="left" w:pos="9540"/>
                      </w:tabs>
                      <w:jc w:val="center"/>
                      <w:rPr>
                        <w:sz w:val="20"/>
                      </w:rPr>
                    </w:pPr>
                    <w:r>
                      <w:rPr>
                        <w:sz w:val="20"/>
                      </w:rPr>
                      <w:t>42</w:t>
                    </w:r>
                  </w:p>
                </w:tc>
                <w:tc>
                  <w:tcPr>
                    <w:tcW w:w="794" w:type="dxa"/>
                    <w:shd w:val="clear" w:color="auto" w:fill="auto"/>
                    <w:vAlign w:val="center"/>
                  </w:tcPr>
                  <w:p>
                    <w:pPr>
                      <w:tabs>
                        <w:tab w:val="left" w:pos="851"/>
                        <w:tab w:val="left" w:pos="9540"/>
                      </w:tabs>
                      <w:jc w:val="center"/>
                      <w:rPr>
                        <w:sz w:val="20"/>
                      </w:rPr>
                    </w:pPr>
                    <w:r>
                      <w:rPr>
                        <w:sz w:val="20"/>
                      </w:rPr>
                      <w:t>44</w:t>
                    </w:r>
                  </w:p>
                </w:tc>
                <w:tc>
                  <w:tcPr>
                    <w:tcW w:w="794" w:type="dxa"/>
                    <w:vAlign w:val="center"/>
                  </w:tcPr>
                  <w:p>
                    <w:pPr>
                      <w:tabs>
                        <w:tab w:val="left" w:pos="851"/>
                        <w:tab w:val="left" w:pos="9540"/>
                      </w:tabs>
                      <w:jc w:val="center"/>
                      <w:rPr>
                        <w:sz w:val="20"/>
                      </w:rPr>
                    </w:pPr>
                    <w:r>
                      <w:rPr>
                        <w:sz w:val="20"/>
                      </w:rPr>
                      <w:t>47</w:t>
                    </w:r>
                  </w:p>
                </w:tc>
              </w:tr>
              <w:tr>
                <w:tc>
                  <w:tcPr>
                    <w:tcW w:w="709" w:type="dxa"/>
                    <w:shd w:val="clear" w:color="auto" w:fill="D9D9D9"/>
                  </w:tcPr>
                  <w:p>
                    <w:pPr>
                      <w:tabs>
                        <w:tab w:val="left" w:pos="851"/>
                        <w:tab w:val="left" w:pos="9540"/>
                      </w:tabs>
                      <w:jc w:val="center"/>
                      <w:rPr>
                        <w:b/>
                        <w:sz w:val="20"/>
                      </w:rPr>
                    </w:pPr>
                    <w:r>
                      <w:rPr>
                        <w:b/>
                        <w:sz w:val="20"/>
                      </w:rPr>
                      <w:t>2.</w:t>
                    </w:r>
                  </w:p>
                </w:tc>
                <w:tc>
                  <w:tcPr>
                    <w:tcW w:w="4819" w:type="dxa"/>
                    <w:shd w:val="clear" w:color="auto" w:fill="D9D9D9"/>
                  </w:tcPr>
                  <w:p>
                    <w:pPr>
                      <w:tabs>
                        <w:tab w:val="left" w:pos="851"/>
                        <w:tab w:val="left" w:pos="9540"/>
                      </w:tabs>
                      <w:rPr>
                        <w:b/>
                        <w:sz w:val="20"/>
                      </w:rPr>
                    </w:pPr>
                    <w:r>
                      <w:rPr>
                        <w:b/>
                        <w:sz w:val="20"/>
                      </w:rPr>
                      <w:t>Rizikos šeimose augančių vaikų skaičius</w:t>
                    </w:r>
                  </w:p>
                </w:tc>
                <w:tc>
                  <w:tcPr>
                    <w:tcW w:w="793" w:type="dxa"/>
                    <w:shd w:val="clear" w:color="auto" w:fill="auto"/>
                    <w:vAlign w:val="center"/>
                  </w:tcPr>
                  <w:p>
                    <w:pPr>
                      <w:tabs>
                        <w:tab w:val="left" w:pos="851"/>
                        <w:tab w:val="left" w:pos="9540"/>
                      </w:tabs>
                      <w:jc w:val="center"/>
                      <w:rPr>
                        <w:sz w:val="20"/>
                      </w:rPr>
                    </w:pPr>
                    <w:r>
                      <w:rPr>
                        <w:sz w:val="20"/>
                      </w:rPr>
                      <w:t>373</w:t>
                    </w:r>
                  </w:p>
                </w:tc>
                <w:tc>
                  <w:tcPr>
                    <w:tcW w:w="794" w:type="dxa"/>
                    <w:shd w:val="clear" w:color="auto" w:fill="auto"/>
                    <w:vAlign w:val="center"/>
                  </w:tcPr>
                  <w:p>
                    <w:pPr>
                      <w:tabs>
                        <w:tab w:val="left" w:pos="851"/>
                        <w:tab w:val="left" w:pos="9540"/>
                      </w:tabs>
                      <w:jc w:val="center"/>
                      <w:rPr>
                        <w:sz w:val="20"/>
                      </w:rPr>
                    </w:pPr>
                    <w:r>
                      <w:rPr>
                        <w:sz w:val="20"/>
                      </w:rPr>
                      <w:t>427</w:t>
                    </w:r>
                  </w:p>
                </w:tc>
                <w:tc>
                  <w:tcPr>
                    <w:tcW w:w="794" w:type="dxa"/>
                    <w:shd w:val="clear" w:color="auto" w:fill="auto"/>
                    <w:vAlign w:val="center"/>
                  </w:tcPr>
                  <w:p>
                    <w:pPr>
                      <w:tabs>
                        <w:tab w:val="left" w:pos="851"/>
                        <w:tab w:val="left" w:pos="9540"/>
                      </w:tabs>
                      <w:jc w:val="center"/>
                      <w:rPr>
                        <w:sz w:val="20"/>
                      </w:rPr>
                    </w:pPr>
                    <w:r>
                      <w:rPr>
                        <w:sz w:val="20"/>
                      </w:rPr>
                      <w:t>420</w:t>
                    </w:r>
                  </w:p>
                </w:tc>
                <w:tc>
                  <w:tcPr>
                    <w:tcW w:w="794" w:type="dxa"/>
                    <w:shd w:val="clear" w:color="auto" w:fill="auto"/>
                    <w:vAlign w:val="center"/>
                  </w:tcPr>
                  <w:p>
                    <w:pPr>
                      <w:tabs>
                        <w:tab w:val="left" w:pos="851"/>
                        <w:tab w:val="left" w:pos="9540"/>
                      </w:tabs>
                      <w:jc w:val="center"/>
                      <w:rPr>
                        <w:sz w:val="20"/>
                      </w:rPr>
                    </w:pPr>
                    <w:r>
                      <w:rPr>
                        <w:sz w:val="20"/>
                      </w:rPr>
                      <w:t>429</w:t>
                    </w:r>
                  </w:p>
                </w:tc>
                <w:tc>
                  <w:tcPr>
                    <w:tcW w:w="794" w:type="dxa"/>
                    <w:vAlign w:val="center"/>
                  </w:tcPr>
                  <w:p>
                    <w:pPr>
                      <w:tabs>
                        <w:tab w:val="left" w:pos="851"/>
                        <w:tab w:val="left" w:pos="9540"/>
                      </w:tabs>
                      <w:jc w:val="center"/>
                      <w:rPr>
                        <w:sz w:val="20"/>
                      </w:rPr>
                    </w:pPr>
                    <w:r>
                      <w:rPr>
                        <w:sz w:val="20"/>
                      </w:rPr>
                      <w:t>421</w:t>
                    </w:r>
                  </w:p>
                </w:tc>
              </w:tr>
              <w:tr>
                <w:tc>
                  <w:tcPr>
                    <w:tcW w:w="709" w:type="dxa"/>
                    <w:shd w:val="clear" w:color="auto" w:fill="D9D9D9"/>
                  </w:tcPr>
                  <w:p>
                    <w:pPr>
                      <w:tabs>
                        <w:tab w:val="left" w:pos="851"/>
                        <w:tab w:val="left" w:pos="9540"/>
                      </w:tabs>
                      <w:jc w:val="center"/>
                      <w:rPr>
                        <w:b/>
                        <w:sz w:val="20"/>
                      </w:rPr>
                    </w:pPr>
                    <w:r>
                      <w:rPr>
                        <w:b/>
                        <w:sz w:val="20"/>
                      </w:rPr>
                      <w:t>2.1.</w:t>
                    </w:r>
                  </w:p>
                </w:tc>
                <w:tc>
                  <w:tcPr>
                    <w:tcW w:w="4819" w:type="dxa"/>
                    <w:shd w:val="clear" w:color="auto" w:fill="D9D9D9"/>
                  </w:tcPr>
                  <w:p>
                    <w:pPr>
                      <w:tabs>
                        <w:tab w:val="left" w:pos="851"/>
                        <w:tab w:val="left" w:pos="9540"/>
                      </w:tabs>
                      <w:rPr>
                        <w:b/>
                        <w:sz w:val="20"/>
                      </w:rPr>
                    </w:pPr>
                    <w:r>
                      <w:rPr>
                        <w:b/>
                        <w:sz w:val="20"/>
                      </w:rPr>
                      <w:t>Iš jų neįgalių vaikų skaičius</w:t>
                    </w:r>
                  </w:p>
                </w:tc>
                <w:tc>
                  <w:tcPr>
                    <w:tcW w:w="793" w:type="dxa"/>
                    <w:shd w:val="clear" w:color="auto" w:fill="auto"/>
                    <w:vAlign w:val="center"/>
                  </w:tcPr>
                  <w:p>
                    <w:pPr>
                      <w:tabs>
                        <w:tab w:val="left" w:pos="851"/>
                        <w:tab w:val="left" w:pos="9540"/>
                      </w:tabs>
                      <w:jc w:val="center"/>
                      <w:rPr>
                        <w:sz w:val="20"/>
                      </w:rPr>
                    </w:pPr>
                    <w:r>
                      <w:rPr>
                        <w:sz w:val="20"/>
                      </w:rPr>
                      <w:t>69</w:t>
                    </w:r>
                  </w:p>
                </w:tc>
                <w:tc>
                  <w:tcPr>
                    <w:tcW w:w="794" w:type="dxa"/>
                    <w:shd w:val="clear" w:color="auto" w:fill="auto"/>
                    <w:vAlign w:val="center"/>
                  </w:tcPr>
                  <w:p>
                    <w:pPr>
                      <w:tabs>
                        <w:tab w:val="left" w:pos="851"/>
                        <w:tab w:val="left" w:pos="9540"/>
                      </w:tabs>
                      <w:jc w:val="center"/>
                      <w:rPr>
                        <w:sz w:val="20"/>
                      </w:rPr>
                    </w:pPr>
                    <w:r>
                      <w:rPr>
                        <w:sz w:val="20"/>
                      </w:rPr>
                      <w:t>65</w:t>
                    </w:r>
                  </w:p>
                </w:tc>
                <w:tc>
                  <w:tcPr>
                    <w:tcW w:w="794" w:type="dxa"/>
                    <w:shd w:val="clear" w:color="auto" w:fill="auto"/>
                    <w:vAlign w:val="center"/>
                  </w:tcPr>
                  <w:p>
                    <w:pPr>
                      <w:tabs>
                        <w:tab w:val="left" w:pos="851"/>
                        <w:tab w:val="left" w:pos="9540"/>
                      </w:tabs>
                      <w:jc w:val="center"/>
                      <w:rPr>
                        <w:sz w:val="20"/>
                      </w:rPr>
                    </w:pPr>
                    <w:r>
                      <w:rPr>
                        <w:sz w:val="20"/>
                      </w:rPr>
                      <w:t>56</w:t>
                    </w:r>
                  </w:p>
                </w:tc>
                <w:tc>
                  <w:tcPr>
                    <w:tcW w:w="794" w:type="dxa"/>
                    <w:shd w:val="clear" w:color="auto" w:fill="auto"/>
                    <w:vAlign w:val="center"/>
                  </w:tcPr>
                  <w:p>
                    <w:pPr>
                      <w:tabs>
                        <w:tab w:val="left" w:pos="851"/>
                        <w:tab w:val="left" w:pos="9540"/>
                      </w:tabs>
                      <w:jc w:val="center"/>
                      <w:rPr>
                        <w:sz w:val="20"/>
                      </w:rPr>
                    </w:pPr>
                    <w:r>
                      <w:rPr>
                        <w:sz w:val="20"/>
                      </w:rPr>
                      <w:t>67</w:t>
                    </w:r>
                  </w:p>
                </w:tc>
                <w:tc>
                  <w:tcPr>
                    <w:tcW w:w="794" w:type="dxa"/>
                    <w:vAlign w:val="center"/>
                  </w:tcPr>
                  <w:p>
                    <w:pPr>
                      <w:tabs>
                        <w:tab w:val="left" w:pos="851"/>
                        <w:tab w:val="left" w:pos="9540"/>
                      </w:tabs>
                      <w:jc w:val="center"/>
                      <w:rPr>
                        <w:sz w:val="20"/>
                      </w:rPr>
                    </w:pPr>
                    <w:r>
                      <w:rPr>
                        <w:sz w:val="20"/>
                      </w:rPr>
                      <w:t>61</w:t>
                    </w:r>
                  </w:p>
                </w:tc>
              </w:tr>
            </w:tbl>
            <w:p>
              <w:pPr>
                <w:tabs>
                  <w:tab w:val="left" w:pos="851"/>
                </w:tabs>
                <w:jc w:val="both"/>
                <w:rPr>
                  <w:szCs w:val="24"/>
                </w:rPr>
              </w:pPr>
            </w:p>
            <w:p>
              <w:pPr>
                <w:tabs>
                  <w:tab w:val="left" w:pos="851"/>
                </w:tabs>
                <w:ind w:firstLine="62"/>
                <w:jc w:val="both"/>
                <w:rPr>
                  <w:szCs w:val="24"/>
                </w:rPr>
              </w:pPr>
              <w:r>
                <w:rPr>
                  <w:b/>
                  <w:szCs w:val="24"/>
                </w:rPr>
                <w:t>Į vaikų, likusių be tėvų globos</w:t>
              </w:r>
              <w:r>
                <w:rPr>
                  <w:szCs w:val="24"/>
                </w:rPr>
                <w:t xml:space="preserve">, </w:t>
              </w:r>
              <w:r>
                <w:rPr>
                  <w:b/>
                  <w:szCs w:val="24"/>
                </w:rPr>
                <w:t xml:space="preserve">apskaitą </w:t>
              </w:r>
              <w:r>
                <w:rPr>
                  <w:szCs w:val="24"/>
                </w:rPr>
                <w:t xml:space="preserve">2017 m. sausio 1 d. įrašyti 158 vaikai. Telšių vaikų globos namuose gyveno 49 vaikai. Žemiau pateikiama be tėvų globos  likusių vaikų skaičiaus dinamika. </w:t>
              </w:r>
              <w:r>
                <w:rPr>
                  <w:szCs w:val="24"/>
                  <w:vertAlign w:val="superscript"/>
                </w:rPr>
                <w:footnoteReference w:id="5"/>
              </w:r>
              <w:r>
                <w:rPr>
                  <w:szCs w:val="24"/>
                </w:rPr>
                <w:tab/>
              </w:r>
            </w:p>
          </w:sdtContent>
        </w:sdt>
        <w:sdt>
          <w:sdtPr>
            <w:alias w:val="poskyris"/>
            <w:tag w:val="part_3edf3ff7427d476893646907be18fdfd"/>
            <w:lock w:val="sdtLocked"/>
            <w:richText/>
          </w:sdtPr>
          <w:sdtContent>
            <w:p>
              <w:pPr>
                <w:tabs>
                  <w:tab w:val="left" w:pos="851"/>
                </w:tabs>
                <w:jc w:val="center"/>
                <w:rPr>
                  <w:b/>
                  <w:sz w:val="20"/>
                </w:rPr>
              </w:pPr>
              <w:sdt>
                <w:sdtPr>
                  <w:alias w:val="Pavadinimas"/>
                  <w:tag w:val="title_3edf3ff7427d476893646907be18fdfd"/>
                  <w:lock w:val="sdtLocked"/>
                  <w:richText/>
                </w:sdtPr>
                <w:sdtContent>
                  <w:r>
                    <w:rPr>
                      <w:b/>
                      <w:sz w:val="20"/>
                    </w:rPr>
                    <w:t>Vaikų, netekusių tėvų globos, skaičiaus dinamika 2012─2016 m.</w:t>
                  </w:r>
                </w:sdtContent>
              </w:sdt>
              <w:r>
                <w:rPr>
                  <w:b/>
                  <w:sz w:val="20"/>
                  <w:vertAlign w:val="superscript"/>
                </w:rPr>
                <w:footnoteReference w:id="6"/>
              </w:r>
            </w:p>
            <w:tbl>
              <w:tblPr>
                <w:tblW w:w="9753" w:type="dxa"/>
                <w:jc w:val="center"/>
                <w:tblInd w:w="-1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5"/>
                <w:gridCol w:w="5670"/>
                <w:gridCol w:w="695"/>
                <w:gridCol w:w="709"/>
                <w:gridCol w:w="708"/>
                <w:gridCol w:w="708"/>
                <w:gridCol w:w="708"/>
              </w:tblGrid>
              <w:tr>
                <w:trPr>
                  <w:trHeight w:val="422"/>
                  <w:jc w:val="center"/>
                </w:trPr>
                <w:tc>
                  <w:tcPr>
                    <w:tcW w:w="555" w:type="dxa"/>
                    <w:shd w:val="clear" w:color="auto" w:fill="D9D9D9"/>
                    <w:vAlign w:val="center"/>
                  </w:tcPr>
                  <w:p>
                    <w:pPr>
                      <w:jc w:val="center"/>
                      <w:rPr>
                        <w:b/>
                        <w:sz w:val="20"/>
                      </w:rPr>
                    </w:pPr>
                    <w:r>
                      <w:rPr>
                        <w:b/>
                        <w:sz w:val="20"/>
                      </w:rPr>
                      <w:t>Eil. Nr.</w:t>
                    </w:r>
                  </w:p>
                </w:tc>
                <w:tc>
                  <w:tcPr>
                    <w:tcW w:w="5670" w:type="dxa"/>
                    <w:tcBorders>
                      <w:tl2br w:val="single" w:sz="4" w:space="0" w:color="auto"/>
                    </w:tcBorders>
                    <w:shd w:val="clear" w:color="auto" w:fill="D9D9D9"/>
                    <w:vAlign w:val="center"/>
                  </w:tcPr>
                  <w:p>
                    <w:pPr>
                      <w:ind w:firstLine="1855"/>
                      <w:jc w:val="right"/>
                      <w:rPr>
                        <w:b/>
                        <w:sz w:val="20"/>
                      </w:rPr>
                    </w:pPr>
                    <w:r>
                      <w:rPr>
                        <w:b/>
                        <w:sz w:val="20"/>
                      </w:rPr>
                      <w:t>Metai</w:t>
                    </w:r>
                  </w:p>
                  <w:p>
                    <w:pPr>
                      <w:rPr>
                        <w:b/>
                        <w:sz w:val="20"/>
                      </w:rPr>
                    </w:pPr>
                    <w:r>
                      <w:rPr>
                        <w:b/>
                        <w:sz w:val="20"/>
                      </w:rPr>
                      <w:t>Rodiklis</w:t>
                    </w:r>
                  </w:p>
                </w:tc>
                <w:tc>
                  <w:tcPr>
                    <w:tcW w:w="695" w:type="dxa"/>
                    <w:shd w:val="clear" w:color="auto" w:fill="D9D9D9"/>
                    <w:vAlign w:val="center"/>
                  </w:tcPr>
                  <w:p>
                    <w:pPr>
                      <w:jc w:val="center"/>
                      <w:rPr>
                        <w:b/>
                        <w:sz w:val="20"/>
                      </w:rPr>
                    </w:pPr>
                    <w:r>
                      <w:rPr>
                        <w:b/>
                        <w:sz w:val="20"/>
                      </w:rPr>
                      <w:t xml:space="preserve">2012 </w:t>
                    </w:r>
                  </w:p>
                </w:tc>
                <w:tc>
                  <w:tcPr>
                    <w:tcW w:w="709" w:type="dxa"/>
                    <w:shd w:val="clear" w:color="auto" w:fill="D9D9D9"/>
                    <w:vAlign w:val="center"/>
                  </w:tcPr>
                  <w:p>
                    <w:pPr>
                      <w:jc w:val="center"/>
                      <w:rPr>
                        <w:b/>
                        <w:sz w:val="20"/>
                      </w:rPr>
                    </w:pPr>
                    <w:r>
                      <w:rPr>
                        <w:b/>
                        <w:sz w:val="20"/>
                      </w:rPr>
                      <w:t>2013</w:t>
                    </w:r>
                  </w:p>
                </w:tc>
                <w:tc>
                  <w:tcPr>
                    <w:tcW w:w="708" w:type="dxa"/>
                    <w:shd w:val="clear" w:color="auto" w:fill="D9D9D9"/>
                    <w:vAlign w:val="center"/>
                  </w:tcPr>
                  <w:p>
                    <w:pPr>
                      <w:jc w:val="center"/>
                      <w:rPr>
                        <w:b/>
                        <w:sz w:val="20"/>
                      </w:rPr>
                    </w:pPr>
                    <w:r>
                      <w:rPr>
                        <w:b/>
                        <w:sz w:val="20"/>
                      </w:rPr>
                      <w:t>2014</w:t>
                    </w:r>
                  </w:p>
                </w:tc>
                <w:tc>
                  <w:tcPr>
                    <w:tcW w:w="708" w:type="dxa"/>
                    <w:shd w:val="clear" w:color="auto" w:fill="D9D9D9"/>
                    <w:vAlign w:val="center"/>
                  </w:tcPr>
                  <w:p>
                    <w:pPr>
                      <w:jc w:val="center"/>
                      <w:rPr>
                        <w:b/>
                        <w:sz w:val="20"/>
                      </w:rPr>
                    </w:pPr>
                    <w:r>
                      <w:rPr>
                        <w:b/>
                        <w:sz w:val="20"/>
                      </w:rPr>
                      <w:t>2015</w:t>
                    </w:r>
                  </w:p>
                </w:tc>
                <w:tc>
                  <w:tcPr>
                    <w:tcW w:w="708" w:type="dxa"/>
                    <w:shd w:val="clear" w:color="auto" w:fill="D9D9D9"/>
                    <w:vAlign w:val="center"/>
                  </w:tcPr>
                  <w:p>
                    <w:pPr>
                      <w:jc w:val="center"/>
                      <w:rPr>
                        <w:b/>
                        <w:sz w:val="20"/>
                      </w:rPr>
                    </w:pPr>
                    <w:r>
                      <w:rPr>
                        <w:b/>
                        <w:sz w:val="20"/>
                      </w:rPr>
                      <w:t>2016</w:t>
                    </w:r>
                  </w:p>
                </w:tc>
              </w:tr>
              <w:tr>
                <w:trPr>
                  <w:jc w:val="center"/>
                </w:trPr>
                <w:tc>
                  <w:tcPr>
                    <w:tcW w:w="555" w:type="dxa"/>
                    <w:shd w:val="clear" w:color="auto" w:fill="auto"/>
                    <w:vAlign w:val="center"/>
                  </w:tcPr>
                  <w:p>
                    <w:pPr>
                      <w:jc w:val="center"/>
                      <w:rPr>
                        <w:sz w:val="20"/>
                      </w:rPr>
                    </w:pPr>
                    <w:r>
                      <w:rPr>
                        <w:sz w:val="20"/>
                      </w:rPr>
                      <w:t>1.</w:t>
                    </w:r>
                  </w:p>
                </w:tc>
                <w:tc>
                  <w:tcPr>
                    <w:tcW w:w="5670" w:type="dxa"/>
                    <w:shd w:val="clear" w:color="auto" w:fill="auto"/>
                  </w:tcPr>
                  <w:p>
                    <w:pPr>
                      <w:rPr>
                        <w:sz w:val="20"/>
                      </w:rPr>
                    </w:pPr>
                    <w:r>
                      <w:rPr>
                        <w:sz w:val="20"/>
                      </w:rPr>
                      <w:t xml:space="preserve">Be tėvų globos  likusių vaikų skaičius, iš jų:</w:t>
                    </w:r>
                  </w:p>
                </w:tc>
                <w:tc>
                  <w:tcPr>
                    <w:tcW w:w="695" w:type="dxa"/>
                    <w:shd w:val="clear" w:color="auto" w:fill="auto"/>
                  </w:tcPr>
                  <w:p>
                    <w:pPr>
                      <w:jc w:val="center"/>
                      <w:rPr>
                        <w:sz w:val="20"/>
                      </w:rPr>
                    </w:pPr>
                    <w:r>
                      <w:rPr>
                        <w:sz w:val="20"/>
                      </w:rPr>
                      <w:t>183</w:t>
                    </w:r>
                  </w:p>
                </w:tc>
                <w:tc>
                  <w:tcPr>
                    <w:tcW w:w="709" w:type="dxa"/>
                    <w:shd w:val="clear" w:color="auto" w:fill="auto"/>
                  </w:tcPr>
                  <w:p>
                    <w:pPr>
                      <w:jc w:val="center"/>
                      <w:rPr>
                        <w:sz w:val="20"/>
                      </w:rPr>
                    </w:pPr>
                    <w:r>
                      <w:rPr>
                        <w:sz w:val="20"/>
                      </w:rPr>
                      <w:t>172</w:t>
                    </w:r>
                  </w:p>
                </w:tc>
                <w:tc>
                  <w:tcPr>
                    <w:tcW w:w="708" w:type="dxa"/>
                    <w:shd w:val="clear" w:color="auto" w:fill="auto"/>
                  </w:tcPr>
                  <w:p>
                    <w:pPr>
                      <w:jc w:val="center"/>
                      <w:rPr>
                        <w:sz w:val="20"/>
                      </w:rPr>
                    </w:pPr>
                    <w:r>
                      <w:rPr>
                        <w:sz w:val="20"/>
                      </w:rPr>
                      <w:t>157</w:t>
                    </w:r>
                  </w:p>
                </w:tc>
                <w:tc>
                  <w:tcPr>
                    <w:tcW w:w="708" w:type="dxa"/>
                  </w:tcPr>
                  <w:p>
                    <w:pPr>
                      <w:jc w:val="center"/>
                      <w:rPr>
                        <w:sz w:val="20"/>
                      </w:rPr>
                    </w:pPr>
                    <w:r>
                      <w:rPr>
                        <w:sz w:val="20"/>
                      </w:rPr>
                      <w:t>159</w:t>
                    </w:r>
                  </w:p>
                </w:tc>
                <w:tc>
                  <w:tcPr>
                    <w:tcW w:w="708" w:type="dxa"/>
                  </w:tcPr>
                  <w:p>
                    <w:pPr>
                      <w:jc w:val="center"/>
                      <w:rPr>
                        <w:sz w:val="20"/>
                      </w:rPr>
                    </w:pPr>
                    <w:r>
                      <w:rPr>
                        <w:sz w:val="20"/>
                      </w:rPr>
                      <w:t>158</w:t>
                    </w:r>
                  </w:p>
                </w:tc>
              </w:tr>
              <w:tr>
                <w:trPr>
                  <w:jc w:val="center"/>
                </w:trPr>
                <w:tc>
                  <w:tcPr>
                    <w:tcW w:w="555" w:type="dxa"/>
                    <w:shd w:val="clear" w:color="auto" w:fill="auto"/>
                    <w:vAlign w:val="center"/>
                  </w:tcPr>
                  <w:p>
                    <w:pPr>
                      <w:jc w:val="center"/>
                      <w:rPr>
                        <w:sz w:val="20"/>
                      </w:rPr>
                    </w:pPr>
                    <w:r>
                      <w:rPr>
                        <w:sz w:val="20"/>
                      </w:rPr>
                      <w:t>1.1.</w:t>
                    </w:r>
                  </w:p>
                </w:tc>
                <w:tc>
                  <w:tcPr>
                    <w:tcW w:w="5670" w:type="dxa"/>
                    <w:shd w:val="clear" w:color="auto" w:fill="auto"/>
                  </w:tcPr>
                  <w:p>
                    <w:pPr>
                      <w:rPr>
                        <w:sz w:val="20"/>
                      </w:rPr>
                    </w:pPr>
                    <w:r>
                      <w:rPr>
                        <w:sz w:val="20"/>
                      </w:rPr>
                      <w:t>Globojami institucijoje</w:t>
                    </w:r>
                  </w:p>
                </w:tc>
                <w:tc>
                  <w:tcPr>
                    <w:tcW w:w="695" w:type="dxa"/>
                    <w:shd w:val="clear" w:color="auto" w:fill="auto"/>
                  </w:tcPr>
                  <w:p>
                    <w:pPr>
                      <w:jc w:val="center"/>
                      <w:rPr>
                        <w:sz w:val="20"/>
                      </w:rPr>
                    </w:pPr>
                    <w:r>
                      <w:rPr>
                        <w:sz w:val="20"/>
                      </w:rPr>
                      <w:t>75</w:t>
                    </w:r>
                  </w:p>
                </w:tc>
                <w:tc>
                  <w:tcPr>
                    <w:tcW w:w="709" w:type="dxa"/>
                    <w:shd w:val="clear" w:color="auto" w:fill="auto"/>
                  </w:tcPr>
                  <w:p>
                    <w:pPr>
                      <w:jc w:val="center"/>
                      <w:rPr>
                        <w:sz w:val="20"/>
                      </w:rPr>
                    </w:pPr>
                    <w:r>
                      <w:rPr>
                        <w:sz w:val="20"/>
                      </w:rPr>
                      <w:t>65</w:t>
                    </w:r>
                  </w:p>
                </w:tc>
                <w:tc>
                  <w:tcPr>
                    <w:tcW w:w="708" w:type="dxa"/>
                    <w:shd w:val="clear" w:color="auto" w:fill="auto"/>
                  </w:tcPr>
                  <w:p>
                    <w:pPr>
                      <w:jc w:val="center"/>
                      <w:rPr>
                        <w:sz w:val="20"/>
                      </w:rPr>
                    </w:pPr>
                    <w:r>
                      <w:rPr>
                        <w:sz w:val="20"/>
                      </w:rPr>
                      <w:t>94</w:t>
                    </w:r>
                  </w:p>
                </w:tc>
                <w:tc>
                  <w:tcPr>
                    <w:tcW w:w="708" w:type="dxa"/>
                  </w:tcPr>
                  <w:p>
                    <w:pPr>
                      <w:jc w:val="center"/>
                      <w:rPr>
                        <w:sz w:val="20"/>
                      </w:rPr>
                    </w:pPr>
                    <w:r>
                      <w:rPr>
                        <w:sz w:val="20"/>
                      </w:rPr>
                      <w:t>59</w:t>
                    </w:r>
                  </w:p>
                </w:tc>
                <w:tc>
                  <w:tcPr>
                    <w:tcW w:w="708" w:type="dxa"/>
                  </w:tcPr>
                  <w:p>
                    <w:pPr>
                      <w:jc w:val="center"/>
                      <w:rPr>
                        <w:sz w:val="20"/>
                      </w:rPr>
                    </w:pPr>
                    <w:r>
                      <w:rPr>
                        <w:sz w:val="20"/>
                      </w:rPr>
                      <w:t>49</w:t>
                    </w:r>
                  </w:p>
                </w:tc>
              </w:tr>
              <w:tr>
                <w:trPr>
                  <w:jc w:val="center"/>
                </w:trPr>
                <w:tc>
                  <w:tcPr>
                    <w:tcW w:w="555" w:type="dxa"/>
                    <w:shd w:val="clear" w:color="auto" w:fill="auto"/>
                    <w:vAlign w:val="center"/>
                  </w:tcPr>
                  <w:p>
                    <w:pPr>
                      <w:jc w:val="center"/>
                      <w:rPr>
                        <w:sz w:val="20"/>
                      </w:rPr>
                    </w:pPr>
                    <w:r>
                      <w:rPr>
                        <w:sz w:val="20"/>
                      </w:rPr>
                      <w:t>1.2.</w:t>
                    </w:r>
                  </w:p>
                </w:tc>
                <w:tc>
                  <w:tcPr>
                    <w:tcW w:w="5670" w:type="dxa"/>
                    <w:shd w:val="clear" w:color="auto" w:fill="auto"/>
                  </w:tcPr>
                  <w:p>
                    <w:pPr>
                      <w:rPr>
                        <w:sz w:val="20"/>
                      </w:rPr>
                    </w:pPr>
                    <w:r>
                      <w:rPr>
                        <w:sz w:val="20"/>
                      </w:rPr>
                      <w:t>Globojami šeimoje</w:t>
                    </w:r>
                  </w:p>
                </w:tc>
                <w:tc>
                  <w:tcPr>
                    <w:tcW w:w="695" w:type="dxa"/>
                    <w:shd w:val="clear" w:color="auto" w:fill="auto"/>
                  </w:tcPr>
                  <w:p>
                    <w:pPr>
                      <w:jc w:val="center"/>
                      <w:rPr>
                        <w:sz w:val="20"/>
                      </w:rPr>
                    </w:pPr>
                    <w:r>
                      <w:rPr>
                        <w:sz w:val="20"/>
                      </w:rPr>
                      <w:t>108</w:t>
                    </w:r>
                  </w:p>
                </w:tc>
                <w:tc>
                  <w:tcPr>
                    <w:tcW w:w="709" w:type="dxa"/>
                    <w:shd w:val="clear" w:color="auto" w:fill="auto"/>
                  </w:tcPr>
                  <w:p>
                    <w:pPr>
                      <w:jc w:val="center"/>
                      <w:rPr>
                        <w:sz w:val="20"/>
                      </w:rPr>
                    </w:pPr>
                    <w:r>
                      <w:rPr>
                        <w:sz w:val="20"/>
                      </w:rPr>
                      <w:t>107</w:t>
                    </w:r>
                  </w:p>
                </w:tc>
                <w:tc>
                  <w:tcPr>
                    <w:tcW w:w="708" w:type="dxa"/>
                    <w:shd w:val="clear" w:color="auto" w:fill="auto"/>
                  </w:tcPr>
                  <w:p>
                    <w:pPr>
                      <w:jc w:val="center"/>
                      <w:rPr>
                        <w:sz w:val="20"/>
                      </w:rPr>
                    </w:pPr>
                    <w:r>
                      <w:rPr>
                        <w:sz w:val="20"/>
                      </w:rPr>
                      <w:t>63</w:t>
                    </w:r>
                  </w:p>
                </w:tc>
                <w:tc>
                  <w:tcPr>
                    <w:tcW w:w="708" w:type="dxa"/>
                  </w:tcPr>
                  <w:p>
                    <w:pPr>
                      <w:jc w:val="center"/>
                      <w:rPr>
                        <w:sz w:val="20"/>
                      </w:rPr>
                    </w:pPr>
                    <w:r>
                      <w:rPr>
                        <w:sz w:val="20"/>
                      </w:rPr>
                      <w:t>100</w:t>
                    </w:r>
                  </w:p>
                </w:tc>
                <w:tc>
                  <w:tcPr>
                    <w:tcW w:w="708" w:type="dxa"/>
                  </w:tcPr>
                  <w:p>
                    <w:pPr>
                      <w:jc w:val="center"/>
                      <w:rPr>
                        <w:sz w:val="20"/>
                      </w:rPr>
                    </w:pPr>
                    <w:r>
                      <w:rPr>
                        <w:sz w:val="20"/>
                      </w:rPr>
                      <w:t>109</w:t>
                    </w:r>
                  </w:p>
                </w:tc>
              </w:tr>
              <w:tr>
                <w:trPr>
                  <w:jc w:val="center"/>
                </w:trPr>
                <w:tc>
                  <w:tcPr>
                    <w:tcW w:w="555" w:type="dxa"/>
                    <w:shd w:val="clear" w:color="auto" w:fill="auto"/>
                    <w:vAlign w:val="center"/>
                  </w:tcPr>
                  <w:p>
                    <w:pPr>
                      <w:jc w:val="center"/>
                      <w:rPr>
                        <w:sz w:val="20"/>
                      </w:rPr>
                    </w:pPr>
                    <w:r>
                      <w:rPr>
                        <w:sz w:val="20"/>
                      </w:rPr>
                      <w:t>2.</w:t>
                    </w:r>
                  </w:p>
                </w:tc>
                <w:tc>
                  <w:tcPr>
                    <w:tcW w:w="5670" w:type="dxa"/>
                    <w:shd w:val="clear" w:color="auto" w:fill="auto"/>
                  </w:tcPr>
                  <w:p>
                    <w:pPr>
                      <w:rPr>
                        <w:sz w:val="20"/>
                      </w:rPr>
                    </w:pPr>
                    <w:r>
                      <w:rPr>
                        <w:sz w:val="20"/>
                      </w:rPr>
                      <w:t>Iš šeimų paimtų vaikų skaičius</w:t>
                    </w:r>
                  </w:p>
                </w:tc>
                <w:tc>
                  <w:tcPr>
                    <w:tcW w:w="695" w:type="dxa"/>
                    <w:shd w:val="clear" w:color="auto" w:fill="auto"/>
                    <w:vAlign w:val="center"/>
                  </w:tcPr>
                  <w:p>
                    <w:pPr>
                      <w:jc w:val="center"/>
                      <w:rPr>
                        <w:sz w:val="20"/>
                      </w:rPr>
                    </w:pPr>
                    <w:r>
                      <w:rPr>
                        <w:sz w:val="20"/>
                      </w:rPr>
                      <w:t>52</w:t>
                    </w:r>
                  </w:p>
                </w:tc>
                <w:tc>
                  <w:tcPr>
                    <w:tcW w:w="709" w:type="dxa"/>
                    <w:shd w:val="clear" w:color="auto" w:fill="auto"/>
                    <w:vAlign w:val="center"/>
                  </w:tcPr>
                  <w:p>
                    <w:pPr>
                      <w:jc w:val="center"/>
                      <w:rPr>
                        <w:sz w:val="20"/>
                      </w:rPr>
                    </w:pPr>
                    <w:r>
                      <w:rPr>
                        <w:sz w:val="20"/>
                      </w:rPr>
                      <w:t>32</w:t>
                    </w:r>
                  </w:p>
                </w:tc>
                <w:tc>
                  <w:tcPr>
                    <w:tcW w:w="708" w:type="dxa"/>
                    <w:shd w:val="clear" w:color="auto" w:fill="auto"/>
                    <w:vAlign w:val="center"/>
                  </w:tcPr>
                  <w:p>
                    <w:pPr>
                      <w:jc w:val="center"/>
                      <w:rPr>
                        <w:sz w:val="20"/>
                      </w:rPr>
                    </w:pPr>
                    <w:r>
                      <w:rPr>
                        <w:sz w:val="20"/>
                      </w:rPr>
                      <w:t>32</w:t>
                    </w:r>
                  </w:p>
                </w:tc>
                <w:tc>
                  <w:tcPr>
                    <w:tcW w:w="708" w:type="dxa"/>
                    <w:vAlign w:val="center"/>
                  </w:tcPr>
                  <w:p>
                    <w:pPr>
                      <w:jc w:val="center"/>
                      <w:rPr>
                        <w:sz w:val="20"/>
                      </w:rPr>
                    </w:pPr>
                    <w:r>
                      <w:rPr>
                        <w:sz w:val="20"/>
                      </w:rPr>
                      <w:t>18</w:t>
                    </w:r>
                  </w:p>
                </w:tc>
                <w:tc>
                  <w:tcPr>
                    <w:tcW w:w="708" w:type="dxa"/>
                  </w:tcPr>
                  <w:p>
                    <w:pPr>
                      <w:jc w:val="center"/>
                      <w:rPr>
                        <w:sz w:val="20"/>
                      </w:rPr>
                    </w:pPr>
                    <w:r>
                      <w:rPr>
                        <w:sz w:val="20"/>
                      </w:rPr>
                      <w:t>25</w:t>
                    </w:r>
                  </w:p>
                </w:tc>
              </w:tr>
              <w:tr>
                <w:trPr>
                  <w:jc w:val="center"/>
                </w:trPr>
                <w:tc>
                  <w:tcPr>
                    <w:tcW w:w="555" w:type="dxa"/>
                    <w:shd w:val="clear" w:color="auto" w:fill="auto"/>
                    <w:vAlign w:val="center"/>
                  </w:tcPr>
                  <w:p>
                    <w:pPr>
                      <w:jc w:val="center"/>
                      <w:rPr>
                        <w:sz w:val="20"/>
                      </w:rPr>
                    </w:pPr>
                    <w:r>
                      <w:rPr>
                        <w:sz w:val="20"/>
                      </w:rPr>
                      <w:t>3.</w:t>
                    </w:r>
                  </w:p>
                </w:tc>
                <w:tc>
                  <w:tcPr>
                    <w:tcW w:w="5670" w:type="dxa"/>
                    <w:shd w:val="clear" w:color="auto" w:fill="auto"/>
                  </w:tcPr>
                  <w:p>
                    <w:pPr>
                      <w:rPr>
                        <w:sz w:val="20"/>
                      </w:rPr>
                    </w:pPr>
                    <w:r>
                      <w:rPr>
                        <w:sz w:val="20"/>
                      </w:rPr>
                      <w:t>Į šeimas grąžintų vaikų skaičius</w:t>
                    </w:r>
                  </w:p>
                </w:tc>
                <w:tc>
                  <w:tcPr>
                    <w:tcW w:w="695" w:type="dxa"/>
                    <w:shd w:val="clear" w:color="auto" w:fill="auto"/>
                    <w:vAlign w:val="center"/>
                  </w:tcPr>
                  <w:p>
                    <w:pPr>
                      <w:jc w:val="center"/>
                      <w:rPr>
                        <w:sz w:val="20"/>
                      </w:rPr>
                    </w:pPr>
                    <w:r>
                      <w:rPr>
                        <w:sz w:val="20"/>
                      </w:rPr>
                      <w:t>14</w:t>
                    </w:r>
                  </w:p>
                </w:tc>
                <w:tc>
                  <w:tcPr>
                    <w:tcW w:w="709" w:type="dxa"/>
                    <w:shd w:val="clear" w:color="auto" w:fill="auto"/>
                    <w:vAlign w:val="center"/>
                  </w:tcPr>
                  <w:p>
                    <w:pPr>
                      <w:jc w:val="center"/>
                      <w:rPr>
                        <w:sz w:val="20"/>
                      </w:rPr>
                    </w:pPr>
                    <w:r>
                      <w:rPr>
                        <w:sz w:val="20"/>
                      </w:rPr>
                      <w:t>20</w:t>
                    </w:r>
                  </w:p>
                </w:tc>
                <w:tc>
                  <w:tcPr>
                    <w:tcW w:w="708" w:type="dxa"/>
                    <w:shd w:val="clear" w:color="auto" w:fill="auto"/>
                    <w:vAlign w:val="center"/>
                  </w:tcPr>
                  <w:p>
                    <w:pPr>
                      <w:jc w:val="center"/>
                      <w:rPr>
                        <w:sz w:val="20"/>
                      </w:rPr>
                    </w:pPr>
                    <w:r>
                      <w:rPr>
                        <w:sz w:val="20"/>
                      </w:rPr>
                      <w:t>17</w:t>
                    </w:r>
                  </w:p>
                </w:tc>
                <w:tc>
                  <w:tcPr>
                    <w:tcW w:w="708" w:type="dxa"/>
                    <w:vAlign w:val="center"/>
                  </w:tcPr>
                  <w:p>
                    <w:pPr>
                      <w:jc w:val="center"/>
                      <w:rPr>
                        <w:sz w:val="20"/>
                      </w:rPr>
                    </w:pPr>
                    <w:r>
                      <w:rPr>
                        <w:sz w:val="20"/>
                      </w:rPr>
                      <w:t>17</w:t>
                    </w:r>
                  </w:p>
                </w:tc>
                <w:tc>
                  <w:tcPr>
                    <w:tcW w:w="708" w:type="dxa"/>
                  </w:tcPr>
                  <w:p>
                    <w:pPr>
                      <w:jc w:val="center"/>
                      <w:rPr>
                        <w:sz w:val="20"/>
                      </w:rPr>
                    </w:pPr>
                    <w:r>
                      <w:rPr>
                        <w:sz w:val="20"/>
                      </w:rPr>
                      <w:t>23</w:t>
                    </w:r>
                  </w:p>
                </w:tc>
              </w:tr>
              <w:tr>
                <w:trPr>
                  <w:jc w:val="center"/>
                </w:trPr>
                <w:tc>
                  <w:tcPr>
                    <w:tcW w:w="555" w:type="dxa"/>
                    <w:shd w:val="clear" w:color="auto" w:fill="auto"/>
                    <w:vAlign w:val="center"/>
                  </w:tcPr>
                  <w:p>
                    <w:pPr>
                      <w:jc w:val="center"/>
                      <w:rPr>
                        <w:sz w:val="20"/>
                      </w:rPr>
                    </w:pPr>
                    <w:r>
                      <w:rPr>
                        <w:sz w:val="20"/>
                      </w:rPr>
                      <w:t>4.</w:t>
                    </w:r>
                  </w:p>
                </w:tc>
                <w:tc>
                  <w:tcPr>
                    <w:tcW w:w="5670" w:type="dxa"/>
                    <w:shd w:val="clear" w:color="auto" w:fill="auto"/>
                  </w:tcPr>
                  <w:p>
                    <w:pPr>
                      <w:rPr>
                        <w:sz w:val="20"/>
                      </w:rPr>
                    </w:pPr>
                    <w:r>
                      <w:rPr>
                        <w:sz w:val="20"/>
                      </w:rPr>
                      <w:t>Vaikų, kuriems pirmą kartą nustatyta socialinė globa, skaičius</w:t>
                    </w:r>
                  </w:p>
                </w:tc>
                <w:tc>
                  <w:tcPr>
                    <w:tcW w:w="695" w:type="dxa"/>
                    <w:shd w:val="clear" w:color="auto" w:fill="auto"/>
                    <w:vAlign w:val="center"/>
                  </w:tcPr>
                  <w:p>
                    <w:pPr>
                      <w:jc w:val="center"/>
                      <w:rPr>
                        <w:sz w:val="20"/>
                      </w:rPr>
                    </w:pPr>
                    <w:r>
                      <w:rPr>
                        <w:sz w:val="20"/>
                      </w:rPr>
                      <w:t>29</w:t>
                    </w:r>
                  </w:p>
                </w:tc>
                <w:tc>
                  <w:tcPr>
                    <w:tcW w:w="709" w:type="dxa"/>
                    <w:shd w:val="clear" w:color="auto" w:fill="auto"/>
                    <w:vAlign w:val="center"/>
                  </w:tcPr>
                  <w:p>
                    <w:pPr>
                      <w:jc w:val="center"/>
                      <w:rPr>
                        <w:sz w:val="20"/>
                      </w:rPr>
                    </w:pPr>
                    <w:r>
                      <w:rPr>
                        <w:sz w:val="20"/>
                      </w:rPr>
                      <w:t>32</w:t>
                    </w:r>
                  </w:p>
                </w:tc>
                <w:tc>
                  <w:tcPr>
                    <w:tcW w:w="708" w:type="dxa"/>
                    <w:shd w:val="clear" w:color="auto" w:fill="auto"/>
                    <w:vAlign w:val="center"/>
                  </w:tcPr>
                  <w:p>
                    <w:pPr>
                      <w:jc w:val="center"/>
                      <w:rPr>
                        <w:sz w:val="20"/>
                      </w:rPr>
                    </w:pPr>
                    <w:r>
                      <w:rPr>
                        <w:sz w:val="20"/>
                      </w:rPr>
                      <w:t>32</w:t>
                    </w:r>
                  </w:p>
                </w:tc>
                <w:tc>
                  <w:tcPr>
                    <w:tcW w:w="708" w:type="dxa"/>
                    <w:vAlign w:val="center"/>
                  </w:tcPr>
                  <w:p>
                    <w:pPr>
                      <w:jc w:val="center"/>
                      <w:rPr>
                        <w:sz w:val="20"/>
                      </w:rPr>
                    </w:pPr>
                    <w:r>
                      <w:rPr>
                        <w:sz w:val="20"/>
                      </w:rPr>
                      <w:t>50</w:t>
                    </w:r>
                  </w:p>
                </w:tc>
                <w:tc>
                  <w:tcPr>
                    <w:tcW w:w="708" w:type="dxa"/>
                  </w:tcPr>
                  <w:p>
                    <w:pPr>
                      <w:jc w:val="center"/>
                      <w:rPr>
                        <w:sz w:val="20"/>
                      </w:rPr>
                    </w:pPr>
                    <w:r>
                      <w:rPr>
                        <w:sz w:val="20"/>
                      </w:rPr>
                      <w:t>37</w:t>
                    </w:r>
                  </w:p>
                </w:tc>
              </w:tr>
              <w:tr>
                <w:trPr>
                  <w:jc w:val="center"/>
                </w:trPr>
                <w:tc>
                  <w:tcPr>
                    <w:tcW w:w="555" w:type="dxa"/>
                    <w:shd w:val="clear" w:color="auto" w:fill="auto"/>
                    <w:vAlign w:val="center"/>
                  </w:tcPr>
                  <w:p>
                    <w:pPr>
                      <w:jc w:val="center"/>
                      <w:rPr>
                        <w:sz w:val="20"/>
                      </w:rPr>
                    </w:pPr>
                    <w:r>
                      <w:rPr>
                        <w:sz w:val="20"/>
                      </w:rPr>
                      <w:t>5.</w:t>
                    </w:r>
                  </w:p>
                </w:tc>
                <w:tc>
                  <w:tcPr>
                    <w:tcW w:w="5670" w:type="dxa"/>
                    <w:shd w:val="clear" w:color="auto" w:fill="auto"/>
                  </w:tcPr>
                  <w:p>
                    <w:pPr>
                      <w:rPr>
                        <w:sz w:val="20"/>
                      </w:rPr>
                    </w:pPr>
                    <w:r>
                      <w:rPr>
                        <w:sz w:val="20"/>
                      </w:rPr>
                      <w:t>Į šeimas paimtų globoti vaikų skaičius</w:t>
                    </w:r>
                  </w:p>
                </w:tc>
                <w:tc>
                  <w:tcPr>
                    <w:tcW w:w="695" w:type="dxa"/>
                    <w:shd w:val="clear" w:color="auto" w:fill="auto"/>
                    <w:vAlign w:val="center"/>
                  </w:tcPr>
                  <w:p>
                    <w:pPr>
                      <w:jc w:val="center"/>
                      <w:rPr>
                        <w:sz w:val="20"/>
                      </w:rPr>
                    </w:pPr>
                    <w:r>
                      <w:rPr>
                        <w:sz w:val="20"/>
                      </w:rPr>
                      <w:t>11</w:t>
                    </w:r>
                  </w:p>
                </w:tc>
                <w:tc>
                  <w:tcPr>
                    <w:tcW w:w="709" w:type="dxa"/>
                    <w:shd w:val="clear" w:color="auto" w:fill="auto"/>
                    <w:vAlign w:val="center"/>
                  </w:tcPr>
                  <w:p>
                    <w:pPr>
                      <w:jc w:val="center"/>
                      <w:rPr>
                        <w:sz w:val="20"/>
                      </w:rPr>
                    </w:pPr>
                    <w:r>
                      <w:rPr>
                        <w:sz w:val="20"/>
                      </w:rPr>
                      <w:t>16</w:t>
                    </w:r>
                  </w:p>
                </w:tc>
                <w:tc>
                  <w:tcPr>
                    <w:tcW w:w="708" w:type="dxa"/>
                    <w:shd w:val="clear" w:color="auto" w:fill="auto"/>
                    <w:vAlign w:val="center"/>
                  </w:tcPr>
                  <w:p>
                    <w:pPr>
                      <w:jc w:val="center"/>
                      <w:rPr>
                        <w:sz w:val="20"/>
                      </w:rPr>
                    </w:pPr>
                    <w:r>
                      <w:rPr>
                        <w:sz w:val="20"/>
                      </w:rPr>
                      <w:t>11</w:t>
                    </w:r>
                  </w:p>
                </w:tc>
                <w:tc>
                  <w:tcPr>
                    <w:tcW w:w="708" w:type="dxa"/>
                    <w:vAlign w:val="center"/>
                  </w:tcPr>
                  <w:p>
                    <w:pPr>
                      <w:jc w:val="center"/>
                      <w:rPr>
                        <w:sz w:val="20"/>
                      </w:rPr>
                    </w:pPr>
                    <w:r>
                      <w:rPr>
                        <w:sz w:val="20"/>
                      </w:rPr>
                      <w:t>20</w:t>
                    </w:r>
                  </w:p>
                </w:tc>
                <w:tc>
                  <w:tcPr>
                    <w:tcW w:w="708" w:type="dxa"/>
                  </w:tcPr>
                  <w:p>
                    <w:pPr>
                      <w:jc w:val="center"/>
                      <w:rPr>
                        <w:sz w:val="20"/>
                      </w:rPr>
                    </w:pPr>
                    <w:r>
                      <w:rPr>
                        <w:sz w:val="20"/>
                      </w:rPr>
                      <w:t>16</w:t>
                    </w:r>
                  </w:p>
                </w:tc>
              </w:tr>
              <w:tr>
                <w:trPr>
                  <w:jc w:val="center"/>
                </w:trPr>
                <w:tc>
                  <w:tcPr>
                    <w:tcW w:w="555" w:type="dxa"/>
                    <w:shd w:val="clear" w:color="auto" w:fill="auto"/>
                    <w:vAlign w:val="center"/>
                  </w:tcPr>
                  <w:p>
                    <w:pPr>
                      <w:jc w:val="center"/>
                      <w:rPr>
                        <w:sz w:val="20"/>
                      </w:rPr>
                    </w:pPr>
                    <w:r>
                      <w:rPr>
                        <w:sz w:val="20"/>
                      </w:rPr>
                      <w:t>6.</w:t>
                    </w:r>
                  </w:p>
                </w:tc>
                <w:tc>
                  <w:tcPr>
                    <w:tcW w:w="5670" w:type="dxa"/>
                    <w:shd w:val="clear" w:color="auto" w:fill="auto"/>
                  </w:tcPr>
                  <w:p>
                    <w:pPr>
                      <w:rPr>
                        <w:sz w:val="20"/>
                      </w:rPr>
                    </w:pPr>
                    <w:r>
                      <w:rPr>
                        <w:sz w:val="20"/>
                      </w:rPr>
                      <w:t>Įvaikintų vaikų skaičius, iš jų</w:t>
                    </w:r>
                  </w:p>
                </w:tc>
                <w:tc>
                  <w:tcPr>
                    <w:tcW w:w="695" w:type="dxa"/>
                    <w:shd w:val="clear" w:color="auto" w:fill="auto"/>
                    <w:vAlign w:val="center"/>
                  </w:tcPr>
                  <w:p>
                    <w:pPr>
                      <w:jc w:val="center"/>
                      <w:rPr>
                        <w:sz w:val="20"/>
                      </w:rPr>
                    </w:pPr>
                    <w:r>
                      <w:rPr>
                        <w:sz w:val="20"/>
                      </w:rPr>
                      <w:t>2</w:t>
                    </w:r>
                  </w:p>
                </w:tc>
                <w:tc>
                  <w:tcPr>
                    <w:tcW w:w="709" w:type="dxa"/>
                    <w:shd w:val="clear" w:color="auto" w:fill="auto"/>
                    <w:vAlign w:val="center"/>
                  </w:tcPr>
                  <w:p>
                    <w:pPr>
                      <w:jc w:val="center"/>
                      <w:rPr>
                        <w:sz w:val="20"/>
                      </w:rPr>
                    </w:pPr>
                    <w:r>
                      <w:rPr>
                        <w:sz w:val="20"/>
                      </w:rPr>
                      <w:t>2</w:t>
                    </w:r>
                  </w:p>
                </w:tc>
                <w:tc>
                  <w:tcPr>
                    <w:tcW w:w="708" w:type="dxa"/>
                    <w:shd w:val="clear" w:color="auto" w:fill="auto"/>
                    <w:vAlign w:val="center"/>
                  </w:tcPr>
                  <w:p>
                    <w:pPr>
                      <w:jc w:val="center"/>
                      <w:rPr>
                        <w:sz w:val="20"/>
                      </w:rPr>
                    </w:pPr>
                    <w:r>
                      <w:rPr>
                        <w:sz w:val="20"/>
                      </w:rPr>
                      <w:t>5</w:t>
                    </w:r>
                  </w:p>
                </w:tc>
                <w:tc>
                  <w:tcPr>
                    <w:tcW w:w="708" w:type="dxa"/>
                    <w:vAlign w:val="center"/>
                  </w:tcPr>
                  <w:p>
                    <w:pPr>
                      <w:jc w:val="center"/>
                      <w:rPr>
                        <w:sz w:val="20"/>
                      </w:rPr>
                    </w:pPr>
                    <w:r>
                      <w:rPr>
                        <w:sz w:val="20"/>
                      </w:rPr>
                      <w:t>2</w:t>
                    </w:r>
                  </w:p>
                </w:tc>
                <w:tc>
                  <w:tcPr>
                    <w:tcW w:w="708" w:type="dxa"/>
                  </w:tcPr>
                  <w:p>
                    <w:pPr>
                      <w:jc w:val="center"/>
                      <w:rPr>
                        <w:sz w:val="20"/>
                      </w:rPr>
                    </w:pPr>
                    <w:r>
                      <w:rPr>
                        <w:sz w:val="20"/>
                      </w:rPr>
                      <w:t>2</w:t>
                    </w:r>
                  </w:p>
                </w:tc>
              </w:tr>
              <w:tr>
                <w:trPr>
                  <w:jc w:val="center"/>
                </w:trPr>
                <w:tc>
                  <w:tcPr>
                    <w:tcW w:w="555" w:type="dxa"/>
                    <w:shd w:val="clear" w:color="auto" w:fill="auto"/>
                    <w:vAlign w:val="center"/>
                  </w:tcPr>
                  <w:p>
                    <w:pPr>
                      <w:jc w:val="center"/>
                      <w:rPr>
                        <w:sz w:val="20"/>
                      </w:rPr>
                    </w:pPr>
                    <w:r>
                      <w:rPr>
                        <w:sz w:val="20"/>
                      </w:rPr>
                      <w:t>6.1.</w:t>
                    </w:r>
                  </w:p>
                </w:tc>
                <w:tc>
                  <w:tcPr>
                    <w:tcW w:w="5670" w:type="dxa"/>
                    <w:shd w:val="clear" w:color="auto" w:fill="auto"/>
                  </w:tcPr>
                  <w:p>
                    <w:pPr>
                      <w:rPr>
                        <w:sz w:val="20"/>
                      </w:rPr>
                    </w:pPr>
                    <w:r>
                      <w:rPr>
                        <w:sz w:val="20"/>
                      </w:rPr>
                      <w:t>Lietuvos piliečių</w:t>
                    </w:r>
                  </w:p>
                </w:tc>
                <w:tc>
                  <w:tcPr>
                    <w:tcW w:w="695" w:type="dxa"/>
                    <w:shd w:val="clear" w:color="auto" w:fill="auto"/>
                    <w:vAlign w:val="center"/>
                  </w:tcPr>
                  <w:p>
                    <w:pPr>
                      <w:jc w:val="center"/>
                      <w:rPr>
                        <w:sz w:val="20"/>
                      </w:rPr>
                    </w:pPr>
                    <w:r>
                      <w:rPr>
                        <w:sz w:val="20"/>
                      </w:rPr>
                      <w:t>─</w:t>
                    </w:r>
                  </w:p>
                </w:tc>
                <w:tc>
                  <w:tcPr>
                    <w:tcW w:w="709" w:type="dxa"/>
                    <w:shd w:val="clear" w:color="auto" w:fill="auto"/>
                    <w:vAlign w:val="center"/>
                  </w:tcPr>
                  <w:p>
                    <w:pPr>
                      <w:jc w:val="center"/>
                      <w:rPr>
                        <w:sz w:val="20"/>
                      </w:rPr>
                    </w:pPr>
                    <w:r>
                      <w:rPr>
                        <w:sz w:val="20"/>
                      </w:rPr>
                      <w:t>2</w:t>
                    </w:r>
                  </w:p>
                </w:tc>
                <w:tc>
                  <w:tcPr>
                    <w:tcW w:w="708" w:type="dxa"/>
                    <w:shd w:val="clear" w:color="auto" w:fill="auto"/>
                    <w:vAlign w:val="center"/>
                  </w:tcPr>
                  <w:p>
                    <w:pPr>
                      <w:jc w:val="center"/>
                      <w:rPr>
                        <w:sz w:val="20"/>
                      </w:rPr>
                    </w:pPr>
                    <w:r>
                      <w:rPr>
                        <w:sz w:val="20"/>
                      </w:rPr>
                      <w:t>2</w:t>
                    </w:r>
                  </w:p>
                </w:tc>
                <w:tc>
                  <w:tcPr>
                    <w:tcW w:w="708" w:type="dxa"/>
                    <w:vAlign w:val="center"/>
                  </w:tcPr>
                  <w:p>
                    <w:pPr>
                      <w:jc w:val="center"/>
                      <w:rPr>
                        <w:sz w:val="20"/>
                      </w:rPr>
                    </w:pPr>
                    <w:r>
                      <w:rPr>
                        <w:sz w:val="20"/>
                      </w:rPr>
                      <w:t>2</w:t>
                    </w:r>
                  </w:p>
                </w:tc>
                <w:tc>
                  <w:tcPr>
                    <w:tcW w:w="708" w:type="dxa"/>
                  </w:tcPr>
                  <w:p>
                    <w:pPr>
                      <w:jc w:val="center"/>
                      <w:rPr>
                        <w:sz w:val="20"/>
                      </w:rPr>
                    </w:pPr>
                    <w:r>
                      <w:rPr>
                        <w:sz w:val="20"/>
                      </w:rPr>
                      <w:t>2</w:t>
                    </w:r>
                  </w:p>
                </w:tc>
              </w:tr>
              <w:tr>
                <w:trPr>
                  <w:jc w:val="center"/>
                </w:trPr>
                <w:tc>
                  <w:tcPr>
                    <w:tcW w:w="555" w:type="dxa"/>
                    <w:shd w:val="clear" w:color="auto" w:fill="auto"/>
                    <w:vAlign w:val="center"/>
                  </w:tcPr>
                  <w:p>
                    <w:pPr>
                      <w:jc w:val="center"/>
                      <w:rPr>
                        <w:sz w:val="20"/>
                      </w:rPr>
                    </w:pPr>
                    <w:r>
                      <w:rPr>
                        <w:sz w:val="20"/>
                      </w:rPr>
                      <w:t>6.2.</w:t>
                    </w:r>
                  </w:p>
                </w:tc>
                <w:tc>
                  <w:tcPr>
                    <w:tcW w:w="5670" w:type="dxa"/>
                    <w:shd w:val="clear" w:color="auto" w:fill="auto"/>
                  </w:tcPr>
                  <w:p>
                    <w:pPr>
                      <w:rPr>
                        <w:sz w:val="20"/>
                      </w:rPr>
                    </w:pPr>
                    <w:r>
                      <w:rPr>
                        <w:sz w:val="20"/>
                      </w:rPr>
                      <w:t>Užsieniečių</w:t>
                    </w:r>
                  </w:p>
                </w:tc>
                <w:tc>
                  <w:tcPr>
                    <w:tcW w:w="695" w:type="dxa"/>
                    <w:shd w:val="clear" w:color="auto" w:fill="auto"/>
                    <w:vAlign w:val="center"/>
                  </w:tcPr>
                  <w:p>
                    <w:pPr>
                      <w:jc w:val="center"/>
                      <w:rPr>
                        <w:sz w:val="20"/>
                      </w:rPr>
                    </w:pPr>
                    <w:r>
                      <w:rPr>
                        <w:sz w:val="20"/>
                      </w:rPr>
                      <w:t>2</w:t>
                    </w:r>
                  </w:p>
                </w:tc>
                <w:tc>
                  <w:tcPr>
                    <w:tcW w:w="709" w:type="dxa"/>
                    <w:shd w:val="clear" w:color="auto" w:fill="auto"/>
                    <w:vAlign w:val="center"/>
                  </w:tcPr>
                  <w:p>
                    <w:pPr>
                      <w:jc w:val="center"/>
                      <w:rPr>
                        <w:sz w:val="20"/>
                      </w:rPr>
                    </w:pPr>
                    <w:r>
                      <w:rPr>
                        <w:sz w:val="20"/>
                      </w:rPr>
                      <w:t>─</w:t>
                    </w:r>
                  </w:p>
                </w:tc>
                <w:tc>
                  <w:tcPr>
                    <w:tcW w:w="708" w:type="dxa"/>
                    <w:shd w:val="clear" w:color="auto" w:fill="auto"/>
                    <w:vAlign w:val="center"/>
                  </w:tcPr>
                  <w:p>
                    <w:pPr>
                      <w:jc w:val="center"/>
                      <w:rPr>
                        <w:sz w:val="20"/>
                      </w:rPr>
                    </w:pPr>
                    <w:r>
                      <w:rPr>
                        <w:sz w:val="20"/>
                      </w:rPr>
                      <w:t>3</w:t>
                    </w:r>
                  </w:p>
                </w:tc>
                <w:tc>
                  <w:tcPr>
                    <w:tcW w:w="708" w:type="dxa"/>
                    <w:vAlign w:val="center"/>
                  </w:tcPr>
                  <w:p>
                    <w:pPr>
                      <w:jc w:val="center"/>
                      <w:rPr>
                        <w:sz w:val="20"/>
                      </w:rPr>
                    </w:pPr>
                    <w:r>
                      <w:rPr>
                        <w:sz w:val="20"/>
                      </w:rPr>
                      <w:t>-</w:t>
                    </w:r>
                  </w:p>
                </w:tc>
                <w:tc>
                  <w:tcPr>
                    <w:tcW w:w="708" w:type="dxa"/>
                  </w:tcPr>
                  <w:p>
                    <w:pPr>
                      <w:jc w:val="center"/>
                      <w:rPr>
                        <w:sz w:val="20"/>
                      </w:rPr>
                    </w:pPr>
                    <w:r>
                      <w:rPr>
                        <w:sz w:val="20"/>
                      </w:rPr>
                      <w:t>-</w:t>
                    </w:r>
                  </w:p>
                </w:tc>
              </w:tr>
              <w:tr>
                <w:trPr>
                  <w:jc w:val="center"/>
                </w:trPr>
                <w:tc>
                  <w:tcPr>
                    <w:tcW w:w="555" w:type="dxa"/>
                    <w:shd w:val="clear" w:color="auto" w:fill="auto"/>
                    <w:vAlign w:val="center"/>
                  </w:tcPr>
                  <w:p>
                    <w:pPr>
                      <w:jc w:val="center"/>
                      <w:rPr>
                        <w:sz w:val="20"/>
                      </w:rPr>
                    </w:pPr>
                    <w:r>
                      <w:rPr>
                        <w:sz w:val="20"/>
                      </w:rPr>
                      <w:t>7.</w:t>
                    </w:r>
                  </w:p>
                </w:tc>
                <w:tc>
                  <w:tcPr>
                    <w:tcW w:w="5670" w:type="dxa"/>
                    <w:shd w:val="clear" w:color="auto" w:fill="auto"/>
                  </w:tcPr>
                  <w:p>
                    <w:pPr>
                      <w:rPr>
                        <w:sz w:val="20"/>
                      </w:rPr>
                    </w:pPr>
                    <w:r>
                      <w:rPr>
                        <w:sz w:val="20"/>
                      </w:rPr>
                      <w:t>Vaikams, kuriems pirmą kartą nustatyta trumpalaikė socialinė globa Telšių vaikų globos namuose, skaičius</w:t>
                    </w:r>
                  </w:p>
                </w:tc>
                <w:tc>
                  <w:tcPr>
                    <w:tcW w:w="695" w:type="dxa"/>
                    <w:shd w:val="clear" w:color="auto" w:fill="auto"/>
                    <w:vAlign w:val="center"/>
                  </w:tcPr>
                  <w:p>
                    <w:pPr>
                      <w:jc w:val="center"/>
                      <w:rPr>
                        <w:sz w:val="20"/>
                      </w:rPr>
                    </w:pPr>
                    <w:r>
                      <w:rPr>
                        <w:sz w:val="20"/>
                      </w:rPr>
                      <w:t>24</w:t>
                    </w:r>
                  </w:p>
                </w:tc>
                <w:tc>
                  <w:tcPr>
                    <w:tcW w:w="709" w:type="dxa"/>
                    <w:shd w:val="clear" w:color="auto" w:fill="auto"/>
                    <w:vAlign w:val="center"/>
                  </w:tcPr>
                  <w:p>
                    <w:pPr>
                      <w:jc w:val="center"/>
                      <w:rPr>
                        <w:sz w:val="20"/>
                      </w:rPr>
                    </w:pPr>
                    <w:r>
                      <w:rPr>
                        <w:sz w:val="20"/>
                      </w:rPr>
                      <w:t>17</w:t>
                    </w:r>
                  </w:p>
                </w:tc>
                <w:tc>
                  <w:tcPr>
                    <w:tcW w:w="708" w:type="dxa"/>
                    <w:shd w:val="clear" w:color="auto" w:fill="auto"/>
                    <w:vAlign w:val="center"/>
                  </w:tcPr>
                  <w:p>
                    <w:pPr>
                      <w:jc w:val="center"/>
                      <w:rPr>
                        <w:sz w:val="20"/>
                      </w:rPr>
                    </w:pPr>
                    <w:r>
                      <w:rPr>
                        <w:sz w:val="20"/>
                      </w:rPr>
                      <w:t>21</w:t>
                    </w:r>
                  </w:p>
                </w:tc>
                <w:tc>
                  <w:tcPr>
                    <w:tcW w:w="708" w:type="dxa"/>
                    <w:vAlign w:val="center"/>
                  </w:tcPr>
                  <w:p>
                    <w:pPr>
                      <w:jc w:val="center"/>
                      <w:rPr>
                        <w:sz w:val="20"/>
                      </w:rPr>
                    </w:pPr>
                    <w:r>
                      <w:rPr>
                        <w:sz w:val="20"/>
                      </w:rPr>
                      <w:t>30</w:t>
                    </w:r>
                  </w:p>
                </w:tc>
                <w:tc>
                  <w:tcPr>
                    <w:tcW w:w="708" w:type="dxa"/>
                    <w:vAlign w:val="center"/>
                  </w:tcPr>
                  <w:p>
                    <w:pPr>
                      <w:jc w:val="center"/>
                      <w:rPr>
                        <w:sz w:val="20"/>
                      </w:rPr>
                    </w:pPr>
                    <w:r>
                      <w:rPr>
                        <w:sz w:val="20"/>
                      </w:rPr>
                      <w:t>29</w:t>
                    </w:r>
                  </w:p>
                </w:tc>
              </w:tr>
              <w:tr>
                <w:trPr>
                  <w:jc w:val="center"/>
                </w:trPr>
                <w:tc>
                  <w:tcPr>
                    <w:tcW w:w="555" w:type="dxa"/>
                    <w:shd w:val="clear" w:color="auto" w:fill="auto"/>
                    <w:vAlign w:val="center"/>
                  </w:tcPr>
                  <w:p>
                    <w:pPr>
                      <w:jc w:val="center"/>
                      <w:rPr>
                        <w:sz w:val="20"/>
                      </w:rPr>
                    </w:pPr>
                    <w:r>
                      <w:rPr>
                        <w:sz w:val="20"/>
                      </w:rPr>
                      <w:t>8.</w:t>
                    </w:r>
                  </w:p>
                </w:tc>
                <w:tc>
                  <w:tcPr>
                    <w:tcW w:w="5670" w:type="dxa"/>
                    <w:shd w:val="clear" w:color="auto" w:fill="auto"/>
                  </w:tcPr>
                  <w:p>
                    <w:pPr>
                      <w:rPr>
                        <w:sz w:val="20"/>
                      </w:rPr>
                    </w:pPr>
                    <w:r>
                      <w:rPr>
                        <w:sz w:val="20"/>
                      </w:rPr>
                      <w:t>Vaikams, kuriems pirmą kartą nustatyta ilgalaikė socialinė globa Telšių vaikų globos namuose, skaičius</w:t>
                    </w:r>
                  </w:p>
                </w:tc>
                <w:tc>
                  <w:tcPr>
                    <w:tcW w:w="695" w:type="dxa"/>
                    <w:shd w:val="clear" w:color="auto" w:fill="auto"/>
                    <w:vAlign w:val="center"/>
                  </w:tcPr>
                  <w:p>
                    <w:pPr>
                      <w:jc w:val="center"/>
                      <w:rPr>
                        <w:sz w:val="20"/>
                      </w:rPr>
                    </w:pPr>
                    <w:r>
                      <w:rPr>
                        <w:sz w:val="20"/>
                      </w:rPr>
                      <w:t>8</w:t>
                    </w:r>
                  </w:p>
                </w:tc>
                <w:tc>
                  <w:tcPr>
                    <w:tcW w:w="709" w:type="dxa"/>
                    <w:shd w:val="clear" w:color="auto" w:fill="auto"/>
                    <w:vAlign w:val="center"/>
                  </w:tcPr>
                  <w:p>
                    <w:pPr>
                      <w:jc w:val="center"/>
                      <w:rPr>
                        <w:sz w:val="20"/>
                      </w:rPr>
                    </w:pPr>
                    <w:r>
                      <w:rPr>
                        <w:sz w:val="20"/>
                      </w:rPr>
                      <w:t>15</w:t>
                    </w:r>
                  </w:p>
                </w:tc>
                <w:tc>
                  <w:tcPr>
                    <w:tcW w:w="708" w:type="dxa"/>
                    <w:shd w:val="clear" w:color="auto" w:fill="auto"/>
                    <w:vAlign w:val="center"/>
                  </w:tcPr>
                  <w:p>
                    <w:pPr>
                      <w:jc w:val="center"/>
                      <w:rPr>
                        <w:sz w:val="20"/>
                      </w:rPr>
                    </w:pPr>
                    <w:r>
                      <w:rPr>
                        <w:sz w:val="20"/>
                      </w:rPr>
                      <w:t>9</w:t>
                    </w:r>
                  </w:p>
                </w:tc>
                <w:tc>
                  <w:tcPr>
                    <w:tcW w:w="708" w:type="dxa"/>
                    <w:vAlign w:val="center"/>
                  </w:tcPr>
                  <w:p>
                    <w:pPr>
                      <w:jc w:val="center"/>
                      <w:rPr>
                        <w:sz w:val="20"/>
                      </w:rPr>
                    </w:pPr>
                    <w:r>
                      <w:rPr>
                        <w:sz w:val="20"/>
                      </w:rPr>
                      <w:t>11</w:t>
                    </w:r>
                  </w:p>
                </w:tc>
                <w:tc>
                  <w:tcPr>
                    <w:tcW w:w="708" w:type="dxa"/>
                    <w:vAlign w:val="center"/>
                  </w:tcPr>
                  <w:p>
                    <w:pPr>
                      <w:jc w:val="center"/>
                      <w:rPr>
                        <w:sz w:val="20"/>
                      </w:rPr>
                    </w:pPr>
                    <w:r>
                      <w:rPr>
                        <w:sz w:val="20"/>
                      </w:rPr>
                      <w:t>4</w:t>
                    </w:r>
                  </w:p>
                </w:tc>
              </w:tr>
            </w:tbl>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color w:val="000000"/>
                  <w:szCs w:val="24"/>
                  <w:lang w:eastAsia="ar-SA"/>
                </w:rPr>
              </w:pPr>
            </w:p>
            <w:p>
              <w:pPr>
                <w:tabs>
                  <w:tab w:val="left" w:pos="851"/>
                </w:tabs>
                <w:ind w:firstLine="851"/>
                <w:jc w:val="both"/>
                <w:rPr>
                  <w:szCs w:val="24"/>
                </w:rPr>
              </w:pPr>
              <w:r>
                <w:rPr>
                  <w:b/>
                  <w:szCs w:val="24"/>
                </w:rPr>
                <w:t>Senyvo amžiaus asmenys</w:t>
              </w:r>
              <w:r>
                <w:rPr>
                  <w:szCs w:val="24"/>
                </w:rPr>
                <w:t xml:space="preserve"> yra viena iš pagrindinių paslaugų gavėjų grupių, nes senyvo amžiaus asmenys sudaro 24 proc. visų Telšių rajono gyventojų. Socialinių paslaugų poreikis šiai asmenų grupei nustatomas vertinant asmens specialiųjų poreikių lygį atsižvelgiant į pagrindines neįgaliųjų veiklos sritis: buitį ir asmeninį gyvenimą, darbinę veiklą ir visuomeninį gyvenimą bei įvertinus asmeniui reikalingos specialios pagalbos priemonių apimtį (techninės pagalbos priemonių ir (ar) būsto ir jo aplinkos pritaikymo poreikį, finansinės pagalbos priemonių poreikį ir socialinių paslaugų poreikį). Besikreipiančiųjų dėl specialiųjų poreikių lygio nustatymo skaičius mažėja per 2015 m. kreipėsi 431 asmuo, o 2016 m. – 41 asmeniu mažiau nei ankstesniais metais. Per 2016 m. 312 asmenų nustatytas didelių ir 78 asmenims vidutinių specialiųjų poreikių lygis.</w:t>
              </w:r>
            </w:p>
            <w:p>
              <w:pPr>
                <w:ind w:firstLine="900"/>
                <w:jc w:val="both"/>
                <w:rPr>
                  <w:szCs w:val="24"/>
                </w:rPr>
              </w:pPr>
              <w:r>
                <w:rPr>
                  <w:szCs w:val="24"/>
                </w:rPr>
                <w:t>Telšių rajone asmenų su negalia 2016 m. sudarė 9,2 proc. visų gyventojų. Pokytis pateiktas žemiau lentelėje</w:t>
              </w:r>
              <w:r>
                <w:rPr>
                  <w:szCs w:val="24"/>
                  <w:vertAlign w:val="superscript"/>
                </w:rPr>
                <w:footnoteReference w:id="7"/>
              </w:r>
              <w:r>
                <w:rPr>
                  <w:szCs w:val="24"/>
                </w:rPr>
                <w:t xml:space="preserve">.  Negalios pobūdis, asmens šeimos sudėtis, finansinė padėtis yra glaudžiai susijusios su socialinių paslaugų poreikiu. </w:t>
              </w:r>
            </w:p>
          </w:sdtContent>
        </w:sdt>
        <w:sdt>
          <w:sdtPr>
            <w:alias w:val="poskyris"/>
            <w:tag w:val="part_acc36c19d0044906b0bc85fd2df9e3c6"/>
            <w:lock w:val="sdtLocked"/>
            <w:richText/>
          </w:sdtPr>
          <w:sdtContent>
            <w:p>
              <w:pPr>
                <w:jc w:val="center"/>
                <w:rPr>
                  <w:b/>
                  <w:szCs w:val="24"/>
                </w:rPr>
              </w:pPr>
              <w:sdt>
                <w:sdtPr>
                  <w:alias w:val="Pavadinimas"/>
                  <w:tag w:val="title_acc36c19d0044906b0bc85fd2df9e3c6"/>
                  <w:lock w:val="sdtLocked"/>
                  <w:richText/>
                </w:sdtPr>
                <w:sdtContent>
                  <w:r>
                    <w:rPr>
                      <w:b/>
                      <w:szCs w:val="24"/>
                    </w:rPr>
                    <w:t>Suaugusių asmenų su negalia skaičiaus dinamika 2011─2016 m.</w:t>
                  </w:r>
                </w:sdtContent>
              </w:sdt>
            </w:p>
            <w:p>
              <w:pPr>
                <w:ind w:firstLine="900"/>
                <w:jc w:val="center"/>
                <w:rPr>
                  <w:b/>
                  <w:szCs w:val="24"/>
                </w:rPr>
              </w:pPr>
            </w:p>
            <w:p>
              <w:pPr>
                <w:jc w:val="center"/>
                <w:rPr>
                  <w:szCs w:val="24"/>
                </w:rPr>
              </w:pPr>
              <w:r>
                <w:rPr>
                  <w:szCs w:val="24"/>
                  <w:lang w:val="en-US"/>
                </w:rPr>
                <w:drawing>
                  <wp:inline distT="0" distB="0" distL="0" distR="0" wp14:anchorId="43987338" wp14:editId="4A890FD3">
                    <wp:extent cx="3725545" cy="2047875"/>
                    <wp:effectExtent l="0" t="0" r="8255" b="0"/>
                    <wp:docPr id="2"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2"/>
                      </a:graphicData>
                    </a:graphic>
                  </wp:inline>
                </w:drawing>
              </w:r>
            </w:p>
            <w:p>
              <w:pPr>
                <w:tabs>
                  <w:tab w:val="left" w:pos="851"/>
                </w:tabs>
                <w:ind w:firstLine="851"/>
                <w:jc w:val="both"/>
                <w:rPr>
                  <w:b/>
                  <w:szCs w:val="24"/>
                </w:rPr>
              </w:pPr>
            </w:p>
            <w:p>
              <w:pPr>
                <w:tabs>
                  <w:tab w:val="left" w:pos="851"/>
                </w:tabs>
                <w:ind w:firstLine="851"/>
                <w:jc w:val="both"/>
                <w:rPr>
                  <w:szCs w:val="24"/>
                </w:rPr>
              </w:pPr>
              <w:r>
                <w:rPr>
                  <w:b/>
                  <w:szCs w:val="24"/>
                </w:rPr>
                <w:t xml:space="preserve">Socialinės rizikos asmenys </w:t>
              </w:r>
              <w:r>
                <w:rPr>
                  <w:szCs w:val="24"/>
                </w:rPr>
                <w:t>piktnaudžiauja alkoholiu, narkotinėmis ir kitomis medžiagomis, valkatauja, elgetauja, smurtauja artimoje aplinkoje arba patys yra smurto aukos, prieš juos neretai panaudojama fizinė ar seksualinė prievarta. Šie veiksniai lemia vaikų, suaugusių asmenų priskyrimą socialinės rizikos grupei. Dažnai, siekdami patenkinti įvairius savo poreikius, jie linkę į nusikalstamumą, todėl patenka į įkalinimo įstaigas. Grįžę iš laisvės atėmimo vietų, susiduria su tokiais neigiamais padariniais, kaip prarasta šeima, prarastas gyvenamasis būstas, susilpnėję socialiniai įgūdžiai, darbinės veiklos neturėjimas, negatyvus aplinkinių požiūris ir pan. Teistumas, piktnaudžiavimas alkoholiu, nedarbas yra esminiai faktoriai, lemiantys benamystę.</w:t>
              </w:r>
            </w:p>
            <w:p>
              <w:pPr>
                <w:tabs>
                  <w:tab w:val="left" w:pos="851"/>
                </w:tabs>
                <w:ind w:firstLine="851"/>
                <w:rPr>
                  <w:szCs w:val="24"/>
                </w:rPr>
              </w:pPr>
            </w:p>
            <w:sdt>
              <w:sdtPr>
                <w:alias w:val="4.2.2 pp."/>
                <w:tag w:val="part_bd7cb09f7d6c469088d5d81b0599ac49"/>
                <w:lock w:val="sdtLocked"/>
                <w:richText/>
              </w:sdtPr>
              <w:sdtContent>
                <w:p>
                  <w:pPr>
                    <w:widowControl w:val="0"/>
                    <w:tabs>
                      <w:tab w:val="left" w:pos="851"/>
                    </w:tabs>
                    <w:suppressAutoHyphens/>
                    <w:ind w:left="1560" w:hanging="709"/>
                    <w:jc w:val="both"/>
                    <w:textAlignment w:val="baseline"/>
                    <w:rPr>
                      <w:b/>
                      <w:szCs w:val="24"/>
                    </w:rPr>
                  </w:pPr>
                  <w:sdt>
                    <w:sdtPr>
                      <w:alias w:val="Numeris"/>
                      <w:tag w:val="nr_bd7cb09f7d6c469088d5d81b0599ac49"/>
                      <w:lock w:val="sdtLocked"/>
                      <w:richText/>
                    </w:sdtPr>
                    <w:sdtContent>
                      <w:r>
                        <w:rPr>
                          <w:b/>
                          <w:szCs w:val="24"/>
                        </w:rPr>
                        <w:t>4.2.2</w:t>
                      </w:r>
                    </w:sdtContent>
                  </w:sdt>
                  <w:r>
                    <w:rPr>
                      <w:b/>
                      <w:szCs w:val="24"/>
                    </w:rPr>
                    <w:t>.</w:t>
                    <w:tab/>
                    <w:t>Socialines paslaugas teikiančių įstaigų ir organizacijų veiklos rezultatai</w:t>
                  </w: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sdt>
                  <w:sdtPr>
                    <w:alias w:val="4.2.2.1 pp."/>
                    <w:tag w:val="part_69fc773a34ce4dfba2e450412643c576"/>
                    <w:lock w:val="sdtLocked"/>
                    <w:richText/>
                  </w:sdtPr>
                  <w:sdtContent>
                    <w:p>
                      <w:pPr>
                        <w:tabs>
                          <w:tab w:val="left" w:pos="1701"/>
                        </w:tabs>
                        <w:ind w:left="2535" w:hanging="1684"/>
                        <w:rPr>
                          <w:b/>
                          <w:szCs w:val="24"/>
                        </w:rPr>
                      </w:pPr>
                      <w:sdt>
                        <w:sdtPr>
                          <w:alias w:val="Numeris"/>
                          <w:tag w:val="nr_69fc773a34ce4dfba2e450412643c576"/>
                          <w:lock w:val="sdtLocked"/>
                          <w:richText/>
                        </w:sdtPr>
                        <w:sdtContent>
                          <w:r>
                            <w:rPr>
                              <w:b/>
                              <w:szCs w:val="24"/>
                            </w:rPr>
                            <w:t>4.2.2.1</w:t>
                          </w:r>
                        </w:sdtContent>
                      </w:sdt>
                      <w:r>
                        <w:rPr>
                          <w:b/>
                          <w:szCs w:val="24"/>
                        </w:rPr>
                        <w:t>.</w:t>
                        <w:tab/>
                        <w:t>Įstaigų išvystymo ir veiklos palyginamoji analizė</w:t>
                      </w:r>
                    </w:p>
                    <w:p>
                      <w:pPr>
                        <w:rPr>
                          <w:szCs w:val="24"/>
                        </w:rPr>
                      </w:pPr>
                    </w:p>
                    <w:p>
                      <w:pPr>
                        <w:ind w:firstLine="720"/>
                        <w:jc w:val="both"/>
                        <w:rPr>
                          <w:szCs w:val="24"/>
                        </w:rPr>
                      </w:pPr>
                      <w:r>
                        <w:rPr>
                          <w:szCs w:val="24"/>
                        </w:rPr>
                        <w:t xml:space="preserve">Socialinių paslaugų prieinamumo bei teikiamų paslaugų efektyvumo vienas iš vertinamų kriterijų yra socialines paslaugas teikiančių įstaigų išvystymas. Pagal pateiktą informaciją akivaizdu, jog Telšių rajone pagrindinis specialiųjų socialinių paslaugų teikėjas yra biudžetinės įstaigos, o nevyriausybinės organizacijos labiau vykdo bendrųjų paslaugų teikimą. Socialines paslaugas teikiančių biudžetinių įstaigų lyginamoji analizė atlikta tik siekiant pateikti apibendrintą informaciją, nes tiek paslaugų gavėjai, tiek paslaugų infrastruktūros išvystymas yra tiesiogiai susijęs su paslaugų specifika.   </w:t>
                      </w: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sdtContent>
                </w:sdt>
                <w:sdt>
                  <w:sdtPr>
                    <w:alias w:val="4.2.2.2 pp."/>
                    <w:tag w:val="part_b8e2c67b1a2248839b9381738ac1ad3b"/>
                    <w:lock w:val="sdtLocked"/>
                    <w:richText/>
                  </w:sdtPr>
                  <w:sdtContent>
                    <w:p>
                      <w:pPr>
                        <w:widowControl w:val="0"/>
                        <w:tabs>
                          <w:tab w:val="left" w:pos="851"/>
                          <w:tab w:val="left" w:pos="1418"/>
                          <w:tab w:val="left" w:pos="1701"/>
                          <w:tab w:val="left" w:pos="2127"/>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ind w:left="1560" w:hanging="709"/>
                        <w:jc w:val="both"/>
                        <w:textAlignment w:val="baseline"/>
                        <w:rPr>
                          <w:b/>
                          <w:szCs w:val="24"/>
                          <w:lang w:eastAsia="ar-SA"/>
                        </w:rPr>
                      </w:pPr>
                      <w:sdt>
                        <w:sdtPr>
                          <w:alias w:val="Numeris"/>
                          <w:tag w:val="nr_b8e2c67b1a2248839b9381738ac1ad3b"/>
                          <w:lock w:val="sdtLocked"/>
                          <w:richText/>
                        </w:sdtPr>
                        <w:sdtContent>
                          <w:r>
                            <w:rPr>
                              <w:b/>
                              <w:szCs w:val="24"/>
                              <w:lang w:eastAsia="ar-SA"/>
                            </w:rPr>
                            <w:t>4.2.2.2</w:t>
                          </w:r>
                        </w:sdtContent>
                      </w:sdt>
                      <w:r>
                        <w:rPr>
                          <w:b/>
                          <w:szCs w:val="24"/>
                          <w:lang w:eastAsia="ar-SA"/>
                        </w:rPr>
                        <w:t>.</w:t>
                        <w:tab/>
                        <w:t>Telšių socialinių paslaugų centras</w:t>
                      </w:r>
                    </w:p>
                    <w:p>
                      <w:pPr>
                        <w:widowControl w:val="0"/>
                        <w:tabs>
                          <w:tab w:val="left" w:pos="851"/>
                          <w:tab w:val="left" w:pos="1832"/>
                          <w:tab w:val="left" w:pos="2127"/>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ind w:left="1985"/>
                        <w:jc w:val="both"/>
                        <w:textAlignment w:val="baseline"/>
                        <w:rPr>
                          <w:b/>
                          <w:szCs w:val="24"/>
                          <w:lang w:eastAsia="ar-SA"/>
                        </w:rPr>
                      </w:pP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ind w:firstLine="851"/>
                        <w:jc w:val="both"/>
                        <w:textAlignment w:val="baseline"/>
                        <w:rPr>
                          <w:szCs w:val="24"/>
                          <w:lang w:eastAsia="ar-SA"/>
                        </w:rPr>
                      </w:pPr>
                      <w:r>
                        <w:rPr>
                          <w:szCs w:val="24"/>
                          <w:lang w:eastAsia="ar-SA"/>
                        </w:rPr>
                        <w:t xml:space="preserve">Telšių socialinių paslaugų centras teikia paslaugas į namus, vykdo dienos centrų veiklą, dirba su socialinės rizikos šeimomis ir jose augančiais vaikais bei socialinės rizikos asmenimis. Telšių socialinių paslaugų centro struktūroje yra: Telšių nakvynės namai, Savarankiški gyvenimo namai socialinės rizikos asmenims, Telšių, Nevarėnų, Upynos ir  Žarėnų dienos centrai.</w:t>
                      </w:r>
                    </w:p>
                    <w:p>
                      <w:pPr>
                        <w:ind w:firstLine="749"/>
                        <w:rPr>
                          <w:szCs w:val="24"/>
                        </w:rPr>
                      </w:pPr>
                      <w:r>
                        <w:rPr>
                          <w:szCs w:val="24"/>
                        </w:rPr>
                        <w:t>Paslaugų gavėjų statistika pateikiama žemiau lentelėse.</w:t>
                      </w:r>
                    </w:p>
                    <w:p>
                      <w:pPr>
                        <w:ind w:firstLine="749"/>
                        <w:rPr>
                          <w:b/>
                          <w:sz w:val="20"/>
                        </w:rPr>
                      </w:pPr>
                    </w:p>
                  </w:sdtContent>
                </w:sdt>
              </w:sdtContent>
            </w:sdt>
          </w:sdtContent>
        </w:sdt>
        <w:sdt>
          <w:sdtPr>
            <w:alias w:val="poskyris"/>
            <w:tag w:val="part_dc4bab6628e54734bde530428143ff6b"/>
            <w:lock w:val="sdtLocked"/>
            <w:richText/>
          </w:sdtPr>
          <w:sdtContent>
            <w:p>
              <w:pPr>
                <w:ind w:firstLine="749"/>
                <w:jc w:val="center"/>
                <w:rPr>
                  <w:b/>
                  <w:sz w:val="20"/>
                </w:rPr>
              </w:pPr>
              <w:sdt>
                <w:sdtPr>
                  <w:alias w:val="Pavadinimas"/>
                  <w:tag w:val="title_dc4bab6628e54734bde530428143ff6b"/>
                  <w:lock w:val="sdtLocked"/>
                  <w:richText/>
                </w:sdtPr>
                <w:sdtContent>
                  <w:r>
                    <w:rPr>
                      <w:b/>
                      <w:sz w:val="20"/>
                    </w:rPr>
                    <w:t>Dienos centruose suteiktų paslaugų, gavėjų ir surinktų lėšų statistika 2015─2016 m.</w:t>
                  </w:r>
                </w:sdtContent>
              </w:sdt>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2"/>
                <w:gridCol w:w="992"/>
                <w:gridCol w:w="993"/>
                <w:gridCol w:w="1134"/>
                <w:gridCol w:w="992"/>
                <w:gridCol w:w="992"/>
                <w:gridCol w:w="992"/>
              </w:tblGrid>
              <w:tr>
                <w:tc>
                  <w:tcPr>
                    <w:tcW w:w="3652" w:type="dxa"/>
                    <w:vMerge w:val="restart"/>
                    <w:tcBorders>
                      <w:tl2br w:val="single" w:sz="4" w:space="0" w:color="auto"/>
                    </w:tcBorders>
                    <w:shd w:val="clear" w:color="auto" w:fill="D9D9D9"/>
                    <w:vAlign w:val="center"/>
                  </w:tcPr>
                  <w:p>
                    <w:pPr>
                      <w:jc w:val="right"/>
                      <w:rPr>
                        <w:b/>
                        <w:sz w:val="20"/>
                      </w:rPr>
                    </w:pPr>
                  </w:p>
                  <w:p>
                    <w:pPr>
                      <w:jc w:val="right"/>
                      <w:rPr>
                        <w:b/>
                        <w:sz w:val="20"/>
                      </w:rPr>
                    </w:pPr>
                    <w:r>
                      <w:rPr>
                        <w:b/>
                        <w:sz w:val="20"/>
                      </w:rPr>
                      <w:t>Rodikliai</w:t>
                    </w:r>
                  </w:p>
                  <w:p>
                    <w:pPr>
                      <w:rPr>
                        <w:b/>
                        <w:sz w:val="20"/>
                      </w:rPr>
                    </w:pPr>
                    <w:r>
                      <w:rPr>
                        <w:b/>
                        <w:sz w:val="20"/>
                      </w:rPr>
                      <w:t>Paslaugos pavadinimas</w:t>
                    </w:r>
                  </w:p>
                </w:tc>
                <w:tc>
                  <w:tcPr>
                    <w:tcW w:w="1985" w:type="dxa"/>
                    <w:gridSpan w:val="2"/>
                    <w:shd w:val="clear" w:color="auto" w:fill="D9D9D9"/>
                    <w:vAlign w:val="center"/>
                  </w:tcPr>
                  <w:p>
                    <w:pPr>
                      <w:jc w:val="center"/>
                      <w:rPr>
                        <w:b/>
                        <w:sz w:val="20"/>
                      </w:rPr>
                    </w:pPr>
                    <w:r>
                      <w:rPr>
                        <w:b/>
                        <w:sz w:val="20"/>
                      </w:rPr>
                      <w:t>Gavėjai</w:t>
                    </w:r>
                  </w:p>
                </w:tc>
                <w:tc>
                  <w:tcPr>
                    <w:tcW w:w="2126" w:type="dxa"/>
                    <w:gridSpan w:val="2"/>
                    <w:shd w:val="clear" w:color="auto" w:fill="D9D9D9"/>
                    <w:vAlign w:val="center"/>
                  </w:tcPr>
                  <w:p>
                    <w:pPr>
                      <w:jc w:val="center"/>
                      <w:rPr>
                        <w:b/>
                        <w:sz w:val="20"/>
                      </w:rPr>
                    </w:pPr>
                    <w:r>
                      <w:rPr>
                        <w:b/>
                        <w:sz w:val="20"/>
                      </w:rPr>
                      <w:t>Suteikta paslaugų,</w:t>
                    </w:r>
                  </w:p>
                  <w:p>
                    <w:pPr>
                      <w:jc w:val="center"/>
                      <w:rPr>
                        <w:b/>
                        <w:sz w:val="20"/>
                      </w:rPr>
                    </w:pPr>
                    <w:r>
                      <w:rPr>
                        <w:b/>
                        <w:sz w:val="20"/>
                      </w:rPr>
                      <w:t>vnt. / kartų</w:t>
                    </w:r>
                  </w:p>
                </w:tc>
                <w:tc>
                  <w:tcPr>
                    <w:tcW w:w="1984" w:type="dxa"/>
                    <w:gridSpan w:val="2"/>
                    <w:shd w:val="clear" w:color="auto" w:fill="D9D9D9"/>
                    <w:vAlign w:val="center"/>
                  </w:tcPr>
                  <w:p>
                    <w:pPr>
                      <w:jc w:val="center"/>
                      <w:rPr>
                        <w:b/>
                        <w:sz w:val="20"/>
                      </w:rPr>
                    </w:pPr>
                    <w:r>
                      <w:rPr>
                        <w:b/>
                        <w:sz w:val="20"/>
                      </w:rPr>
                      <w:t>Surinkta lėšų,</w:t>
                    </w:r>
                  </w:p>
                  <w:p>
                    <w:pPr>
                      <w:jc w:val="center"/>
                      <w:rPr>
                        <w:b/>
                        <w:sz w:val="20"/>
                      </w:rPr>
                    </w:pPr>
                    <w:r>
                      <w:rPr>
                        <w:b/>
                        <w:sz w:val="20"/>
                      </w:rPr>
                      <w:t>tūkst. Eur</w:t>
                    </w:r>
                  </w:p>
                </w:tc>
              </w:tr>
              <w:tr>
                <w:trPr>
                  <w:trHeight w:val="244"/>
                </w:trPr>
                <w:tc>
                  <w:tcPr>
                    <w:tcW w:w="3652" w:type="dxa"/>
                    <w:vMerge/>
                    <w:tcBorders>
                      <w:tl2br w:val="single" w:sz="4" w:space="0" w:color="auto"/>
                    </w:tcBorders>
                    <w:shd w:val="clear" w:color="auto" w:fill="D9D9D9"/>
                    <w:vAlign w:val="center"/>
                  </w:tcPr>
                  <w:p>
                    <w:pPr>
                      <w:jc w:val="center"/>
                      <w:rPr>
                        <w:b/>
                        <w:sz w:val="20"/>
                      </w:rPr>
                    </w:pPr>
                  </w:p>
                </w:tc>
                <w:tc>
                  <w:tcPr>
                    <w:tcW w:w="992" w:type="dxa"/>
                    <w:shd w:val="clear" w:color="auto" w:fill="D9D9D9"/>
                    <w:vAlign w:val="center"/>
                  </w:tcPr>
                  <w:p>
                    <w:pPr>
                      <w:jc w:val="center"/>
                      <w:rPr>
                        <w:b/>
                        <w:sz w:val="20"/>
                      </w:rPr>
                    </w:pPr>
                    <w:r>
                      <w:rPr>
                        <w:b/>
                        <w:sz w:val="20"/>
                      </w:rPr>
                      <w:t>2015</w:t>
                    </w:r>
                  </w:p>
                </w:tc>
                <w:tc>
                  <w:tcPr>
                    <w:tcW w:w="993" w:type="dxa"/>
                    <w:shd w:val="clear" w:color="auto" w:fill="D9D9D9"/>
                    <w:vAlign w:val="center"/>
                  </w:tcPr>
                  <w:p>
                    <w:pPr>
                      <w:jc w:val="center"/>
                      <w:rPr>
                        <w:b/>
                        <w:sz w:val="20"/>
                      </w:rPr>
                    </w:pPr>
                    <w:r>
                      <w:rPr>
                        <w:b/>
                        <w:sz w:val="20"/>
                      </w:rPr>
                      <w:t>2016</w:t>
                    </w:r>
                  </w:p>
                </w:tc>
                <w:tc>
                  <w:tcPr>
                    <w:tcW w:w="1134" w:type="dxa"/>
                    <w:shd w:val="clear" w:color="auto" w:fill="D9D9D9"/>
                    <w:vAlign w:val="center"/>
                  </w:tcPr>
                  <w:p>
                    <w:pPr>
                      <w:jc w:val="center"/>
                      <w:rPr>
                        <w:b/>
                        <w:sz w:val="20"/>
                      </w:rPr>
                    </w:pPr>
                    <w:r>
                      <w:rPr>
                        <w:b/>
                        <w:sz w:val="20"/>
                      </w:rPr>
                      <w:t>2015</w:t>
                    </w:r>
                  </w:p>
                </w:tc>
                <w:tc>
                  <w:tcPr>
                    <w:tcW w:w="992" w:type="dxa"/>
                    <w:shd w:val="clear" w:color="auto" w:fill="D9D9D9"/>
                    <w:vAlign w:val="center"/>
                  </w:tcPr>
                  <w:p>
                    <w:pPr>
                      <w:jc w:val="center"/>
                      <w:rPr>
                        <w:b/>
                        <w:sz w:val="20"/>
                      </w:rPr>
                    </w:pPr>
                    <w:r>
                      <w:rPr>
                        <w:b/>
                        <w:sz w:val="20"/>
                      </w:rPr>
                      <w:t>2016</w:t>
                    </w:r>
                  </w:p>
                </w:tc>
                <w:tc>
                  <w:tcPr>
                    <w:tcW w:w="992" w:type="dxa"/>
                    <w:shd w:val="clear" w:color="auto" w:fill="D9D9D9"/>
                    <w:vAlign w:val="center"/>
                  </w:tcPr>
                  <w:p>
                    <w:pPr>
                      <w:jc w:val="center"/>
                      <w:rPr>
                        <w:b/>
                        <w:sz w:val="20"/>
                      </w:rPr>
                    </w:pPr>
                    <w:r>
                      <w:rPr>
                        <w:b/>
                        <w:sz w:val="20"/>
                      </w:rPr>
                      <w:t>2015</w:t>
                    </w:r>
                  </w:p>
                </w:tc>
                <w:tc>
                  <w:tcPr>
                    <w:tcW w:w="992" w:type="dxa"/>
                    <w:shd w:val="clear" w:color="auto" w:fill="D9D9D9"/>
                  </w:tcPr>
                  <w:p>
                    <w:pPr>
                      <w:jc w:val="center"/>
                      <w:rPr>
                        <w:b/>
                        <w:sz w:val="20"/>
                      </w:rPr>
                    </w:pPr>
                    <w:r>
                      <w:rPr>
                        <w:b/>
                        <w:sz w:val="20"/>
                      </w:rPr>
                      <w:t>2016</w:t>
                    </w:r>
                  </w:p>
                </w:tc>
              </w:tr>
              <w:tr>
                <w:tc>
                  <w:tcPr>
                    <w:tcW w:w="8755" w:type="dxa"/>
                    <w:gridSpan w:val="6"/>
                    <w:vAlign w:val="center"/>
                  </w:tcPr>
                  <w:p>
                    <w:pPr>
                      <w:rPr>
                        <w:b/>
                        <w:sz w:val="20"/>
                      </w:rPr>
                    </w:pPr>
                    <w:r>
                      <w:rPr>
                        <w:b/>
                        <w:sz w:val="20"/>
                      </w:rPr>
                      <w:t>Telšių dienos centre</w:t>
                    </w:r>
                  </w:p>
                </w:tc>
                <w:tc>
                  <w:tcPr>
                    <w:tcW w:w="992" w:type="dxa"/>
                  </w:tcPr>
                  <w:p>
                    <w:pPr>
                      <w:rPr>
                        <w:b/>
                        <w:sz w:val="20"/>
                      </w:rPr>
                    </w:pPr>
                  </w:p>
                </w:tc>
              </w:tr>
              <w:tr>
                <w:tc>
                  <w:tcPr>
                    <w:tcW w:w="3652" w:type="dxa"/>
                    <w:vAlign w:val="center"/>
                  </w:tcPr>
                  <w:p>
                    <w:pPr>
                      <w:rPr>
                        <w:sz w:val="20"/>
                      </w:rPr>
                    </w:pPr>
                    <w:r>
                      <w:rPr>
                        <w:sz w:val="20"/>
                      </w:rPr>
                      <w:t>Asmeninės higienos ir priežiūros paslaugos</w:t>
                    </w:r>
                  </w:p>
                </w:tc>
                <w:tc>
                  <w:tcPr>
                    <w:tcW w:w="992" w:type="dxa"/>
                    <w:vAlign w:val="center"/>
                  </w:tcPr>
                  <w:p>
                    <w:pPr>
                      <w:jc w:val="center"/>
                      <w:rPr>
                        <w:sz w:val="20"/>
                      </w:rPr>
                    </w:pPr>
                    <w:r>
                      <w:rPr>
                        <w:sz w:val="20"/>
                      </w:rPr>
                      <w:t>32</w:t>
                    </w:r>
                  </w:p>
                </w:tc>
                <w:tc>
                  <w:tcPr>
                    <w:tcW w:w="993" w:type="dxa"/>
                    <w:vAlign w:val="center"/>
                  </w:tcPr>
                  <w:p>
                    <w:pPr>
                      <w:jc w:val="center"/>
                      <w:rPr>
                        <w:sz w:val="20"/>
                      </w:rPr>
                    </w:pPr>
                    <w:r>
                      <w:rPr>
                        <w:sz w:val="20"/>
                      </w:rPr>
                      <w:t>33</w:t>
                    </w:r>
                  </w:p>
                </w:tc>
                <w:tc>
                  <w:tcPr>
                    <w:tcW w:w="1134" w:type="dxa"/>
                    <w:vAlign w:val="center"/>
                  </w:tcPr>
                  <w:p>
                    <w:pPr>
                      <w:jc w:val="center"/>
                      <w:rPr>
                        <w:sz w:val="20"/>
                      </w:rPr>
                    </w:pPr>
                    <w:r>
                      <w:rPr>
                        <w:sz w:val="20"/>
                      </w:rPr>
                      <w:t>672</w:t>
                    </w:r>
                  </w:p>
                </w:tc>
                <w:tc>
                  <w:tcPr>
                    <w:tcW w:w="992" w:type="dxa"/>
                    <w:vAlign w:val="center"/>
                  </w:tcPr>
                  <w:p>
                    <w:pPr>
                      <w:jc w:val="center"/>
                      <w:rPr>
                        <w:sz w:val="20"/>
                      </w:rPr>
                    </w:pPr>
                    <w:r>
                      <w:rPr>
                        <w:sz w:val="20"/>
                      </w:rPr>
                      <w:t>199/389</w:t>
                    </w:r>
                  </w:p>
                </w:tc>
                <w:tc>
                  <w:tcPr>
                    <w:tcW w:w="992" w:type="dxa"/>
                    <w:vAlign w:val="center"/>
                  </w:tcPr>
                  <w:p>
                    <w:pPr>
                      <w:jc w:val="center"/>
                      <w:rPr>
                        <w:sz w:val="20"/>
                      </w:rPr>
                    </w:pPr>
                    <w:r>
                      <w:rPr>
                        <w:sz w:val="20"/>
                      </w:rPr>
                      <w:t>-</w:t>
                    </w:r>
                    <w:r>
                      <w:rPr>
                        <w:b/>
                        <w:sz w:val="20"/>
                        <w:lang w:eastAsia="lt-LT"/>
                      </w:rPr>
                      <w:t>-</w:t>
                    </w:r>
                  </w:p>
                </w:tc>
                <w:tc>
                  <w:tcPr>
                    <w:tcW w:w="992" w:type="dxa"/>
                  </w:tcPr>
                  <w:p>
                    <w:pPr>
                      <w:jc w:val="center"/>
                      <w:rPr>
                        <w:sz w:val="20"/>
                      </w:rPr>
                    </w:pPr>
                  </w:p>
                </w:tc>
              </w:tr>
              <w:tr>
                <w:tc>
                  <w:tcPr>
                    <w:tcW w:w="3652" w:type="dxa"/>
                    <w:vAlign w:val="center"/>
                  </w:tcPr>
                  <w:p>
                    <w:pPr>
                      <w:rPr>
                        <w:sz w:val="20"/>
                      </w:rPr>
                    </w:pPr>
                    <w:r>
                      <w:rPr>
                        <w:sz w:val="20"/>
                      </w:rPr>
                      <w:t>Sociokultūrinės paslaugos vaikams</w:t>
                    </w:r>
                  </w:p>
                </w:tc>
                <w:tc>
                  <w:tcPr>
                    <w:tcW w:w="992" w:type="dxa"/>
                    <w:vAlign w:val="center"/>
                  </w:tcPr>
                  <w:p>
                    <w:pPr>
                      <w:jc w:val="center"/>
                      <w:rPr>
                        <w:sz w:val="20"/>
                      </w:rPr>
                    </w:pPr>
                    <w:r>
                      <w:rPr>
                        <w:sz w:val="20"/>
                      </w:rPr>
                      <w:t>89</w:t>
                    </w:r>
                  </w:p>
                </w:tc>
                <w:tc>
                  <w:tcPr>
                    <w:tcW w:w="993" w:type="dxa"/>
                    <w:vAlign w:val="center"/>
                  </w:tcPr>
                  <w:p>
                    <w:pPr>
                      <w:jc w:val="center"/>
                      <w:rPr>
                        <w:sz w:val="20"/>
                      </w:rPr>
                    </w:pPr>
                    <w:r>
                      <w:rPr>
                        <w:sz w:val="20"/>
                      </w:rPr>
                      <w:t>65</w:t>
                    </w:r>
                  </w:p>
                </w:tc>
                <w:tc>
                  <w:tcPr>
                    <w:tcW w:w="1134" w:type="dxa"/>
                    <w:vAlign w:val="center"/>
                  </w:tcPr>
                  <w:p>
                    <w:pPr>
                      <w:jc w:val="center"/>
                      <w:rPr>
                        <w:sz w:val="20"/>
                      </w:rPr>
                    </w:pPr>
                    <w:r>
                      <w:rPr>
                        <w:sz w:val="20"/>
                      </w:rPr>
                      <w:t>8800</w:t>
                    </w:r>
                  </w:p>
                </w:tc>
                <w:tc>
                  <w:tcPr>
                    <w:tcW w:w="992" w:type="dxa"/>
                    <w:vAlign w:val="center"/>
                  </w:tcPr>
                  <w:p>
                    <w:pPr>
                      <w:jc w:val="center"/>
                      <w:rPr>
                        <w:sz w:val="20"/>
                      </w:rPr>
                    </w:pPr>
                    <w:r>
                      <w:rPr>
                        <w:sz w:val="20"/>
                      </w:rPr>
                      <w:t>6804</w:t>
                    </w:r>
                  </w:p>
                </w:tc>
                <w:tc>
                  <w:tcPr>
                    <w:tcW w:w="992" w:type="dxa"/>
                    <w:vAlign w:val="center"/>
                  </w:tcPr>
                  <w:p>
                    <w:pPr>
                      <w:jc w:val="center"/>
                      <w:rPr>
                        <w:sz w:val="20"/>
                      </w:rPr>
                    </w:pPr>
                  </w:p>
                </w:tc>
                <w:tc>
                  <w:tcPr>
                    <w:tcW w:w="992" w:type="dxa"/>
                  </w:tcPr>
                  <w:p>
                    <w:pPr>
                      <w:jc w:val="center"/>
                      <w:rPr>
                        <w:sz w:val="20"/>
                      </w:rPr>
                    </w:pPr>
                  </w:p>
                </w:tc>
              </w:tr>
              <w:tr>
                <w:tc>
                  <w:tcPr>
                    <w:tcW w:w="3652" w:type="dxa"/>
                    <w:vAlign w:val="center"/>
                  </w:tcPr>
                  <w:p>
                    <w:pPr>
                      <w:rPr>
                        <w:sz w:val="20"/>
                      </w:rPr>
                    </w:pPr>
                    <w:r>
                      <w:rPr>
                        <w:sz w:val="20"/>
                      </w:rPr>
                      <w:t>Sociokultūrinės paslaugos suaugusiesiems</w:t>
                    </w:r>
                  </w:p>
                </w:tc>
                <w:tc>
                  <w:tcPr>
                    <w:tcW w:w="992" w:type="dxa"/>
                    <w:vAlign w:val="center"/>
                  </w:tcPr>
                  <w:p>
                    <w:pPr>
                      <w:jc w:val="center"/>
                      <w:rPr>
                        <w:sz w:val="20"/>
                      </w:rPr>
                    </w:pPr>
                    <w:r>
                      <w:rPr>
                        <w:sz w:val="20"/>
                      </w:rPr>
                      <w:t>28</w:t>
                    </w:r>
                  </w:p>
                </w:tc>
                <w:tc>
                  <w:tcPr>
                    <w:tcW w:w="993" w:type="dxa"/>
                    <w:vAlign w:val="center"/>
                  </w:tcPr>
                  <w:p>
                    <w:pPr>
                      <w:jc w:val="center"/>
                      <w:rPr>
                        <w:sz w:val="20"/>
                      </w:rPr>
                    </w:pPr>
                    <w:r>
                      <w:rPr>
                        <w:sz w:val="20"/>
                      </w:rPr>
                      <w:t>25</w:t>
                    </w:r>
                  </w:p>
                </w:tc>
                <w:tc>
                  <w:tcPr>
                    <w:tcW w:w="1134" w:type="dxa"/>
                    <w:vAlign w:val="center"/>
                  </w:tcPr>
                  <w:p>
                    <w:pPr>
                      <w:jc w:val="center"/>
                      <w:rPr>
                        <w:sz w:val="20"/>
                      </w:rPr>
                    </w:pPr>
                    <w:r>
                      <w:rPr>
                        <w:sz w:val="20"/>
                      </w:rPr>
                      <w:t>5250</w:t>
                    </w:r>
                  </w:p>
                </w:tc>
                <w:tc>
                  <w:tcPr>
                    <w:tcW w:w="992" w:type="dxa"/>
                    <w:vAlign w:val="center"/>
                  </w:tcPr>
                  <w:p>
                    <w:pPr>
                      <w:jc w:val="center"/>
                      <w:rPr>
                        <w:sz w:val="20"/>
                      </w:rPr>
                    </w:pPr>
                    <w:r>
                      <w:rPr>
                        <w:sz w:val="20"/>
                      </w:rPr>
                      <w:t>4536</w:t>
                    </w:r>
                  </w:p>
                </w:tc>
                <w:tc>
                  <w:tcPr>
                    <w:tcW w:w="992" w:type="dxa"/>
                    <w:vAlign w:val="center"/>
                  </w:tcPr>
                  <w:p>
                    <w:pPr>
                      <w:jc w:val="center"/>
                      <w:rPr>
                        <w:sz w:val="20"/>
                      </w:rPr>
                    </w:pPr>
                    <w:r>
                      <w:rPr>
                        <w:sz w:val="20"/>
                      </w:rPr>
                      <w:t>-</w:t>
                    </w:r>
                    <w:r>
                      <w:rPr>
                        <w:b/>
                        <w:sz w:val="20"/>
                        <w:lang w:eastAsia="lt-LT"/>
                      </w:rPr>
                      <w:t>-</w:t>
                    </w:r>
                  </w:p>
                </w:tc>
                <w:tc>
                  <w:tcPr>
                    <w:tcW w:w="992" w:type="dxa"/>
                  </w:tcPr>
                  <w:p>
                    <w:pPr>
                      <w:jc w:val="center"/>
                      <w:rPr>
                        <w:sz w:val="20"/>
                      </w:rPr>
                    </w:pPr>
                  </w:p>
                </w:tc>
              </w:tr>
              <w:tr>
                <w:tc>
                  <w:tcPr>
                    <w:tcW w:w="3652" w:type="dxa"/>
                    <w:vAlign w:val="center"/>
                  </w:tcPr>
                  <w:p>
                    <w:pPr>
                      <w:rPr>
                        <w:sz w:val="20"/>
                      </w:rPr>
                    </w:pPr>
                    <w:r>
                      <w:rPr>
                        <w:sz w:val="20"/>
                      </w:rPr>
                      <w:t>Dienos socialinė globa institucijoje</w:t>
                    </w:r>
                  </w:p>
                </w:tc>
                <w:tc>
                  <w:tcPr>
                    <w:tcW w:w="992" w:type="dxa"/>
                    <w:vAlign w:val="center"/>
                  </w:tcPr>
                  <w:p>
                    <w:pPr>
                      <w:jc w:val="center"/>
                      <w:rPr>
                        <w:sz w:val="20"/>
                      </w:rPr>
                    </w:pPr>
                    <w:r>
                      <w:rPr>
                        <w:sz w:val="20"/>
                      </w:rPr>
                      <w:t>2</w:t>
                    </w:r>
                  </w:p>
                </w:tc>
                <w:tc>
                  <w:tcPr>
                    <w:tcW w:w="993" w:type="dxa"/>
                    <w:vAlign w:val="center"/>
                  </w:tcPr>
                  <w:p>
                    <w:pPr>
                      <w:jc w:val="center"/>
                      <w:rPr>
                        <w:sz w:val="20"/>
                      </w:rPr>
                    </w:pPr>
                    <w:r>
                      <w:rPr>
                        <w:sz w:val="20"/>
                      </w:rPr>
                      <w:t>4</w:t>
                    </w:r>
                  </w:p>
                </w:tc>
                <w:tc>
                  <w:tcPr>
                    <w:tcW w:w="1134" w:type="dxa"/>
                    <w:vAlign w:val="center"/>
                  </w:tcPr>
                  <w:p>
                    <w:pPr>
                      <w:jc w:val="center"/>
                      <w:rPr>
                        <w:sz w:val="20"/>
                      </w:rPr>
                    </w:pPr>
                    <w:r>
                      <w:rPr>
                        <w:sz w:val="20"/>
                      </w:rPr>
                      <w:t>354</w:t>
                    </w:r>
                  </w:p>
                </w:tc>
                <w:tc>
                  <w:tcPr>
                    <w:tcW w:w="992" w:type="dxa"/>
                    <w:vAlign w:val="center"/>
                  </w:tcPr>
                  <w:p>
                    <w:pPr>
                      <w:jc w:val="center"/>
                      <w:rPr>
                        <w:sz w:val="20"/>
                      </w:rPr>
                    </w:pPr>
                    <w:r>
                      <w:rPr>
                        <w:sz w:val="20"/>
                      </w:rPr>
                      <w:t>595</w:t>
                    </w:r>
                  </w:p>
                </w:tc>
                <w:tc>
                  <w:tcPr>
                    <w:tcW w:w="992" w:type="dxa"/>
                    <w:vAlign w:val="center"/>
                  </w:tcPr>
                  <w:p>
                    <w:pPr>
                      <w:jc w:val="center"/>
                      <w:rPr>
                        <w:sz w:val="20"/>
                      </w:rPr>
                    </w:pPr>
                    <w:r>
                      <w:rPr>
                        <w:sz w:val="20"/>
                      </w:rPr>
                      <w:t>0,4</w:t>
                    </w:r>
                  </w:p>
                </w:tc>
                <w:tc>
                  <w:tcPr>
                    <w:tcW w:w="992" w:type="dxa"/>
                  </w:tcPr>
                  <w:p>
                    <w:pPr>
                      <w:jc w:val="center"/>
                      <w:rPr>
                        <w:sz w:val="20"/>
                      </w:rPr>
                    </w:pPr>
                  </w:p>
                </w:tc>
              </w:tr>
              <w:tr>
                <w:tc>
                  <w:tcPr>
                    <w:tcW w:w="8755" w:type="dxa"/>
                    <w:gridSpan w:val="6"/>
                    <w:vAlign w:val="center"/>
                  </w:tcPr>
                  <w:p>
                    <w:pPr>
                      <w:rPr>
                        <w:b/>
                        <w:sz w:val="20"/>
                      </w:rPr>
                    </w:pPr>
                    <w:r>
                      <w:rPr>
                        <w:b/>
                        <w:sz w:val="20"/>
                      </w:rPr>
                      <w:t>Mitkaičių dienos centre</w:t>
                    </w:r>
                  </w:p>
                </w:tc>
                <w:tc>
                  <w:tcPr>
                    <w:tcW w:w="992" w:type="dxa"/>
                  </w:tcPr>
                  <w:p>
                    <w:pPr>
                      <w:rPr>
                        <w:b/>
                        <w:sz w:val="20"/>
                      </w:rPr>
                    </w:pPr>
                  </w:p>
                </w:tc>
              </w:tr>
              <w:tr>
                <w:trPr>
                  <w:trHeight w:val="190"/>
                </w:trPr>
                <w:tc>
                  <w:tcPr>
                    <w:tcW w:w="3652" w:type="dxa"/>
                    <w:vAlign w:val="center"/>
                  </w:tcPr>
                  <w:p>
                    <w:pPr>
                      <w:rPr>
                        <w:sz w:val="20"/>
                        <w:lang w:eastAsia="lt-LT"/>
                      </w:rPr>
                    </w:pPr>
                    <w:r>
                      <w:rPr>
                        <w:sz w:val="20"/>
                        <w:lang w:eastAsia="lt-LT"/>
                      </w:rPr>
                      <w:t>Asmens higienos ir priežiūros paslaugos</w:t>
                    </w:r>
                  </w:p>
                </w:tc>
                <w:tc>
                  <w:tcPr>
                    <w:tcW w:w="992" w:type="dxa"/>
                    <w:vAlign w:val="center"/>
                  </w:tcPr>
                  <w:p>
                    <w:pPr>
                      <w:jc w:val="center"/>
                      <w:rPr>
                        <w:sz w:val="20"/>
                      </w:rPr>
                    </w:pPr>
                    <w:r>
                      <w:rPr>
                        <w:sz w:val="20"/>
                      </w:rPr>
                      <w:t>34</w:t>
                    </w:r>
                  </w:p>
                </w:tc>
                <w:tc>
                  <w:tcPr>
                    <w:tcW w:w="993" w:type="dxa"/>
                    <w:vAlign w:val="center"/>
                  </w:tcPr>
                  <w:p>
                    <w:pPr>
                      <w:jc w:val="center"/>
                      <w:rPr>
                        <w:sz w:val="20"/>
                      </w:rPr>
                    </w:pPr>
                    <w:r>
                      <w:rPr>
                        <w:sz w:val="20"/>
                      </w:rPr>
                      <w:t>35</w:t>
                    </w:r>
                  </w:p>
                </w:tc>
                <w:tc>
                  <w:tcPr>
                    <w:tcW w:w="1134" w:type="dxa"/>
                    <w:vAlign w:val="center"/>
                  </w:tcPr>
                  <w:p>
                    <w:pPr>
                      <w:jc w:val="center"/>
                      <w:rPr>
                        <w:sz w:val="20"/>
                      </w:rPr>
                    </w:pPr>
                    <w:r>
                      <w:rPr>
                        <w:sz w:val="20"/>
                      </w:rPr>
                      <w:t>10/48</w:t>
                    </w:r>
                  </w:p>
                </w:tc>
                <w:tc>
                  <w:tcPr>
                    <w:tcW w:w="992" w:type="dxa"/>
                    <w:vAlign w:val="center"/>
                  </w:tcPr>
                  <w:p>
                    <w:pPr>
                      <w:jc w:val="center"/>
                      <w:rPr>
                        <w:sz w:val="20"/>
                      </w:rPr>
                    </w:pPr>
                    <w:r>
                      <w:rPr>
                        <w:sz w:val="20"/>
                      </w:rPr>
                      <w:t>22/52</w:t>
                    </w:r>
                  </w:p>
                </w:tc>
                <w:tc>
                  <w:tcPr>
                    <w:tcW w:w="992" w:type="dxa"/>
                    <w:vAlign w:val="center"/>
                  </w:tcPr>
                  <w:p>
                    <w:pPr>
                      <w:jc w:val="center"/>
                      <w:rPr>
                        <w:sz w:val="20"/>
                      </w:rPr>
                    </w:pPr>
                    <w:r>
                      <w:rPr>
                        <w:sz w:val="20"/>
                      </w:rPr>
                      <w:t>-</w:t>
                    </w:r>
                    <w:r>
                      <w:rPr>
                        <w:b/>
                        <w:sz w:val="20"/>
                        <w:lang w:eastAsia="lt-LT"/>
                      </w:rPr>
                      <w:t>-</w:t>
                    </w:r>
                  </w:p>
                </w:tc>
                <w:tc>
                  <w:tcPr>
                    <w:tcW w:w="992" w:type="dxa"/>
                  </w:tcPr>
                  <w:p>
                    <w:pPr>
                      <w:jc w:val="center"/>
                      <w:rPr>
                        <w:sz w:val="20"/>
                      </w:rPr>
                    </w:pPr>
                  </w:p>
                </w:tc>
              </w:tr>
              <w:tr>
                <w:trPr>
                  <w:trHeight w:val="154"/>
                </w:trPr>
                <w:tc>
                  <w:tcPr>
                    <w:tcW w:w="3652" w:type="dxa"/>
                    <w:vAlign w:val="center"/>
                  </w:tcPr>
                  <w:p>
                    <w:pPr>
                      <w:rPr>
                        <w:sz w:val="20"/>
                        <w:lang w:eastAsia="lt-LT"/>
                      </w:rPr>
                    </w:pPr>
                    <w:r>
                      <w:rPr>
                        <w:sz w:val="20"/>
                        <w:lang w:eastAsia="lt-LT"/>
                      </w:rPr>
                      <w:t>Sociokultūrinės paslaugos</w:t>
                    </w:r>
                  </w:p>
                </w:tc>
                <w:tc>
                  <w:tcPr>
                    <w:tcW w:w="992" w:type="dxa"/>
                    <w:vAlign w:val="center"/>
                  </w:tcPr>
                  <w:p>
                    <w:pPr>
                      <w:jc w:val="center"/>
                      <w:rPr>
                        <w:sz w:val="20"/>
                      </w:rPr>
                    </w:pPr>
                    <w:r>
                      <w:rPr>
                        <w:sz w:val="20"/>
                      </w:rPr>
                      <w:t>70</w:t>
                    </w:r>
                  </w:p>
                </w:tc>
                <w:tc>
                  <w:tcPr>
                    <w:tcW w:w="993" w:type="dxa"/>
                    <w:vAlign w:val="center"/>
                  </w:tcPr>
                  <w:p>
                    <w:pPr>
                      <w:jc w:val="center"/>
                      <w:rPr>
                        <w:sz w:val="20"/>
                      </w:rPr>
                    </w:pPr>
                    <w:r>
                      <w:rPr>
                        <w:sz w:val="20"/>
                      </w:rPr>
                      <w:t>81</w:t>
                    </w:r>
                  </w:p>
                </w:tc>
                <w:tc>
                  <w:tcPr>
                    <w:tcW w:w="1134" w:type="dxa"/>
                    <w:vAlign w:val="center"/>
                  </w:tcPr>
                  <w:p>
                    <w:pPr>
                      <w:jc w:val="center"/>
                      <w:rPr>
                        <w:sz w:val="20"/>
                      </w:rPr>
                    </w:pPr>
                    <w:r>
                      <w:rPr>
                        <w:sz w:val="20"/>
                      </w:rPr>
                      <w:t>67/9380</w:t>
                    </w:r>
                  </w:p>
                </w:tc>
                <w:tc>
                  <w:tcPr>
                    <w:tcW w:w="992" w:type="dxa"/>
                    <w:vAlign w:val="center"/>
                  </w:tcPr>
                  <w:p>
                    <w:pPr>
                      <w:jc w:val="center"/>
                      <w:rPr>
                        <w:sz w:val="20"/>
                      </w:rPr>
                    </w:pPr>
                    <w:r>
                      <w:rPr>
                        <w:sz w:val="20"/>
                      </w:rPr>
                      <w:t>3555</w:t>
                    </w:r>
                  </w:p>
                </w:tc>
                <w:tc>
                  <w:tcPr>
                    <w:tcW w:w="992" w:type="dxa"/>
                    <w:vAlign w:val="center"/>
                  </w:tcPr>
                  <w:p>
                    <w:pPr>
                      <w:jc w:val="center"/>
                      <w:rPr>
                        <w:sz w:val="20"/>
                      </w:rPr>
                    </w:pPr>
                    <w:r>
                      <w:rPr>
                        <w:sz w:val="20"/>
                      </w:rPr>
                      <w:t>-</w:t>
                    </w:r>
                    <w:r>
                      <w:rPr>
                        <w:b/>
                        <w:sz w:val="20"/>
                        <w:lang w:eastAsia="lt-LT"/>
                      </w:rPr>
                      <w:t>-</w:t>
                    </w:r>
                  </w:p>
                </w:tc>
                <w:tc>
                  <w:tcPr>
                    <w:tcW w:w="992" w:type="dxa"/>
                  </w:tcPr>
                  <w:p>
                    <w:pPr>
                      <w:jc w:val="center"/>
                      <w:rPr>
                        <w:sz w:val="20"/>
                      </w:rPr>
                    </w:pPr>
                  </w:p>
                </w:tc>
              </w:tr>
              <w:tr>
                <w:tc>
                  <w:tcPr>
                    <w:tcW w:w="8755" w:type="dxa"/>
                    <w:gridSpan w:val="6"/>
                    <w:vAlign w:val="center"/>
                  </w:tcPr>
                  <w:p>
                    <w:pPr>
                      <w:rPr>
                        <w:b/>
                        <w:sz w:val="20"/>
                        <w:lang w:eastAsia="lt-LT"/>
                      </w:rPr>
                    </w:pPr>
                    <w:r>
                      <w:rPr>
                        <w:b/>
                        <w:sz w:val="20"/>
                        <w:lang w:eastAsia="lt-LT"/>
                      </w:rPr>
                      <w:t>Upynos dienos centre</w:t>
                    </w:r>
                  </w:p>
                </w:tc>
                <w:tc>
                  <w:tcPr>
                    <w:tcW w:w="992" w:type="dxa"/>
                  </w:tcPr>
                  <w:p>
                    <w:pPr>
                      <w:rPr>
                        <w:b/>
                        <w:sz w:val="20"/>
                        <w:lang w:eastAsia="lt-LT"/>
                      </w:rPr>
                    </w:pPr>
                  </w:p>
                </w:tc>
              </w:tr>
              <w:tr>
                <w:trPr>
                  <w:trHeight w:val="192"/>
                </w:trPr>
                <w:tc>
                  <w:tcPr>
                    <w:tcW w:w="3652" w:type="dxa"/>
                    <w:vAlign w:val="center"/>
                  </w:tcPr>
                  <w:p>
                    <w:pPr>
                      <w:rPr>
                        <w:sz w:val="20"/>
                      </w:rPr>
                    </w:pPr>
                    <w:r>
                      <w:rPr>
                        <w:sz w:val="20"/>
                      </w:rPr>
                      <w:t>Asmens higienos ir priežiūros paslaugos</w:t>
                    </w:r>
                  </w:p>
                </w:tc>
                <w:tc>
                  <w:tcPr>
                    <w:tcW w:w="992" w:type="dxa"/>
                    <w:vAlign w:val="center"/>
                  </w:tcPr>
                  <w:p>
                    <w:pPr>
                      <w:jc w:val="center"/>
                      <w:rPr>
                        <w:sz w:val="20"/>
                      </w:rPr>
                    </w:pPr>
                    <w:r>
                      <w:rPr>
                        <w:sz w:val="20"/>
                      </w:rPr>
                      <w:t>32</w:t>
                    </w:r>
                  </w:p>
                </w:tc>
                <w:tc>
                  <w:tcPr>
                    <w:tcW w:w="993" w:type="dxa"/>
                    <w:vAlign w:val="center"/>
                  </w:tcPr>
                  <w:p>
                    <w:pPr>
                      <w:jc w:val="center"/>
                      <w:rPr>
                        <w:sz w:val="20"/>
                      </w:rPr>
                    </w:pPr>
                    <w:r>
                      <w:rPr>
                        <w:sz w:val="20"/>
                      </w:rPr>
                      <w:t>17</w:t>
                    </w:r>
                  </w:p>
                </w:tc>
                <w:tc>
                  <w:tcPr>
                    <w:tcW w:w="1134" w:type="dxa"/>
                    <w:vAlign w:val="center"/>
                  </w:tcPr>
                  <w:p>
                    <w:pPr>
                      <w:jc w:val="center"/>
                      <w:rPr>
                        <w:sz w:val="20"/>
                      </w:rPr>
                    </w:pPr>
                    <w:r>
                      <w:rPr>
                        <w:sz w:val="20"/>
                      </w:rPr>
                      <w:t>32/239</w:t>
                    </w:r>
                  </w:p>
                </w:tc>
                <w:tc>
                  <w:tcPr>
                    <w:tcW w:w="992" w:type="dxa"/>
                    <w:vAlign w:val="center"/>
                  </w:tcPr>
                  <w:p>
                    <w:pPr>
                      <w:jc w:val="center"/>
                      <w:rPr>
                        <w:sz w:val="20"/>
                      </w:rPr>
                    </w:pPr>
                    <w:r>
                      <w:rPr>
                        <w:sz w:val="20"/>
                      </w:rPr>
                      <w:t>202</w:t>
                    </w:r>
                  </w:p>
                </w:tc>
                <w:tc>
                  <w:tcPr>
                    <w:tcW w:w="992" w:type="dxa"/>
                    <w:vAlign w:val="center"/>
                  </w:tcPr>
                  <w:p>
                    <w:pPr>
                      <w:jc w:val="center"/>
                      <w:rPr>
                        <w:sz w:val="20"/>
                      </w:rPr>
                    </w:pPr>
                    <w:r>
                      <w:rPr>
                        <w:sz w:val="20"/>
                      </w:rPr>
                      <w:t>-</w:t>
                    </w:r>
                    <w:r>
                      <w:rPr>
                        <w:b/>
                        <w:sz w:val="20"/>
                        <w:lang w:eastAsia="lt-LT"/>
                      </w:rPr>
                      <w:t>-</w:t>
                    </w:r>
                  </w:p>
                </w:tc>
                <w:tc>
                  <w:tcPr>
                    <w:tcW w:w="992" w:type="dxa"/>
                  </w:tcPr>
                  <w:p>
                    <w:pPr>
                      <w:jc w:val="center"/>
                      <w:rPr>
                        <w:sz w:val="20"/>
                      </w:rPr>
                    </w:pPr>
                  </w:p>
                </w:tc>
              </w:tr>
              <w:tr>
                <w:tc>
                  <w:tcPr>
                    <w:tcW w:w="3652" w:type="dxa"/>
                    <w:vAlign w:val="center"/>
                  </w:tcPr>
                  <w:p>
                    <w:pPr>
                      <w:rPr>
                        <w:sz w:val="20"/>
                      </w:rPr>
                    </w:pPr>
                    <w:r>
                      <w:rPr>
                        <w:sz w:val="20"/>
                      </w:rPr>
                      <w:t>Sociokultūrinės paslaugos</w:t>
                    </w:r>
                  </w:p>
                </w:tc>
                <w:tc>
                  <w:tcPr>
                    <w:tcW w:w="992" w:type="dxa"/>
                    <w:vAlign w:val="center"/>
                  </w:tcPr>
                  <w:p>
                    <w:pPr>
                      <w:jc w:val="center"/>
                      <w:rPr>
                        <w:sz w:val="20"/>
                      </w:rPr>
                    </w:pPr>
                    <w:r>
                      <w:rPr>
                        <w:sz w:val="20"/>
                      </w:rPr>
                      <w:t>77</w:t>
                    </w:r>
                  </w:p>
                </w:tc>
                <w:tc>
                  <w:tcPr>
                    <w:tcW w:w="993" w:type="dxa"/>
                    <w:vAlign w:val="center"/>
                  </w:tcPr>
                  <w:p>
                    <w:pPr>
                      <w:jc w:val="center"/>
                      <w:rPr>
                        <w:sz w:val="20"/>
                      </w:rPr>
                    </w:pPr>
                    <w:r>
                      <w:rPr>
                        <w:sz w:val="20"/>
                      </w:rPr>
                      <w:t>51</w:t>
                    </w:r>
                  </w:p>
                </w:tc>
                <w:tc>
                  <w:tcPr>
                    <w:tcW w:w="1134" w:type="dxa"/>
                    <w:vAlign w:val="center"/>
                  </w:tcPr>
                  <w:p>
                    <w:pPr>
                      <w:jc w:val="center"/>
                      <w:rPr>
                        <w:sz w:val="20"/>
                      </w:rPr>
                    </w:pPr>
                    <w:r>
                      <w:rPr>
                        <w:sz w:val="20"/>
                      </w:rPr>
                      <w:t>77/8450</w:t>
                    </w:r>
                  </w:p>
                </w:tc>
                <w:tc>
                  <w:tcPr>
                    <w:tcW w:w="992" w:type="dxa"/>
                    <w:vAlign w:val="center"/>
                  </w:tcPr>
                  <w:p>
                    <w:pPr>
                      <w:jc w:val="center"/>
                      <w:rPr>
                        <w:sz w:val="20"/>
                      </w:rPr>
                    </w:pPr>
                    <w:r>
                      <w:rPr>
                        <w:sz w:val="20"/>
                      </w:rPr>
                      <w:t>5752</w:t>
                    </w:r>
                  </w:p>
                </w:tc>
                <w:tc>
                  <w:tcPr>
                    <w:tcW w:w="992" w:type="dxa"/>
                    <w:vAlign w:val="center"/>
                  </w:tcPr>
                  <w:p>
                    <w:pPr>
                      <w:jc w:val="center"/>
                      <w:rPr>
                        <w:sz w:val="20"/>
                      </w:rPr>
                    </w:pPr>
                    <w:r>
                      <w:rPr>
                        <w:sz w:val="20"/>
                      </w:rPr>
                      <w:t>-</w:t>
                    </w:r>
                    <w:r>
                      <w:rPr>
                        <w:b/>
                        <w:sz w:val="20"/>
                        <w:lang w:eastAsia="lt-LT"/>
                      </w:rPr>
                      <w:t>-</w:t>
                    </w:r>
                  </w:p>
                </w:tc>
                <w:tc>
                  <w:tcPr>
                    <w:tcW w:w="992" w:type="dxa"/>
                  </w:tcPr>
                  <w:p>
                    <w:pPr>
                      <w:jc w:val="center"/>
                      <w:rPr>
                        <w:sz w:val="20"/>
                      </w:rPr>
                    </w:pPr>
                  </w:p>
                </w:tc>
              </w:tr>
              <w:tr>
                <w:tc>
                  <w:tcPr>
                    <w:tcW w:w="8755" w:type="dxa"/>
                    <w:gridSpan w:val="6"/>
                    <w:vAlign w:val="center"/>
                  </w:tcPr>
                  <w:p>
                    <w:pPr>
                      <w:rPr>
                        <w:b/>
                        <w:sz w:val="20"/>
                      </w:rPr>
                    </w:pPr>
                    <w:r>
                      <w:rPr>
                        <w:b/>
                        <w:sz w:val="20"/>
                      </w:rPr>
                      <w:t>Žarėnų dienos centre</w:t>
                    </w:r>
                  </w:p>
                </w:tc>
                <w:tc>
                  <w:tcPr>
                    <w:tcW w:w="992" w:type="dxa"/>
                  </w:tcPr>
                  <w:p>
                    <w:pPr>
                      <w:rPr>
                        <w:b/>
                        <w:sz w:val="20"/>
                      </w:rPr>
                    </w:pPr>
                  </w:p>
                </w:tc>
              </w:tr>
              <w:tr>
                <w:tc>
                  <w:tcPr>
                    <w:tcW w:w="3652" w:type="dxa"/>
                    <w:vAlign w:val="center"/>
                  </w:tcPr>
                  <w:p>
                    <w:pPr>
                      <w:snapToGrid w:val="0"/>
                      <w:rPr>
                        <w:rFonts w:eastAsia="SimSun"/>
                        <w:kern w:val="1"/>
                        <w:sz w:val="20"/>
                        <w:lang w:eastAsia="hi-IN" w:bidi="hi-IN"/>
                      </w:rPr>
                    </w:pPr>
                    <w:r>
                      <w:rPr>
                        <w:rFonts w:eastAsia="SimSun"/>
                        <w:kern w:val="1"/>
                        <w:sz w:val="20"/>
                        <w:lang w:eastAsia="hi-IN" w:bidi="hi-IN"/>
                      </w:rPr>
                      <w:t xml:space="preserve">Sociokultūrinės paslaugos </w:t>
                    </w:r>
                  </w:p>
                </w:tc>
                <w:tc>
                  <w:tcPr>
                    <w:tcW w:w="992" w:type="dxa"/>
                    <w:vAlign w:val="center"/>
                  </w:tcPr>
                  <w:p>
                    <w:pPr>
                      <w:snapToGrid w:val="0"/>
                      <w:jc w:val="center"/>
                      <w:rPr>
                        <w:rFonts w:eastAsia="SimSun"/>
                        <w:kern w:val="1"/>
                        <w:sz w:val="20"/>
                        <w:lang w:eastAsia="hi-IN" w:bidi="hi-IN"/>
                      </w:rPr>
                    </w:pPr>
                    <w:r>
                      <w:rPr>
                        <w:rFonts w:eastAsia="SimSun"/>
                        <w:kern w:val="1"/>
                        <w:sz w:val="20"/>
                        <w:lang w:eastAsia="hi-IN" w:bidi="hi-IN"/>
                      </w:rPr>
                      <w:t>74</w:t>
                    </w:r>
                  </w:p>
                </w:tc>
                <w:tc>
                  <w:tcPr>
                    <w:tcW w:w="993" w:type="dxa"/>
                    <w:vAlign w:val="center"/>
                  </w:tcPr>
                  <w:p>
                    <w:pPr>
                      <w:snapToGrid w:val="0"/>
                      <w:jc w:val="center"/>
                      <w:rPr>
                        <w:rFonts w:eastAsia="SimSun"/>
                        <w:kern w:val="1"/>
                        <w:sz w:val="20"/>
                        <w:lang w:eastAsia="hi-IN" w:bidi="hi-IN"/>
                      </w:rPr>
                    </w:pPr>
                    <w:r>
                      <w:rPr>
                        <w:rFonts w:eastAsia="SimSun"/>
                        <w:kern w:val="1"/>
                        <w:sz w:val="20"/>
                        <w:lang w:eastAsia="hi-IN" w:bidi="hi-IN"/>
                      </w:rPr>
                      <w:t>49</w:t>
                    </w:r>
                  </w:p>
                </w:tc>
                <w:tc>
                  <w:tcPr>
                    <w:tcW w:w="1134" w:type="dxa"/>
                    <w:vAlign w:val="center"/>
                  </w:tcPr>
                  <w:p>
                    <w:pPr>
                      <w:snapToGrid w:val="0"/>
                      <w:jc w:val="center"/>
                      <w:rPr>
                        <w:rFonts w:eastAsia="SimSun"/>
                        <w:kern w:val="1"/>
                        <w:sz w:val="20"/>
                        <w:lang w:eastAsia="hi-IN" w:bidi="hi-IN"/>
                      </w:rPr>
                    </w:pPr>
                    <w:r>
                      <w:rPr>
                        <w:rFonts w:eastAsia="SimSun"/>
                        <w:kern w:val="1"/>
                        <w:sz w:val="20"/>
                        <w:lang w:eastAsia="hi-IN" w:bidi="hi-IN"/>
                      </w:rPr>
                      <w:t>62/5758</w:t>
                    </w:r>
                  </w:p>
                </w:tc>
                <w:tc>
                  <w:tcPr>
                    <w:tcW w:w="992" w:type="dxa"/>
                    <w:vAlign w:val="center"/>
                  </w:tcPr>
                  <w:p>
                    <w:pPr>
                      <w:snapToGrid w:val="0"/>
                      <w:jc w:val="center"/>
                      <w:rPr>
                        <w:rFonts w:eastAsia="SimSun"/>
                        <w:kern w:val="1"/>
                        <w:sz w:val="20"/>
                        <w:lang w:eastAsia="hi-IN" w:bidi="hi-IN"/>
                      </w:rPr>
                    </w:pPr>
                    <w:r>
                      <w:rPr>
                        <w:rFonts w:eastAsia="SimSun"/>
                        <w:kern w:val="1"/>
                        <w:sz w:val="20"/>
                        <w:lang w:eastAsia="hi-IN" w:bidi="hi-IN"/>
                      </w:rPr>
                      <w:t>5867</w:t>
                    </w:r>
                  </w:p>
                </w:tc>
                <w:tc>
                  <w:tcPr>
                    <w:tcW w:w="992" w:type="dxa"/>
                    <w:vAlign w:val="center"/>
                  </w:tcPr>
                  <w:p>
                    <w:pPr>
                      <w:snapToGrid w:val="0"/>
                      <w:jc w:val="center"/>
                      <w:rPr>
                        <w:rFonts w:eastAsia="SimSun"/>
                        <w:kern w:val="1"/>
                        <w:sz w:val="20"/>
                        <w:lang w:eastAsia="hi-IN" w:bidi="hi-IN"/>
                      </w:rPr>
                    </w:pPr>
                    <w:r>
                      <w:rPr>
                        <w:sz w:val="20"/>
                      </w:rPr>
                      <w:t>-</w:t>
                    </w:r>
                    <w:r>
                      <w:rPr>
                        <w:b/>
                        <w:sz w:val="20"/>
                        <w:lang w:eastAsia="lt-LT"/>
                      </w:rPr>
                      <w:t>-</w:t>
                    </w:r>
                  </w:p>
                </w:tc>
                <w:tc>
                  <w:tcPr>
                    <w:tcW w:w="992" w:type="dxa"/>
                  </w:tcPr>
                  <w:p>
                    <w:pPr>
                      <w:snapToGrid w:val="0"/>
                      <w:jc w:val="center"/>
                      <w:rPr>
                        <w:sz w:val="20"/>
                      </w:rPr>
                    </w:pPr>
                  </w:p>
                </w:tc>
              </w:tr>
              <w:tr>
                <w:tc>
                  <w:tcPr>
                    <w:tcW w:w="3652" w:type="dxa"/>
                    <w:vAlign w:val="center"/>
                  </w:tcPr>
                  <w:p>
                    <w:pPr>
                      <w:snapToGrid w:val="0"/>
                      <w:rPr>
                        <w:rFonts w:eastAsia="SimSun"/>
                        <w:kern w:val="1"/>
                        <w:sz w:val="20"/>
                        <w:lang w:eastAsia="hi-IN" w:bidi="hi-IN"/>
                      </w:rPr>
                    </w:pPr>
                    <w:r>
                      <w:rPr>
                        <w:rFonts w:eastAsia="SimSun"/>
                        <w:kern w:val="1"/>
                        <w:sz w:val="20"/>
                        <w:lang w:eastAsia="hi-IN" w:bidi="hi-IN"/>
                      </w:rPr>
                      <w:t>Asmens higienos ir priežiūros paslaugos</w:t>
                    </w:r>
                  </w:p>
                </w:tc>
                <w:tc>
                  <w:tcPr>
                    <w:tcW w:w="992" w:type="dxa"/>
                    <w:vAlign w:val="center"/>
                  </w:tcPr>
                  <w:p>
                    <w:pPr>
                      <w:snapToGrid w:val="0"/>
                      <w:jc w:val="center"/>
                      <w:rPr>
                        <w:rFonts w:eastAsia="SimSun"/>
                        <w:kern w:val="1"/>
                        <w:sz w:val="20"/>
                        <w:lang w:eastAsia="hi-IN" w:bidi="hi-IN"/>
                      </w:rPr>
                    </w:pPr>
                    <w:r>
                      <w:rPr>
                        <w:rFonts w:eastAsia="SimSun"/>
                        <w:kern w:val="1"/>
                        <w:sz w:val="20"/>
                        <w:lang w:eastAsia="hi-IN" w:bidi="hi-IN"/>
                      </w:rPr>
                      <w:t>26</w:t>
                    </w:r>
                  </w:p>
                </w:tc>
                <w:tc>
                  <w:tcPr>
                    <w:tcW w:w="993" w:type="dxa"/>
                    <w:vAlign w:val="center"/>
                  </w:tcPr>
                  <w:p>
                    <w:pPr>
                      <w:snapToGrid w:val="0"/>
                      <w:jc w:val="center"/>
                      <w:rPr>
                        <w:rFonts w:eastAsia="SimSun"/>
                        <w:kern w:val="1"/>
                        <w:sz w:val="20"/>
                        <w:lang w:eastAsia="hi-IN" w:bidi="hi-IN"/>
                      </w:rPr>
                    </w:pPr>
                    <w:r>
                      <w:rPr>
                        <w:rFonts w:eastAsia="SimSun"/>
                        <w:kern w:val="1"/>
                        <w:sz w:val="20"/>
                        <w:lang w:eastAsia="hi-IN" w:bidi="hi-IN"/>
                      </w:rPr>
                      <w:t>11</w:t>
                    </w:r>
                  </w:p>
                </w:tc>
                <w:tc>
                  <w:tcPr>
                    <w:tcW w:w="1134" w:type="dxa"/>
                    <w:vAlign w:val="center"/>
                  </w:tcPr>
                  <w:p>
                    <w:pPr>
                      <w:snapToGrid w:val="0"/>
                      <w:jc w:val="center"/>
                      <w:rPr>
                        <w:rFonts w:eastAsia="SimSun"/>
                        <w:kern w:val="1"/>
                        <w:sz w:val="20"/>
                        <w:lang w:eastAsia="hi-IN" w:bidi="hi-IN"/>
                      </w:rPr>
                    </w:pPr>
                    <w:r>
                      <w:rPr>
                        <w:rFonts w:eastAsia="SimSun"/>
                        <w:kern w:val="1"/>
                        <w:sz w:val="20"/>
                        <w:lang w:eastAsia="hi-IN" w:bidi="hi-IN"/>
                      </w:rPr>
                      <w:t>16/147</w:t>
                    </w:r>
                  </w:p>
                </w:tc>
                <w:tc>
                  <w:tcPr>
                    <w:tcW w:w="992" w:type="dxa"/>
                    <w:vAlign w:val="center"/>
                  </w:tcPr>
                  <w:p>
                    <w:pPr>
                      <w:snapToGrid w:val="0"/>
                      <w:jc w:val="center"/>
                      <w:rPr>
                        <w:rFonts w:eastAsia="SimSun"/>
                        <w:kern w:val="1"/>
                        <w:sz w:val="20"/>
                        <w:lang w:eastAsia="hi-IN" w:bidi="hi-IN"/>
                      </w:rPr>
                    </w:pPr>
                    <w:r>
                      <w:rPr>
                        <w:rFonts w:eastAsia="SimSun"/>
                        <w:kern w:val="1"/>
                        <w:sz w:val="20"/>
                        <w:lang w:eastAsia="hi-IN" w:bidi="hi-IN"/>
                      </w:rPr>
                      <w:t>74</w:t>
                    </w:r>
                  </w:p>
                </w:tc>
                <w:tc>
                  <w:tcPr>
                    <w:tcW w:w="992" w:type="dxa"/>
                    <w:vAlign w:val="center"/>
                  </w:tcPr>
                  <w:p>
                    <w:pPr>
                      <w:snapToGrid w:val="0"/>
                      <w:jc w:val="center"/>
                      <w:rPr>
                        <w:rFonts w:eastAsia="SimSun"/>
                        <w:kern w:val="1"/>
                        <w:sz w:val="20"/>
                        <w:lang w:eastAsia="hi-IN" w:bidi="hi-IN"/>
                      </w:rPr>
                    </w:pPr>
                    <w:r>
                      <w:rPr>
                        <w:sz w:val="20"/>
                      </w:rPr>
                      <w:t>-</w:t>
                    </w:r>
                    <w:r>
                      <w:rPr>
                        <w:b/>
                        <w:sz w:val="20"/>
                        <w:lang w:eastAsia="lt-LT"/>
                      </w:rPr>
                      <w:t>-</w:t>
                    </w:r>
                  </w:p>
                </w:tc>
                <w:tc>
                  <w:tcPr>
                    <w:tcW w:w="992" w:type="dxa"/>
                  </w:tcPr>
                  <w:p>
                    <w:pPr>
                      <w:snapToGrid w:val="0"/>
                      <w:jc w:val="center"/>
                      <w:rPr>
                        <w:sz w:val="20"/>
                      </w:rPr>
                    </w:pPr>
                  </w:p>
                </w:tc>
              </w:tr>
            </w:tbl>
            <w:p>
              <w:pPr>
                <w:rPr>
                  <w:szCs w:val="24"/>
                </w:rPr>
              </w:pPr>
            </w:p>
            <w:p>
              <w:pPr>
                <w:ind w:firstLine="749"/>
                <w:jc w:val="both"/>
                <w:rPr>
                  <w:szCs w:val="24"/>
                </w:rPr>
              </w:pPr>
              <w:r>
                <w:rPr>
                  <w:szCs w:val="24"/>
                </w:rPr>
                <w:t>Telšių socialinių paslaugų centro Telšių nakvynės namuose (toliau tekste ─ Nakvynės namai) yra teikiamos vienos nakties apnakvinimo, apgyvendinimo ir krizės įveikimo bei laikino būsto krizių atvejais suteikimo paslaugos. Laikiną pastogę vienu metu gali gauti iki 18 asmenų, vienos nakties ─ iki 3 asmenų, o krizių atveju laikinai apgyvendinti Savarankiško gyvenimo namuose galima iki 4 šeimų ar 16 pavienių asmenų. Suteiktų paslaugų ir už suteiktas paslaugas gautų pajamų 2015 ─ 2016 m. statistika pateikiama žemiau lentelėje.</w:t>
              </w:r>
              <w:r>
                <w:rPr>
                  <w:szCs w:val="24"/>
                  <w:vertAlign w:val="superscript"/>
                </w:rPr>
                <w:t xml:space="preserve"> </w:t>
                <w:footnoteReference w:id="8"/>
              </w:r>
            </w:p>
            <w:p>
              <w:pPr>
                <w:ind w:firstLine="749"/>
                <w:rPr>
                  <w:szCs w:val="24"/>
                </w:rPr>
              </w:pPr>
            </w:p>
          </w:sdtContent>
        </w:sdt>
        <w:sdt>
          <w:sdtPr>
            <w:alias w:val="poskyris"/>
            <w:tag w:val="part_08c13fc4c8c7407d81b64bea3cbedae7"/>
            <w:lock w:val="sdtLocked"/>
            <w:richText/>
          </w:sdtPr>
          <w:sdtContent>
            <w:p>
              <w:pPr>
                <w:ind w:firstLine="749"/>
                <w:jc w:val="center"/>
                <w:rPr>
                  <w:b/>
                  <w:sz w:val="20"/>
                </w:rPr>
              </w:pPr>
              <w:sdt>
                <w:sdtPr>
                  <w:alias w:val="Pavadinimas"/>
                  <w:tag w:val="title_08c13fc4c8c7407d81b64bea3cbedae7"/>
                  <w:lock w:val="sdtLocked"/>
                  <w:richText/>
                </w:sdtPr>
                <w:sdtContent>
                  <w:r>
                    <w:rPr>
                      <w:b/>
                      <w:sz w:val="20"/>
                    </w:rPr>
                    <w:t>Suteiktų paslaugų ir už suteiktas paslaugas gautų pajamų 2015 ─ 2016 m. statistika</w:t>
                  </w:r>
                </w:sdtContent>
              </w:sdt>
            </w:p>
            <w:tbl>
              <w:tblPr>
                <w:tblW w:w="9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48"/>
                <w:gridCol w:w="992"/>
                <w:gridCol w:w="709"/>
                <w:gridCol w:w="1134"/>
                <w:gridCol w:w="992"/>
                <w:gridCol w:w="851"/>
                <w:gridCol w:w="784"/>
              </w:tblGrid>
              <w:tr>
                <w:trPr>
                  <w:jc w:val="center"/>
                </w:trPr>
                <w:tc>
                  <w:tcPr>
                    <w:tcW w:w="4048" w:type="dxa"/>
                    <w:vMerge w:val="restart"/>
                    <w:tcBorders>
                      <w:tl2br w:val="single" w:sz="4" w:space="0" w:color="auto"/>
                    </w:tcBorders>
                    <w:shd w:val="clear" w:color="auto" w:fill="D9D9D9"/>
                  </w:tcPr>
                  <w:p>
                    <w:pPr>
                      <w:ind w:firstLine="1802"/>
                      <w:jc w:val="right"/>
                      <w:rPr>
                        <w:b/>
                        <w:color w:val="000000"/>
                        <w:sz w:val="20"/>
                      </w:rPr>
                    </w:pPr>
                    <w:r>
                      <w:rPr>
                        <w:b/>
                        <w:color w:val="000000"/>
                        <w:sz w:val="20"/>
                      </w:rPr>
                      <w:t xml:space="preserve">Rodikliai, metai                                                          </w:t>
                    </w:r>
                  </w:p>
                  <w:p>
                    <w:pPr>
                      <w:rPr>
                        <w:b/>
                        <w:color w:val="000000"/>
                        <w:sz w:val="20"/>
                      </w:rPr>
                    </w:pPr>
                  </w:p>
                  <w:p>
                    <w:pPr>
                      <w:rPr>
                        <w:b/>
                        <w:color w:val="000000"/>
                        <w:sz w:val="20"/>
                      </w:rPr>
                    </w:pPr>
                    <w:r>
                      <w:rPr>
                        <w:b/>
                        <w:color w:val="000000"/>
                        <w:sz w:val="20"/>
                      </w:rPr>
                      <w:t>Paslaugos pavadinimas</w:t>
                    </w:r>
                  </w:p>
                </w:tc>
                <w:tc>
                  <w:tcPr>
                    <w:tcW w:w="1701" w:type="dxa"/>
                    <w:gridSpan w:val="2"/>
                    <w:shd w:val="clear" w:color="auto" w:fill="D9D9D9"/>
                    <w:vAlign w:val="center"/>
                  </w:tcPr>
                  <w:p>
                    <w:pPr>
                      <w:jc w:val="center"/>
                      <w:rPr>
                        <w:b/>
                        <w:color w:val="000000"/>
                        <w:sz w:val="20"/>
                      </w:rPr>
                    </w:pPr>
                    <w:r>
                      <w:rPr>
                        <w:b/>
                        <w:color w:val="000000"/>
                        <w:sz w:val="20"/>
                      </w:rPr>
                      <w:t xml:space="preserve">Gavėjai, </w:t>
                    </w:r>
                  </w:p>
                  <w:p>
                    <w:pPr>
                      <w:jc w:val="center"/>
                      <w:rPr>
                        <w:b/>
                        <w:color w:val="000000"/>
                        <w:sz w:val="20"/>
                      </w:rPr>
                    </w:pPr>
                    <w:r>
                      <w:rPr>
                        <w:b/>
                        <w:color w:val="000000"/>
                        <w:sz w:val="20"/>
                      </w:rPr>
                      <w:t>asmenys</w:t>
                    </w:r>
                  </w:p>
                </w:tc>
                <w:tc>
                  <w:tcPr>
                    <w:tcW w:w="2126" w:type="dxa"/>
                    <w:gridSpan w:val="2"/>
                    <w:shd w:val="clear" w:color="auto" w:fill="D9D9D9"/>
                    <w:vAlign w:val="center"/>
                  </w:tcPr>
                  <w:p>
                    <w:pPr>
                      <w:jc w:val="center"/>
                      <w:rPr>
                        <w:b/>
                        <w:color w:val="000000"/>
                        <w:sz w:val="20"/>
                      </w:rPr>
                    </w:pPr>
                    <w:r>
                      <w:rPr>
                        <w:b/>
                        <w:color w:val="000000"/>
                        <w:sz w:val="20"/>
                      </w:rPr>
                      <w:t>Suteikta paslaugų (vnt. / kartai)</w:t>
                    </w:r>
                  </w:p>
                </w:tc>
                <w:tc>
                  <w:tcPr>
                    <w:tcW w:w="1635" w:type="dxa"/>
                    <w:gridSpan w:val="2"/>
                    <w:shd w:val="clear" w:color="auto" w:fill="D9D9D9"/>
                    <w:vAlign w:val="center"/>
                  </w:tcPr>
                  <w:p>
                    <w:pPr>
                      <w:jc w:val="center"/>
                      <w:rPr>
                        <w:b/>
                        <w:color w:val="000000"/>
                        <w:sz w:val="20"/>
                      </w:rPr>
                    </w:pPr>
                    <w:r>
                      <w:rPr>
                        <w:b/>
                        <w:color w:val="000000"/>
                        <w:sz w:val="20"/>
                      </w:rPr>
                      <w:t>Surinkta lėšų</w:t>
                    </w:r>
                  </w:p>
                  <w:p>
                    <w:pPr>
                      <w:jc w:val="center"/>
                      <w:rPr>
                        <w:b/>
                        <w:color w:val="000000"/>
                        <w:sz w:val="20"/>
                      </w:rPr>
                    </w:pPr>
                    <w:r>
                      <w:rPr>
                        <w:b/>
                        <w:color w:val="000000"/>
                        <w:sz w:val="20"/>
                      </w:rPr>
                      <w:t>(tūkst. Eur)</w:t>
                    </w:r>
                  </w:p>
                </w:tc>
              </w:tr>
              <w:tr>
                <w:trPr>
                  <w:jc w:val="center"/>
                </w:trPr>
                <w:tc>
                  <w:tcPr>
                    <w:tcW w:w="4048" w:type="dxa"/>
                    <w:vMerge/>
                    <w:tcBorders>
                      <w:tl2br w:val="single" w:sz="4" w:space="0" w:color="auto"/>
                    </w:tcBorders>
                    <w:shd w:val="clear" w:color="auto" w:fill="D9D9D9"/>
                  </w:tcPr>
                  <w:p>
                    <w:pPr>
                      <w:jc w:val="center"/>
                      <w:rPr>
                        <w:b/>
                        <w:color w:val="000000"/>
                        <w:sz w:val="20"/>
                      </w:rPr>
                    </w:pPr>
                  </w:p>
                </w:tc>
                <w:tc>
                  <w:tcPr>
                    <w:tcW w:w="992" w:type="dxa"/>
                    <w:shd w:val="clear" w:color="auto" w:fill="D9D9D9"/>
                    <w:vAlign w:val="center"/>
                  </w:tcPr>
                  <w:p>
                    <w:pPr>
                      <w:jc w:val="center"/>
                      <w:rPr>
                        <w:b/>
                        <w:color w:val="000000"/>
                        <w:sz w:val="20"/>
                      </w:rPr>
                    </w:pPr>
                    <w:r>
                      <w:rPr>
                        <w:b/>
                        <w:color w:val="000000"/>
                        <w:sz w:val="20"/>
                      </w:rPr>
                      <w:t>2015</w:t>
                    </w:r>
                  </w:p>
                </w:tc>
                <w:tc>
                  <w:tcPr>
                    <w:tcW w:w="709" w:type="dxa"/>
                    <w:shd w:val="clear" w:color="auto" w:fill="D9D9D9"/>
                    <w:vAlign w:val="center"/>
                  </w:tcPr>
                  <w:p>
                    <w:pPr>
                      <w:jc w:val="center"/>
                      <w:rPr>
                        <w:b/>
                        <w:color w:val="000000"/>
                        <w:sz w:val="20"/>
                      </w:rPr>
                    </w:pPr>
                    <w:r>
                      <w:rPr>
                        <w:b/>
                        <w:color w:val="000000"/>
                        <w:sz w:val="20"/>
                      </w:rPr>
                      <w:t>2016</w:t>
                    </w:r>
                  </w:p>
                </w:tc>
                <w:tc>
                  <w:tcPr>
                    <w:tcW w:w="1134" w:type="dxa"/>
                    <w:shd w:val="clear" w:color="auto" w:fill="D9D9D9"/>
                    <w:vAlign w:val="center"/>
                  </w:tcPr>
                  <w:p>
                    <w:pPr>
                      <w:jc w:val="center"/>
                      <w:rPr>
                        <w:b/>
                        <w:color w:val="000000"/>
                        <w:sz w:val="20"/>
                      </w:rPr>
                    </w:pPr>
                    <w:r>
                      <w:rPr>
                        <w:b/>
                        <w:color w:val="000000"/>
                        <w:sz w:val="20"/>
                      </w:rPr>
                      <w:t>2015</w:t>
                    </w:r>
                  </w:p>
                </w:tc>
                <w:tc>
                  <w:tcPr>
                    <w:tcW w:w="992" w:type="dxa"/>
                    <w:shd w:val="clear" w:color="auto" w:fill="D9D9D9"/>
                    <w:vAlign w:val="center"/>
                  </w:tcPr>
                  <w:p>
                    <w:pPr>
                      <w:jc w:val="center"/>
                      <w:rPr>
                        <w:b/>
                        <w:color w:val="000000"/>
                        <w:sz w:val="20"/>
                      </w:rPr>
                    </w:pPr>
                    <w:r>
                      <w:rPr>
                        <w:b/>
                        <w:color w:val="000000"/>
                        <w:sz w:val="20"/>
                      </w:rPr>
                      <w:t>2016</w:t>
                    </w:r>
                  </w:p>
                </w:tc>
                <w:tc>
                  <w:tcPr>
                    <w:tcW w:w="851" w:type="dxa"/>
                    <w:shd w:val="clear" w:color="auto" w:fill="D9D9D9"/>
                    <w:vAlign w:val="center"/>
                  </w:tcPr>
                  <w:p>
                    <w:pPr>
                      <w:jc w:val="center"/>
                      <w:rPr>
                        <w:b/>
                        <w:color w:val="000000"/>
                        <w:sz w:val="20"/>
                      </w:rPr>
                    </w:pPr>
                    <w:r>
                      <w:rPr>
                        <w:b/>
                        <w:color w:val="000000"/>
                        <w:sz w:val="20"/>
                      </w:rPr>
                      <w:t xml:space="preserve">2015 </w:t>
                    </w:r>
                  </w:p>
                </w:tc>
                <w:tc>
                  <w:tcPr>
                    <w:tcW w:w="784" w:type="dxa"/>
                    <w:shd w:val="clear" w:color="auto" w:fill="D9D9D9"/>
                    <w:vAlign w:val="center"/>
                  </w:tcPr>
                  <w:p>
                    <w:pPr>
                      <w:jc w:val="center"/>
                      <w:rPr>
                        <w:b/>
                        <w:color w:val="000000"/>
                        <w:sz w:val="20"/>
                      </w:rPr>
                    </w:pPr>
                    <w:r>
                      <w:rPr>
                        <w:b/>
                        <w:color w:val="000000"/>
                        <w:sz w:val="20"/>
                      </w:rPr>
                      <w:t xml:space="preserve">2016 </w:t>
                    </w:r>
                  </w:p>
                </w:tc>
              </w:tr>
              <w:tr>
                <w:trPr>
                  <w:jc w:val="center"/>
                </w:trPr>
                <w:tc>
                  <w:tcPr>
                    <w:tcW w:w="4048" w:type="dxa"/>
                    <w:vAlign w:val="center"/>
                  </w:tcPr>
                  <w:p>
                    <w:pPr>
                      <w:rPr>
                        <w:color w:val="000000"/>
                        <w:sz w:val="20"/>
                      </w:rPr>
                    </w:pPr>
                    <w:r>
                      <w:rPr>
                        <w:color w:val="000000"/>
                        <w:sz w:val="20"/>
                      </w:rPr>
                      <w:t>Spec. transporto paslauga neįgaliesiems</w:t>
                    </w:r>
                  </w:p>
                </w:tc>
                <w:tc>
                  <w:tcPr>
                    <w:tcW w:w="992" w:type="dxa"/>
                    <w:vAlign w:val="center"/>
                  </w:tcPr>
                  <w:p>
                    <w:pPr>
                      <w:jc w:val="center"/>
                      <w:rPr>
                        <w:sz w:val="20"/>
                      </w:rPr>
                    </w:pPr>
                    <w:r>
                      <w:rPr>
                        <w:sz w:val="20"/>
                      </w:rPr>
                      <w:t>280</w:t>
                    </w:r>
                  </w:p>
                </w:tc>
                <w:tc>
                  <w:tcPr>
                    <w:tcW w:w="709" w:type="dxa"/>
                    <w:vAlign w:val="center"/>
                  </w:tcPr>
                  <w:p>
                    <w:pPr>
                      <w:jc w:val="center"/>
                      <w:rPr>
                        <w:sz w:val="20"/>
                      </w:rPr>
                    </w:pPr>
                    <w:r>
                      <w:rPr>
                        <w:sz w:val="20"/>
                      </w:rPr>
                      <w:t>185</w:t>
                    </w:r>
                  </w:p>
                </w:tc>
                <w:tc>
                  <w:tcPr>
                    <w:tcW w:w="1134" w:type="dxa"/>
                    <w:vAlign w:val="center"/>
                  </w:tcPr>
                  <w:p>
                    <w:pPr>
                      <w:jc w:val="center"/>
                      <w:rPr>
                        <w:sz w:val="20"/>
                      </w:rPr>
                    </w:pPr>
                    <w:r>
                      <w:rPr>
                        <w:sz w:val="20"/>
                      </w:rPr>
                      <w:t>360</w:t>
                    </w:r>
                  </w:p>
                </w:tc>
                <w:tc>
                  <w:tcPr>
                    <w:tcW w:w="992" w:type="dxa"/>
                    <w:vAlign w:val="center"/>
                  </w:tcPr>
                  <w:p>
                    <w:pPr>
                      <w:jc w:val="center"/>
                      <w:rPr>
                        <w:sz w:val="20"/>
                      </w:rPr>
                    </w:pPr>
                    <w:r>
                      <w:rPr>
                        <w:sz w:val="20"/>
                      </w:rPr>
                      <w:t>364</w:t>
                    </w:r>
                  </w:p>
                </w:tc>
                <w:tc>
                  <w:tcPr>
                    <w:tcW w:w="851" w:type="dxa"/>
                    <w:vAlign w:val="center"/>
                  </w:tcPr>
                  <w:p>
                    <w:pPr>
                      <w:jc w:val="center"/>
                      <w:rPr>
                        <w:color w:val="000000"/>
                        <w:sz w:val="20"/>
                      </w:rPr>
                    </w:pPr>
                    <w:r>
                      <w:rPr>
                        <w:color w:val="000000"/>
                        <w:sz w:val="20"/>
                      </w:rPr>
                      <w:t>1,1</w:t>
                    </w:r>
                  </w:p>
                </w:tc>
                <w:tc>
                  <w:tcPr>
                    <w:tcW w:w="784" w:type="dxa"/>
                    <w:vAlign w:val="center"/>
                  </w:tcPr>
                  <w:p>
                    <w:pPr>
                      <w:jc w:val="center"/>
                      <w:rPr>
                        <w:color w:val="000000"/>
                        <w:sz w:val="20"/>
                      </w:rPr>
                    </w:pPr>
                    <w:r>
                      <w:rPr>
                        <w:color w:val="000000"/>
                        <w:sz w:val="20"/>
                      </w:rPr>
                      <w:t>0,7</w:t>
                    </w:r>
                  </w:p>
                </w:tc>
              </w:tr>
              <w:tr>
                <w:trPr>
                  <w:trHeight w:val="249"/>
                  <w:jc w:val="center"/>
                </w:trPr>
                <w:tc>
                  <w:tcPr>
                    <w:tcW w:w="4048" w:type="dxa"/>
                    <w:vAlign w:val="center"/>
                  </w:tcPr>
                  <w:p>
                    <w:pPr>
                      <w:rPr>
                        <w:color w:val="000000"/>
                        <w:sz w:val="20"/>
                      </w:rPr>
                    </w:pPr>
                    <w:r>
                      <w:rPr>
                        <w:color w:val="000000"/>
                        <w:sz w:val="20"/>
                      </w:rPr>
                      <w:t>Nakvynės ir savarankiški gyvenimo namai</w:t>
                    </w:r>
                  </w:p>
                </w:tc>
                <w:tc>
                  <w:tcPr>
                    <w:tcW w:w="992" w:type="dxa"/>
                    <w:vAlign w:val="center"/>
                  </w:tcPr>
                  <w:p>
                    <w:pPr>
                      <w:jc w:val="center"/>
                      <w:rPr>
                        <w:color w:val="000000"/>
                        <w:sz w:val="20"/>
                      </w:rPr>
                    </w:pPr>
                    <w:r>
                      <w:rPr>
                        <w:color w:val="000000"/>
                        <w:sz w:val="20"/>
                      </w:rPr>
                      <w:t>198</w:t>
                    </w:r>
                  </w:p>
                </w:tc>
                <w:tc>
                  <w:tcPr>
                    <w:tcW w:w="709" w:type="dxa"/>
                    <w:vAlign w:val="center"/>
                  </w:tcPr>
                  <w:p>
                    <w:pPr>
                      <w:jc w:val="center"/>
                      <w:rPr>
                        <w:color w:val="000000"/>
                        <w:sz w:val="20"/>
                      </w:rPr>
                    </w:pPr>
                  </w:p>
                </w:tc>
                <w:tc>
                  <w:tcPr>
                    <w:tcW w:w="1134" w:type="dxa"/>
                    <w:vAlign w:val="center"/>
                  </w:tcPr>
                  <w:p>
                    <w:pPr>
                      <w:jc w:val="center"/>
                      <w:rPr>
                        <w:color w:val="000000"/>
                        <w:sz w:val="20"/>
                      </w:rPr>
                    </w:pPr>
                    <w:r>
                      <w:rPr>
                        <w:color w:val="000000"/>
                        <w:sz w:val="20"/>
                      </w:rPr>
                      <w:t>594</w:t>
                    </w:r>
                  </w:p>
                </w:tc>
                <w:tc>
                  <w:tcPr>
                    <w:tcW w:w="992" w:type="dxa"/>
                    <w:vAlign w:val="center"/>
                  </w:tcPr>
                  <w:p>
                    <w:pPr>
                      <w:jc w:val="center"/>
                      <w:rPr>
                        <w:color w:val="000000"/>
                        <w:sz w:val="20"/>
                      </w:rPr>
                    </w:pPr>
                  </w:p>
                </w:tc>
                <w:tc>
                  <w:tcPr>
                    <w:tcW w:w="851" w:type="dxa"/>
                    <w:vAlign w:val="center"/>
                  </w:tcPr>
                  <w:p>
                    <w:pPr>
                      <w:jc w:val="center"/>
                      <w:rPr>
                        <w:color w:val="000000"/>
                        <w:sz w:val="20"/>
                      </w:rPr>
                    </w:pPr>
                    <w:r>
                      <w:rPr>
                        <w:color w:val="000000"/>
                        <w:sz w:val="20"/>
                      </w:rPr>
                      <w:t>1,5</w:t>
                    </w:r>
                  </w:p>
                </w:tc>
                <w:tc>
                  <w:tcPr>
                    <w:tcW w:w="784" w:type="dxa"/>
                    <w:vAlign w:val="center"/>
                  </w:tcPr>
                  <w:p>
                    <w:pPr>
                      <w:jc w:val="center"/>
                      <w:rPr>
                        <w:color w:val="000000"/>
                        <w:sz w:val="20"/>
                      </w:rPr>
                    </w:pPr>
                  </w:p>
                </w:tc>
              </w:tr>
              <w:tr>
                <w:trPr>
                  <w:jc w:val="center"/>
                </w:trPr>
                <w:tc>
                  <w:tcPr>
                    <w:tcW w:w="4048" w:type="dxa"/>
                    <w:vAlign w:val="center"/>
                  </w:tcPr>
                  <w:p>
                    <w:pPr>
                      <w:rPr>
                        <w:color w:val="000000"/>
                        <w:sz w:val="20"/>
                      </w:rPr>
                    </w:pPr>
                    <w:r>
                      <w:rPr>
                        <w:color w:val="000000"/>
                        <w:sz w:val="20"/>
                      </w:rPr>
                      <w:t>Lankoma priežiūra (pagalba)</w:t>
                    </w:r>
                  </w:p>
                </w:tc>
                <w:tc>
                  <w:tcPr>
                    <w:tcW w:w="992" w:type="dxa"/>
                    <w:vAlign w:val="center"/>
                  </w:tcPr>
                  <w:p>
                    <w:pPr>
                      <w:jc w:val="center"/>
                      <w:rPr>
                        <w:color w:val="000000"/>
                        <w:sz w:val="20"/>
                      </w:rPr>
                    </w:pPr>
                    <w:r>
                      <w:rPr>
                        <w:color w:val="000000"/>
                        <w:sz w:val="20"/>
                      </w:rPr>
                      <w:t>160</w:t>
                    </w:r>
                  </w:p>
                </w:tc>
                <w:tc>
                  <w:tcPr>
                    <w:tcW w:w="709" w:type="dxa"/>
                    <w:vAlign w:val="center"/>
                  </w:tcPr>
                  <w:p>
                    <w:pPr>
                      <w:jc w:val="center"/>
                      <w:rPr>
                        <w:color w:val="000000"/>
                        <w:sz w:val="20"/>
                      </w:rPr>
                    </w:pPr>
                    <w:r>
                      <w:rPr>
                        <w:color w:val="000000"/>
                        <w:sz w:val="20"/>
                      </w:rPr>
                      <w:t>175</w:t>
                    </w:r>
                  </w:p>
                </w:tc>
                <w:tc>
                  <w:tcPr>
                    <w:tcW w:w="1134" w:type="dxa"/>
                    <w:vAlign w:val="center"/>
                  </w:tcPr>
                  <w:p>
                    <w:pPr>
                      <w:jc w:val="center"/>
                      <w:rPr>
                        <w:color w:val="000000"/>
                        <w:sz w:val="20"/>
                      </w:rPr>
                    </w:pPr>
                    <w:r>
                      <w:rPr>
                        <w:color w:val="000000"/>
                        <w:sz w:val="20"/>
                      </w:rPr>
                      <w:t>16314</w:t>
                    </w:r>
                  </w:p>
                </w:tc>
                <w:tc>
                  <w:tcPr>
                    <w:tcW w:w="992" w:type="dxa"/>
                    <w:vAlign w:val="center"/>
                  </w:tcPr>
                  <w:p>
                    <w:pPr>
                      <w:jc w:val="center"/>
                      <w:rPr>
                        <w:color w:val="000000"/>
                        <w:sz w:val="20"/>
                      </w:rPr>
                    </w:pPr>
                  </w:p>
                </w:tc>
                <w:tc>
                  <w:tcPr>
                    <w:tcW w:w="851" w:type="dxa"/>
                    <w:vAlign w:val="center"/>
                  </w:tcPr>
                  <w:p>
                    <w:pPr>
                      <w:jc w:val="center"/>
                      <w:rPr>
                        <w:color w:val="000000"/>
                        <w:sz w:val="20"/>
                      </w:rPr>
                    </w:pPr>
                    <w:r>
                      <w:rPr>
                        <w:color w:val="000000"/>
                        <w:sz w:val="20"/>
                      </w:rPr>
                      <w:t>7,6</w:t>
                    </w:r>
                  </w:p>
                </w:tc>
                <w:tc>
                  <w:tcPr>
                    <w:tcW w:w="784" w:type="dxa"/>
                    <w:vAlign w:val="center"/>
                  </w:tcPr>
                  <w:p>
                    <w:pPr>
                      <w:jc w:val="center"/>
                      <w:rPr>
                        <w:color w:val="000000"/>
                        <w:sz w:val="20"/>
                      </w:rPr>
                    </w:pPr>
                    <w:r>
                      <w:rPr>
                        <w:color w:val="000000"/>
                        <w:sz w:val="20"/>
                      </w:rPr>
                      <w:t>11,7</w:t>
                    </w:r>
                  </w:p>
                </w:tc>
              </w:tr>
              <w:tr>
                <w:trPr>
                  <w:jc w:val="center"/>
                </w:trPr>
                <w:tc>
                  <w:tcPr>
                    <w:tcW w:w="4048" w:type="dxa"/>
                    <w:vAlign w:val="center"/>
                  </w:tcPr>
                  <w:p>
                    <w:pPr>
                      <w:rPr>
                        <w:color w:val="000000"/>
                        <w:sz w:val="20"/>
                      </w:rPr>
                    </w:pPr>
                    <w:r>
                      <w:rPr>
                        <w:color w:val="000000"/>
                        <w:sz w:val="20"/>
                      </w:rPr>
                      <w:t>Dienos socialinė globa (namuose)</w:t>
                    </w:r>
                  </w:p>
                </w:tc>
                <w:tc>
                  <w:tcPr>
                    <w:tcW w:w="992" w:type="dxa"/>
                    <w:vAlign w:val="center"/>
                  </w:tcPr>
                  <w:p>
                    <w:pPr>
                      <w:jc w:val="center"/>
                      <w:rPr>
                        <w:color w:val="000000"/>
                        <w:sz w:val="20"/>
                      </w:rPr>
                    </w:pPr>
                    <w:r>
                      <w:rPr>
                        <w:color w:val="000000"/>
                        <w:sz w:val="20"/>
                      </w:rPr>
                      <w:t>61</w:t>
                    </w:r>
                  </w:p>
                </w:tc>
                <w:tc>
                  <w:tcPr>
                    <w:tcW w:w="709" w:type="dxa"/>
                    <w:vAlign w:val="center"/>
                  </w:tcPr>
                  <w:p>
                    <w:pPr>
                      <w:jc w:val="center"/>
                      <w:rPr>
                        <w:color w:val="000000"/>
                        <w:sz w:val="20"/>
                      </w:rPr>
                    </w:pPr>
                    <w:r>
                      <w:rPr>
                        <w:color w:val="000000"/>
                        <w:sz w:val="20"/>
                      </w:rPr>
                      <w:t>71</w:t>
                    </w:r>
                  </w:p>
                </w:tc>
                <w:tc>
                  <w:tcPr>
                    <w:tcW w:w="1134" w:type="dxa"/>
                    <w:vAlign w:val="center"/>
                  </w:tcPr>
                  <w:p>
                    <w:pPr>
                      <w:jc w:val="center"/>
                      <w:rPr>
                        <w:color w:val="000000"/>
                        <w:sz w:val="20"/>
                      </w:rPr>
                    </w:pPr>
                    <w:r>
                      <w:rPr>
                        <w:color w:val="000000"/>
                        <w:sz w:val="20"/>
                      </w:rPr>
                      <w:t>29120</w:t>
                    </w:r>
                  </w:p>
                </w:tc>
                <w:tc>
                  <w:tcPr>
                    <w:tcW w:w="992" w:type="dxa"/>
                    <w:vAlign w:val="center"/>
                  </w:tcPr>
                  <w:p>
                    <w:pPr>
                      <w:jc w:val="center"/>
                      <w:rPr>
                        <w:color w:val="000000"/>
                        <w:sz w:val="20"/>
                      </w:rPr>
                    </w:pPr>
                  </w:p>
                </w:tc>
                <w:tc>
                  <w:tcPr>
                    <w:tcW w:w="851" w:type="dxa"/>
                    <w:vAlign w:val="center"/>
                  </w:tcPr>
                  <w:p>
                    <w:pPr>
                      <w:jc w:val="center"/>
                      <w:rPr>
                        <w:color w:val="000000"/>
                        <w:sz w:val="20"/>
                      </w:rPr>
                    </w:pPr>
                    <w:r>
                      <w:rPr>
                        <w:color w:val="000000"/>
                        <w:sz w:val="20"/>
                      </w:rPr>
                      <w:t>15,8</w:t>
                    </w:r>
                  </w:p>
                </w:tc>
                <w:tc>
                  <w:tcPr>
                    <w:tcW w:w="784" w:type="dxa"/>
                    <w:vAlign w:val="center"/>
                  </w:tcPr>
                  <w:p>
                    <w:pPr>
                      <w:jc w:val="center"/>
                      <w:rPr>
                        <w:color w:val="000000"/>
                        <w:sz w:val="20"/>
                      </w:rPr>
                    </w:pPr>
                    <w:r>
                      <w:rPr>
                        <w:color w:val="000000"/>
                        <w:sz w:val="20"/>
                      </w:rPr>
                      <w:t>19,4</w:t>
                    </w:r>
                  </w:p>
                </w:tc>
              </w:tr>
              <w:tr>
                <w:trPr>
                  <w:jc w:val="center"/>
                </w:trPr>
                <w:tc>
                  <w:tcPr>
                    <w:tcW w:w="4048" w:type="dxa"/>
                    <w:vAlign w:val="center"/>
                  </w:tcPr>
                  <w:p>
                    <w:pPr>
                      <w:rPr>
                        <w:color w:val="000000"/>
                        <w:sz w:val="20"/>
                      </w:rPr>
                    </w:pPr>
                    <w:r>
                      <w:rPr>
                        <w:color w:val="000000"/>
                        <w:sz w:val="20"/>
                      </w:rPr>
                      <w:t>Socialinių įgūdžių ugdymas ir palaikymas</w:t>
                    </w:r>
                  </w:p>
                </w:tc>
                <w:tc>
                  <w:tcPr>
                    <w:tcW w:w="992" w:type="dxa"/>
                    <w:vAlign w:val="center"/>
                  </w:tcPr>
                  <w:p>
                    <w:pPr>
                      <w:jc w:val="center"/>
                      <w:rPr>
                        <w:color w:val="000000"/>
                        <w:sz w:val="20"/>
                      </w:rPr>
                    </w:pPr>
                    <w:r>
                      <w:rPr>
                        <w:color w:val="000000"/>
                        <w:sz w:val="20"/>
                      </w:rPr>
                      <w:t>619</w:t>
                    </w:r>
                  </w:p>
                </w:tc>
                <w:tc>
                  <w:tcPr>
                    <w:tcW w:w="709" w:type="dxa"/>
                    <w:vAlign w:val="center"/>
                  </w:tcPr>
                  <w:p>
                    <w:pPr>
                      <w:jc w:val="center"/>
                      <w:rPr>
                        <w:color w:val="000000"/>
                        <w:sz w:val="20"/>
                      </w:rPr>
                    </w:pPr>
                  </w:p>
                </w:tc>
                <w:tc>
                  <w:tcPr>
                    <w:tcW w:w="1134" w:type="dxa"/>
                    <w:vAlign w:val="center"/>
                  </w:tcPr>
                  <w:p>
                    <w:pPr>
                      <w:jc w:val="center"/>
                      <w:rPr>
                        <w:color w:val="000000"/>
                        <w:sz w:val="20"/>
                      </w:rPr>
                    </w:pPr>
                    <w:r>
                      <w:rPr>
                        <w:color w:val="000000"/>
                        <w:sz w:val="20"/>
                      </w:rPr>
                      <w:t>17720</w:t>
                    </w:r>
                  </w:p>
                </w:tc>
                <w:tc>
                  <w:tcPr>
                    <w:tcW w:w="992" w:type="dxa"/>
                    <w:vAlign w:val="center"/>
                  </w:tcPr>
                  <w:p>
                    <w:pPr>
                      <w:jc w:val="center"/>
                      <w:rPr>
                        <w:color w:val="000000"/>
                        <w:sz w:val="20"/>
                      </w:rPr>
                    </w:pPr>
                  </w:p>
                </w:tc>
                <w:tc>
                  <w:tcPr>
                    <w:tcW w:w="851" w:type="dxa"/>
                    <w:vAlign w:val="center"/>
                  </w:tcPr>
                  <w:p>
                    <w:pPr>
                      <w:jc w:val="center"/>
                      <w:rPr>
                        <w:color w:val="000000"/>
                        <w:sz w:val="20"/>
                      </w:rPr>
                    </w:pPr>
                    <w:r>
                      <w:rPr>
                        <w:color w:val="000000"/>
                        <w:sz w:val="20"/>
                      </w:rPr>
                      <w:t>-</w:t>
                    </w:r>
                  </w:p>
                </w:tc>
                <w:tc>
                  <w:tcPr>
                    <w:tcW w:w="784" w:type="dxa"/>
                    <w:vAlign w:val="center"/>
                  </w:tcPr>
                  <w:p>
                    <w:pPr>
                      <w:jc w:val="center"/>
                      <w:rPr>
                        <w:color w:val="000000"/>
                        <w:sz w:val="20"/>
                      </w:rPr>
                    </w:pPr>
                  </w:p>
                </w:tc>
              </w:tr>
              <w:tr>
                <w:trPr>
                  <w:jc w:val="center"/>
                </w:trPr>
                <w:tc>
                  <w:tcPr>
                    <w:tcW w:w="4048" w:type="dxa"/>
                    <w:tcBorders>
                      <w:bottom w:val="single" w:sz="4" w:space="0" w:color="auto"/>
                    </w:tcBorders>
                    <w:vAlign w:val="center"/>
                  </w:tcPr>
                  <w:p>
                    <w:pPr>
                      <w:rPr>
                        <w:color w:val="000000"/>
                        <w:sz w:val="20"/>
                      </w:rPr>
                    </w:pPr>
                    <w:r>
                      <w:rPr>
                        <w:color w:val="000000"/>
                        <w:sz w:val="20"/>
                      </w:rPr>
                      <w:t>Aprūpinimas techninės pagalbos priemonėmis</w:t>
                    </w:r>
                  </w:p>
                </w:tc>
                <w:tc>
                  <w:tcPr>
                    <w:tcW w:w="992" w:type="dxa"/>
                    <w:tcBorders>
                      <w:bottom w:val="single" w:sz="4" w:space="0" w:color="auto"/>
                    </w:tcBorders>
                    <w:vAlign w:val="center"/>
                  </w:tcPr>
                  <w:p>
                    <w:pPr>
                      <w:jc w:val="center"/>
                      <w:rPr>
                        <w:sz w:val="20"/>
                      </w:rPr>
                    </w:pPr>
                    <w:r>
                      <w:rPr>
                        <w:sz w:val="20"/>
                      </w:rPr>
                      <w:t>15</w:t>
                    </w:r>
                  </w:p>
                </w:tc>
                <w:tc>
                  <w:tcPr>
                    <w:tcW w:w="709" w:type="dxa"/>
                    <w:tcBorders>
                      <w:bottom w:val="single" w:sz="4" w:space="0" w:color="auto"/>
                    </w:tcBorders>
                    <w:vAlign w:val="center"/>
                  </w:tcPr>
                  <w:p>
                    <w:pPr>
                      <w:jc w:val="center"/>
                      <w:rPr>
                        <w:sz w:val="20"/>
                      </w:rPr>
                    </w:pPr>
                    <w:r>
                      <w:rPr>
                        <w:sz w:val="20"/>
                      </w:rPr>
                      <w:t>10</w:t>
                    </w:r>
                  </w:p>
                </w:tc>
                <w:tc>
                  <w:tcPr>
                    <w:tcW w:w="1134" w:type="dxa"/>
                    <w:tcBorders>
                      <w:bottom w:val="single" w:sz="4" w:space="0" w:color="auto"/>
                    </w:tcBorders>
                    <w:vAlign w:val="center"/>
                  </w:tcPr>
                  <w:p>
                    <w:pPr>
                      <w:jc w:val="center"/>
                      <w:rPr>
                        <w:sz w:val="20"/>
                      </w:rPr>
                    </w:pPr>
                    <w:r>
                      <w:rPr>
                        <w:sz w:val="20"/>
                      </w:rPr>
                      <w:t>20</w:t>
                    </w:r>
                  </w:p>
                </w:tc>
                <w:tc>
                  <w:tcPr>
                    <w:tcW w:w="992" w:type="dxa"/>
                    <w:tcBorders>
                      <w:bottom w:val="single" w:sz="4" w:space="0" w:color="auto"/>
                    </w:tcBorders>
                    <w:vAlign w:val="center"/>
                  </w:tcPr>
                  <w:p>
                    <w:pPr>
                      <w:jc w:val="center"/>
                      <w:rPr>
                        <w:sz w:val="20"/>
                      </w:rPr>
                    </w:pPr>
                    <w:r>
                      <w:rPr>
                        <w:sz w:val="20"/>
                      </w:rPr>
                      <w:t>30</w:t>
                    </w:r>
                  </w:p>
                </w:tc>
                <w:tc>
                  <w:tcPr>
                    <w:tcW w:w="851" w:type="dxa"/>
                    <w:tcBorders>
                      <w:bottom w:val="single" w:sz="4" w:space="0" w:color="auto"/>
                    </w:tcBorders>
                    <w:vAlign w:val="center"/>
                  </w:tcPr>
                  <w:p>
                    <w:pPr>
                      <w:jc w:val="center"/>
                      <w:rPr>
                        <w:sz w:val="20"/>
                      </w:rPr>
                    </w:pPr>
                    <w:r>
                      <w:rPr>
                        <w:sz w:val="20"/>
                      </w:rPr>
                      <w:t>-</w:t>
                    </w:r>
                  </w:p>
                </w:tc>
                <w:tc>
                  <w:tcPr>
                    <w:tcW w:w="784" w:type="dxa"/>
                    <w:tcBorders>
                      <w:bottom w:val="single" w:sz="4" w:space="0" w:color="auto"/>
                    </w:tcBorders>
                    <w:vAlign w:val="center"/>
                  </w:tcPr>
                  <w:p>
                    <w:pPr>
                      <w:jc w:val="center"/>
                      <w:rPr>
                        <w:sz w:val="20"/>
                      </w:rPr>
                    </w:pPr>
                    <w:r>
                      <w:rPr>
                        <w:sz w:val="20"/>
                      </w:rPr>
                      <w:t>-</w:t>
                    </w:r>
                  </w:p>
                </w:tc>
              </w:tr>
              <w:tr>
                <w:trPr>
                  <w:jc w:val="center"/>
                </w:trPr>
                <w:tc>
                  <w:tcPr>
                    <w:tcW w:w="4048" w:type="dxa"/>
                    <w:tcBorders>
                      <w:bottom w:val="single" w:sz="4" w:space="0" w:color="auto"/>
                    </w:tcBorders>
                    <w:shd w:val="clear" w:color="auto" w:fill="D9D9D9"/>
                    <w:vAlign w:val="center"/>
                  </w:tcPr>
                  <w:p>
                    <w:pPr>
                      <w:jc w:val="right"/>
                      <w:rPr>
                        <w:b/>
                        <w:color w:val="000000"/>
                        <w:sz w:val="20"/>
                      </w:rPr>
                    </w:pPr>
                    <w:r>
                      <w:rPr>
                        <w:b/>
                        <w:color w:val="000000"/>
                        <w:sz w:val="20"/>
                      </w:rPr>
                      <w:t>Iš viso:</w:t>
                    </w:r>
                  </w:p>
                </w:tc>
                <w:tc>
                  <w:tcPr>
                    <w:tcW w:w="992" w:type="dxa"/>
                    <w:tcBorders>
                      <w:bottom w:val="single" w:sz="4" w:space="0" w:color="auto"/>
                    </w:tcBorders>
                    <w:shd w:val="clear" w:color="auto" w:fill="D9D9D9"/>
                    <w:vAlign w:val="center"/>
                  </w:tcPr>
                  <w:p>
                    <w:pPr>
                      <w:jc w:val="center"/>
                      <w:rPr>
                        <w:b/>
                        <w:color w:val="000000"/>
                        <w:sz w:val="20"/>
                      </w:rPr>
                    </w:pPr>
                    <w:r>
                      <w:rPr>
                        <w:b/>
                        <w:color w:val="000000"/>
                        <w:sz w:val="20"/>
                      </w:rPr>
                      <w:t>1333</w:t>
                    </w:r>
                  </w:p>
                </w:tc>
                <w:tc>
                  <w:tcPr>
                    <w:tcW w:w="709" w:type="dxa"/>
                    <w:tcBorders>
                      <w:bottom w:val="single" w:sz="4" w:space="0" w:color="auto"/>
                    </w:tcBorders>
                    <w:shd w:val="clear" w:color="auto" w:fill="D9D9D9"/>
                    <w:vAlign w:val="center"/>
                  </w:tcPr>
                  <w:p>
                    <w:pPr>
                      <w:jc w:val="center"/>
                      <w:rPr>
                        <w:b/>
                        <w:color w:val="000000"/>
                        <w:sz w:val="20"/>
                      </w:rPr>
                    </w:pPr>
                  </w:p>
                </w:tc>
                <w:tc>
                  <w:tcPr>
                    <w:tcW w:w="1134" w:type="dxa"/>
                    <w:tcBorders>
                      <w:bottom w:val="single" w:sz="4" w:space="0" w:color="auto"/>
                    </w:tcBorders>
                    <w:shd w:val="clear" w:color="auto" w:fill="D9D9D9"/>
                    <w:vAlign w:val="center"/>
                  </w:tcPr>
                  <w:p>
                    <w:pPr>
                      <w:jc w:val="center"/>
                      <w:rPr>
                        <w:b/>
                        <w:color w:val="000000"/>
                        <w:sz w:val="20"/>
                      </w:rPr>
                    </w:pPr>
                    <w:r>
                      <w:rPr>
                        <w:b/>
                        <w:color w:val="000000"/>
                        <w:sz w:val="20"/>
                      </w:rPr>
                      <w:t>64128</w:t>
                    </w:r>
                  </w:p>
                </w:tc>
                <w:tc>
                  <w:tcPr>
                    <w:tcW w:w="992" w:type="dxa"/>
                    <w:tcBorders>
                      <w:bottom w:val="single" w:sz="4" w:space="0" w:color="auto"/>
                    </w:tcBorders>
                    <w:shd w:val="clear" w:color="auto" w:fill="D9D9D9"/>
                    <w:vAlign w:val="center"/>
                  </w:tcPr>
                  <w:p>
                    <w:pPr>
                      <w:jc w:val="center"/>
                      <w:rPr>
                        <w:b/>
                        <w:color w:val="000000"/>
                        <w:sz w:val="20"/>
                      </w:rPr>
                    </w:pPr>
                  </w:p>
                </w:tc>
                <w:tc>
                  <w:tcPr>
                    <w:tcW w:w="851" w:type="dxa"/>
                    <w:tcBorders>
                      <w:bottom w:val="single" w:sz="4" w:space="0" w:color="auto"/>
                    </w:tcBorders>
                    <w:shd w:val="clear" w:color="auto" w:fill="D9D9D9"/>
                    <w:vAlign w:val="center"/>
                  </w:tcPr>
                  <w:p>
                    <w:pPr>
                      <w:jc w:val="center"/>
                      <w:rPr>
                        <w:b/>
                        <w:color w:val="000000"/>
                        <w:sz w:val="20"/>
                      </w:rPr>
                    </w:pPr>
                    <w:r>
                      <w:rPr>
                        <w:b/>
                        <w:color w:val="000000"/>
                        <w:sz w:val="20"/>
                      </w:rPr>
                      <w:t>26,0</w:t>
                    </w:r>
                  </w:p>
                </w:tc>
                <w:tc>
                  <w:tcPr>
                    <w:tcW w:w="784" w:type="dxa"/>
                    <w:tcBorders>
                      <w:bottom w:val="single" w:sz="4" w:space="0" w:color="auto"/>
                    </w:tcBorders>
                    <w:shd w:val="clear" w:color="auto" w:fill="D9D9D9"/>
                    <w:vAlign w:val="center"/>
                  </w:tcPr>
                  <w:p>
                    <w:pPr>
                      <w:jc w:val="center"/>
                      <w:rPr>
                        <w:b/>
                        <w:color w:val="000000"/>
                        <w:sz w:val="20"/>
                      </w:rPr>
                    </w:pPr>
                  </w:p>
                </w:tc>
              </w:tr>
            </w:tbl>
            <w:p>
              <w:pPr>
                <w:ind w:right="98" w:firstLine="851"/>
                <w:rPr>
                  <w:color w:val="000000"/>
                  <w:szCs w:val="24"/>
                </w:rPr>
              </w:pPr>
            </w:p>
            <w:p>
              <w:pPr>
                <w:ind w:right="98" w:firstLine="851"/>
                <w:jc w:val="both"/>
                <w:rPr>
                  <w:szCs w:val="24"/>
                </w:rPr>
              </w:pPr>
              <w:r>
                <w:rPr>
                  <w:szCs w:val="24"/>
                </w:rPr>
                <w:t xml:space="preserve">Telšių socialinių paslaugų centras aktyviai dalyvauja projektinėse veiklose. Nuo 2008 m. įgyvendina vaikų dienos centrų veiklos projektus, dalyvauja „Maisto banko“ akcijose, organizuoja velykines ir kalėdines akcijas bei kitus renginius. Nuo 2013 m. dalyvauja paramos akcijoje „Pagalba daiktais“. Žemiau pateikiama informacija apie Socialinės apsaugos ir darbo ministerijos (toliau tekste ─ SADM)  lėšomis finansuotus projektus 2014 ─ 2016 m. </w:t>
              </w:r>
              <w:r>
                <w:rPr>
                  <w:szCs w:val="24"/>
                  <w:vertAlign w:val="superscript"/>
                </w:rPr>
                <w:footnoteReference w:id="9"/>
              </w:r>
            </w:p>
            <w:p>
              <w:pPr>
                <w:ind w:right="98" w:firstLine="851"/>
                <w:rPr>
                  <w:b/>
                  <w:szCs w:val="24"/>
                </w:rPr>
              </w:pPr>
            </w:p>
          </w:sdtContent>
        </w:sdt>
        <w:sdt>
          <w:sdtPr>
            <w:alias w:val="poskyris"/>
            <w:tag w:val="part_909b5cd3bc784f9587a907f912dd47ff"/>
            <w:lock w:val="sdtLocked"/>
            <w:richText/>
          </w:sdtPr>
          <w:sdtContent>
            <w:p>
              <w:pPr>
                <w:ind w:right="98" w:firstLine="851"/>
                <w:jc w:val="center"/>
                <w:rPr>
                  <w:b/>
                  <w:color w:val="000000"/>
                  <w:szCs w:val="24"/>
                </w:rPr>
              </w:pPr>
              <w:sdt>
                <w:sdtPr>
                  <w:alias w:val="Pavadinimas"/>
                  <w:tag w:val="title_909b5cd3bc784f9587a907f912dd47ff"/>
                  <w:lock w:val="sdtLocked"/>
                  <w:richText/>
                </w:sdtPr>
                <w:sdtContent>
                  <w:r>
                    <w:rPr>
                      <w:b/>
                      <w:color w:val="000000"/>
                      <w:szCs w:val="24"/>
                    </w:rPr>
                    <w:t>SADM lėšomis finansuotų projektų ir skirtų lėšų statistika</w:t>
                  </w:r>
                </w:sdtContent>
              </w:sdt>
            </w:p>
            <w:tbl>
              <w:tblPr>
                <w:tblW w:w="9747" w:type="dxa"/>
                <w:tblLayout w:type="fixed"/>
                <w:tblLook w:val="0000" w:firstRow="0" w:lastRow="0" w:firstColumn="0" w:lastColumn="0" w:noHBand="0" w:noVBand="0"/>
              </w:tblPr>
              <w:tblGrid>
                <w:gridCol w:w="250"/>
                <w:gridCol w:w="7088"/>
                <w:gridCol w:w="850"/>
                <w:gridCol w:w="851"/>
                <w:gridCol w:w="708"/>
              </w:tblGrid>
              <w:tr>
                <w:tc>
                  <w:tcPr>
                    <w:tcW w:w="250" w:type="dxa"/>
                    <w:tcBorders>
                      <w:right w:val="single" w:sz="4" w:space="0" w:color="auto"/>
                    </w:tcBorders>
                    <w:shd w:val="clear" w:color="auto" w:fill="D9D9D9"/>
                  </w:tcPr>
                  <w:p>
                    <w:pPr>
                      <w:jc w:val="center"/>
                      <w:rPr>
                        <w:b/>
                        <w:szCs w:val="24"/>
                      </w:rPr>
                    </w:pPr>
                  </w:p>
                </w:tc>
                <w:tc>
                  <w:tcPr>
                    <w:tcW w:w="7088" w:type="dxa"/>
                    <w:vMerge w:val="restart"/>
                    <w:tcBorders>
                      <w:top w:val="single" w:sz="4" w:space="0" w:color="auto"/>
                      <w:left w:val="single" w:sz="4" w:space="0" w:color="auto"/>
                      <w:right w:val="single" w:sz="4" w:space="0" w:color="auto"/>
                    </w:tcBorders>
                    <w:shd w:val="clear" w:color="auto" w:fill="D9D9D9"/>
                    <w:vAlign w:val="center"/>
                  </w:tcPr>
                  <w:p>
                    <w:pPr>
                      <w:jc w:val="center"/>
                      <w:rPr>
                        <w:b/>
                        <w:sz w:val="20"/>
                      </w:rPr>
                    </w:pPr>
                    <w:r>
                      <w:rPr>
                        <w:b/>
                        <w:sz w:val="20"/>
                      </w:rPr>
                      <w:t>Projekto pavadinimas</w:t>
                    </w:r>
                  </w:p>
                </w:tc>
                <w:tc>
                  <w:tcPr>
                    <w:tcW w:w="2409"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pPr>
                      <w:jc w:val="center"/>
                      <w:rPr>
                        <w:b/>
                        <w:sz w:val="20"/>
                      </w:rPr>
                    </w:pPr>
                    <w:r>
                      <w:rPr>
                        <w:b/>
                        <w:sz w:val="20"/>
                      </w:rPr>
                      <w:t>Paramos suma, tūkst. Eur</w:t>
                    </w:r>
                  </w:p>
                </w:tc>
              </w:tr>
              <w:tr>
                <w:tc>
                  <w:tcPr>
                    <w:tcW w:w="250" w:type="dxa"/>
                    <w:tcBorders>
                      <w:right w:val="single" w:sz="4" w:space="0" w:color="auto"/>
                    </w:tcBorders>
                    <w:shd w:val="clear" w:color="auto" w:fill="D9D9D9"/>
                  </w:tcPr>
                  <w:p>
                    <w:pPr>
                      <w:jc w:val="center"/>
                      <w:rPr>
                        <w:b/>
                        <w:szCs w:val="24"/>
                      </w:rPr>
                    </w:pPr>
                  </w:p>
                </w:tc>
                <w:tc>
                  <w:tcPr>
                    <w:tcW w:w="7088" w:type="dxa"/>
                    <w:vMerge/>
                    <w:tcBorders>
                      <w:left w:val="single" w:sz="4" w:space="0" w:color="auto"/>
                      <w:bottom w:val="single" w:sz="4" w:space="0" w:color="auto"/>
                      <w:right w:val="single" w:sz="4" w:space="0" w:color="auto"/>
                    </w:tcBorders>
                    <w:shd w:val="clear" w:color="auto" w:fill="D9D9D9"/>
                    <w:vAlign w:val="center"/>
                  </w:tcPr>
                  <w:p>
                    <w:pPr>
                      <w:jc w:val="center"/>
                      <w:rPr>
                        <w:b/>
                        <w:sz w:val="20"/>
                      </w:rPr>
                    </w:pPr>
                  </w:p>
                </w:tc>
                <w:tc>
                  <w:tcPr>
                    <w:tcW w:w="850" w:type="dxa"/>
                    <w:tcBorders>
                      <w:top w:val="single" w:sz="4" w:space="0" w:color="auto"/>
                      <w:left w:val="single" w:sz="4" w:space="0" w:color="auto"/>
                      <w:bottom w:val="single" w:sz="4" w:space="0" w:color="auto"/>
                      <w:right w:val="single" w:sz="4" w:space="0" w:color="auto"/>
                    </w:tcBorders>
                    <w:shd w:val="clear" w:color="auto" w:fill="D9D9D9"/>
                    <w:vAlign w:val="center"/>
                  </w:tcPr>
                  <w:p>
                    <w:pPr>
                      <w:jc w:val="center"/>
                      <w:rPr>
                        <w:b/>
                        <w:sz w:val="20"/>
                      </w:rPr>
                    </w:pPr>
                    <w:r>
                      <w:rPr>
                        <w:b/>
                        <w:sz w:val="20"/>
                      </w:rPr>
                      <w:t>2014</w:t>
                    </w:r>
                  </w:p>
                </w:tc>
                <w:tc>
                  <w:tcPr>
                    <w:tcW w:w="851" w:type="dxa"/>
                    <w:tcBorders>
                      <w:top w:val="single" w:sz="4" w:space="0" w:color="auto"/>
                      <w:left w:val="single" w:sz="4" w:space="0" w:color="auto"/>
                      <w:bottom w:val="single" w:sz="4" w:space="0" w:color="auto"/>
                      <w:right w:val="single" w:sz="4" w:space="0" w:color="auto"/>
                    </w:tcBorders>
                    <w:shd w:val="clear" w:color="auto" w:fill="D9D9D9"/>
                  </w:tcPr>
                  <w:p>
                    <w:pPr>
                      <w:jc w:val="center"/>
                      <w:rPr>
                        <w:b/>
                        <w:sz w:val="20"/>
                      </w:rPr>
                    </w:pPr>
                    <w:r>
                      <w:rPr>
                        <w:b/>
                        <w:sz w:val="20"/>
                      </w:rPr>
                      <w:t>2015.</w:t>
                    </w:r>
                  </w:p>
                </w:tc>
                <w:tc>
                  <w:tcPr>
                    <w:tcW w:w="708" w:type="dxa"/>
                    <w:tcBorders>
                      <w:top w:val="single" w:sz="4" w:space="0" w:color="auto"/>
                      <w:left w:val="single" w:sz="4" w:space="0" w:color="auto"/>
                      <w:bottom w:val="single" w:sz="4" w:space="0" w:color="auto"/>
                      <w:right w:val="single" w:sz="4" w:space="0" w:color="auto"/>
                    </w:tcBorders>
                    <w:shd w:val="clear" w:color="auto" w:fill="D9D9D9"/>
                  </w:tcPr>
                  <w:p>
                    <w:pPr>
                      <w:rPr>
                        <w:b/>
                        <w:sz w:val="20"/>
                      </w:rPr>
                    </w:pPr>
                    <w:r>
                      <w:rPr>
                        <w:b/>
                        <w:sz w:val="20"/>
                      </w:rPr>
                      <w:t>2016</w:t>
                    </w:r>
                  </w:p>
                </w:tc>
              </w:tr>
              <w:tr>
                <w:tc>
                  <w:tcPr>
                    <w:tcW w:w="250" w:type="dxa"/>
                    <w:tcBorders>
                      <w:right w:val="single" w:sz="4" w:space="0" w:color="auto"/>
                    </w:tcBorders>
                  </w:tcPr>
                  <w:p>
                    <w:pPr>
                      <w:rPr>
                        <w:szCs w:val="24"/>
                      </w:rPr>
                    </w:pPr>
                  </w:p>
                </w:tc>
                <w:tc>
                  <w:tcPr>
                    <w:tcW w:w="708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Socialinių paslaugų teikimas rizikos grupės vaikams ir šeimoms Žarėnų dienos centre</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15,5</w:t>
                    </w:r>
                  </w:p>
                </w:tc>
                <w:tc>
                  <w:tcPr>
                    <w:tcW w:w="85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15,5</w:t>
                    </w:r>
                  </w:p>
                </w:tc>
                <w:tc>
                  <w:tcPr>
                    <w:tcW w:w="708" w:type="dxa"/>
                    <w:tcBorders>
                      <w:top w:val="single" w:sz="4" w:space="0" w:color="auto"/>
                      <w:left w:val="single" w:sz="4" w:space="0" w:color="auto"/>
                      <w:bottom w:val="single" w:sz="4" w:space="0" w:color="auto"/>
                      <w:right w:val="single" w:sz="4" w:space="0" w:color="auto"/>
                    </w:tcBorders>
                  </w:tcPr>
                  <w:p>
                    <w:pPr>
                      <w:rPr>
                        <w:sz w:val="20"/>
                      </w:rPr>
                    </w:pPr>
                    <w:r>
                      <w:rPr>
                        <w:sz w:val="20"/>
                      </w:rPr>
                      <w:t>14,5</w:t>
                    </w:r>
                  </w:p>
                </w:tc>
              </w:tr>
              <w:tr>
                <w:tc>
                  <w:tcPr>
                    <w:tcW w:w="250" w:type="dxa"/>
                    <w:tcBorders>
                      <w:right w:val="single" w:sz="4" w:space="0" w:color="auto"/>
                    </w:tcBorders>
                  </w:tcPr>
                  <w:p>
                    <w:pPr>
                      <w:rPr>
                        <w:szCs w:val="24"/>
                      </w:rPr>
                    </w:pPr>
                  </w:p>
                </w:tc>
                <w:tc>
                  <w:tcPr>
                    <w:tcW w:w="708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Kompleksinių paslaugų teikimas krizinėje situacijoje esantiems tėvams, auginantiems vaikus</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2,0</w:t>
                    </w:r>
                  </w:p>
                </w:tc>
                <w:tc>
                  <w:tcPr>
                    <w:tcW w:w="85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2,2</w:t>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250" w:type="dxa"/>
                    <w:tcBorders>
                      <w:right w:val="single" w:sz="4" w:space="0" w:color="auto"/>
                    </w:tcBorders>
                  </w:tcPr>
                  <w:p>
                    <w:pPr>
                      <w:rPr>
                        <w:szCs w:val="24"/>
                      </w:rPr>
                    </w:pPr>
                  </w:p>
                </w:tc>
                <w:tc>
                  <w:tcPr>
                    <w:tcW w:w="708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Socialinės rizikos prevencija Nevarėnų seniūnijoje</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12,4</w:t>
                    </w:r>
                  </w:p>
                </w:tc>
                <w:tc>
                  <w:tcPr>
                    <w:tcW w:w="85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12,4</w:t>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11,6</w:t>
                    </w:r>
                  </w:p>
                </w:tc>
              </w:tr>
              <w:tr>
                <w:tc>
                  <w:tcPr>
                    <w:tcW w:w="250" w:type="dxa"/>
                    <w:tcBorders>
                      <w:right w:val="single" w:sz="4" w:space="0" w:color="auto"/>
                    </w:tcBorders>
                  </w:tcPr>
                  <w:p>
                    <w:pPr>
                      <w:rPr>
                        <w:szCs w:val="24"/>
                      </w:rPr>
                    </w:pPr>
                  </w:p>
                </w:tc>
                <w:tc>
                  <w:tcPr>
                    <w:tcW w:w="708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Socialinės atskirties mažinimas integruojant socialinės rizikos vaikus ir šeimas į visuomenę</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20,0</w:t>
                    </w:r>
                  </w:p>
                </w:tc>
                <w:tc>
                  <w:tcPr>
                    <w:tcW w:w="85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20,0</w:t>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14,5</w:t>
                    </w:r>
                  </w:p>
                </w:tc>
              </w:tr>
              <w:tr>
                <w:tc>
                  <w:tcPr>
                    <w:tcW w:w="250" w:type="dxa"/>
                    <w:tcBorders>
                      <w:right w:val="single" w:sz="4" w:space="0" w:color="auto"/>
                    </w:tcBorders>
                  </w:tcPr>
                  <w:p>
                    <w:pPr>
                      <w:rPr>
                        <w:szCs w:val="24"/>
                      </w:rPr>
                    </w:pPr>
                  </w:p>
                </w:tc>
                <w:tc>
                  <w:tcPr>
                    <w:tcW w:w="708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Teikim gerumą visiems</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16,4</w:t>
                    </w:r>
                  </w:p>
                </w:tc>
                <w:tc>
                  <w:tcPr>
                    <w:tcW w:w="851"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16,4</w:t>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11,6</w:t>
                    </w:r>
                  </w:p>
                </w:tc>
              </w:tr>
              <w:tr>
                <w:tc>
                  <w:tcPr>
                    <w:tcW w:w="250" w:type="dxa"/>
                    <w:tcBorders>
                      <w:right w:val="single" w:sz="4" w:space="0" w:color="auto"/>
                    </w:tcBorders>
                    <w:shd w:val="clear" w:color="auto" w:fill="auto"/>
                  </w:tcPr>
                  <w:p>
                    <w:pPr>
                      <w:rPr>
                        <w:szCs w:val="24"/>
                      </w:rPr>
                    </w:pPr>
                  </w:p>
                </w:tc>
                <w:tc>
                  <w:tcPr>
                    <w:tcW w:w="7088" w:type="dxa"/>
                    <w:tcBorders>
                      <w:top w:val="single" w:sz="4" w:space="0" w:color="auto"/>
                      <w:left w:val="single" w:sz="4" w:space="0" w:color="auto"/>
                      <w:bottom w:val="single" w:sz="4" w:space="0" w:color="auto"/>
                      <w:right w:val="single" w:sz="4" w:space="0" w:color="auto"/>
                    </w:tcBorders>
                    <w:shd w:val="clear" w:color="auto" w:fill="BFBFBF"/>
                    <w:vAlign w:val="center"/>
                  </w:tcPr>
                  <w:p>
                    <w:pPr>
                      <w:jc w:val="right"/>
                      <w:rPr>
                        <w:b/>
                        <w:sz w:val="20"/>
                      </w:rPr>
                    </w:pPr>
                    <w:r>
                      <w:rPr>
                        <w:b/>
                        <w:sz w:val="20"/>
                      </w:rPr>
                      <w:t>Iš viso:</w:t>
                    </w:r>
                  </w:p>
                </w:tc>
                <w:tc>
                  <w:tcPr>
                    <w:tcW w:w="850" w:type="dxa"/>
                    <w:tcBorders>
                      <w:top w:val="single" w:sz="4" w:space="0" w:color="auto"/>
                      <w:left w:val="single" w:sz="4" w:space="0" w:color="auto"/>
                      <w:bottom w:val="single" w:sz="4" w:space="0" w:color="auto"/>
                      <w:right w:val="single" w:sz="4" w:space="0" w:color="auto"/>
                    </w:tcBorders>
                    <w:shd w:val="clear" w:color="auto" w:fill="BFBFBF"/>
                    <w:vAlign w:val="center"/>
                  </w:tcPr>
                  <w:p>
                    <w:pPr>
                      <w:jc w:val="center"/>
                      <w:rPr>
                        <w:b/>
                        <w:sz w:val="20"/>
                      </w:rPr>
                    </w:pPr>
                    <w:r>
                      <w:rPr>
                        <w:b/>
                        <w:sz w:val="20"/>
                      </w:rPr>
                      <w:t>66,3</w:t>
                    </w:r>
                  </w:p>
                </w:tc>
                <w:tc>
                  <w:tcPr>
                    <w:tcW w:w="851" w:type="dxa"/>
                    <w:tcBorders>
                      <w:top w:val="single" w:sz="4" w:space="0" w:color="auto"/>
                      <w:left w:val="single" w:sz="4" w:space="0" w:color="auto"/>
                      <w:bottom w:val="single" w:sz="4" w:space="0" w:color="auto"/>
                      <w:right w:val="single" w:sz="4" w:space="0" w:color="auto"/>
                    </w:tcBorders>
                    <w:shd w:val="clear" w:color="auto" w:fill="BFBFBF"/>
                    <w:vAlign w:val="center"/>
                  </w:tcPr>
                  <w:p>
                    <w:pPr>
                      <w:jc w:val="center"/>
                      <w:rPr>
                        <w:b/>
                        <w:sz w:val="20"/>
                      </w:rPr>
                    </w:pPr>
                    <w:r>
                      <w:rPr>
                        <w:b/>
                        <w:sz w:val="20"/>
                      </w:rPr>
                      <w:t>66,5</w:t>
                    </w:r>
                  </w:p>
                </w:tc>
                <w:tc>
                  <w:tcPr>
                    <w:tcW w:w="708" w:type="dxa"/>
                    <w:tcBorders>
                      <w:top w:val="single" w:sz="4" w:space="0" w:color="auto"/>
                      <w:left w:val="single" w:sz="4" w:space="0" w:color="auto"/>
                      <w:bottom w:val="single" w:sz="4" w:space="0" w:color="auto"/>
                      <w:right w:val="single" w:sz="4" w:space="0" w:color="auto"/>
                    </w:tcBorders>
                    <w:shd w:val="clear" w:color="auto" w:fill="BFBFBF"/>
                    <w:vAlign w:val="center"/>
                  </w:tcPr>
                  <w:p>
                    <w:pPr>
                      <w:jc w:val="center"/>
                      <w:rPr>
                        <w:b/>
                        <w:sz w:val="20"/>
                      </w:rPr>
                    </w:pPr>
                    <w:r>
                      <w:rPr>
                        <w:b/>
                        <w:sz w:val="20"/>
                      </w:rPr>
                      <w:t>52,2</w:t>
                    </w:r>
                  </w:p>
                </w:tc>
              </w:tr>
            </w:tbl>
            <w:p>
              <w:pPr>
                <w:tabs>
                  <w:tab w:val="left" w:pos="142"/>
                  <w:tab w:val="left" w:pos="697"/>
                  <w:tab w:val="left" w:pos="1330"/>
                  <w:tab w:val="left" w:pos="1613"/>
                  <w:tab w:val="left" w:pos="2246"/>
                  <w:tab w:val="left" w:pos="2529"/>
                  <w:tab w:val="left" w:pos="3162"/>
                  <w:tab w:val="left" w:pos="3445"/>
                  <w:tab w:val="left" w:pos="4078"/>
                  <w:tab w:val="left" w:pos="4361"/>
                  <w:tab w:val="left" w:pos="4994"/>
                  <w:tab w:val="left" w:pos="5277"/>
                  <w:tab w:val="left" w:pos="5910"/>
                  <w:tab w:val="left" w:pos="6193"/>
                  <w:tab w:val="left" w:pos="6826"/>
                  <w:tab w:val="left" w:pos="7109"/>
                  <w:tab w:val="left" w:pos="7742"/>
                  <w:tab w:val="left" w:pos="8025"/>
                  <w:tab w:val="left" w:pos="8658"/>
                  <w:tab w:val="left" w:pos="8941"/>
                  <w:tab w:val="left" w:pos="9574"/>
                  <w:tab w:val="left" w:pos="9857"/>
                  <w:tab w:val="left" w:pos="10490"/>
                  <w:tab w:val="left" w:pos="10773"/>
                  <w:tab w:val="left" w:pos="11406"/>
                  <w:tab w:val="left" w:pos="11689"/>
                  <w:tab w:val="left" w:pos="12322"/>
                  <w:tab w:val="left" w:pos="12605"/>
                  <w:tab w:val="left" w:pos="13238"/>
                  <w:tab w:val="left" w:pos="13521"/>
                </w:tabs>
                <w:ind w:firstLine="680"/>
                <w:jc w:val="right"/>
                <w:rPr>
                  <w:rFonts w:eastAsia="SimSun"/>
                  <w:szCs w:val="24"/>
                </w:rPr>
              </w:pPr>
            </w:p>
            <w:p>
              <w:pPr>
                <w:ind w:firstLine="709"/>
                <w:jc w:val="both"/>
                <w:rPr>
                  <w:szCs w:val="24"/>
                </w:rPr>
              </w:pPr>
              <w:r>
                <w:rPr>
                  <w:szCs w:val="24"/>
                </w:rPr>
                <w:t xml:space="preserve">Iš Savivaldybės biudžeto lėšų finansuoti projektai: „Velykinių renginių ciklas“, „Maisto banko parama“, Pagyvenusių žmonių diena, Socialinių darbuotojų dienos paminėjimas, „Šypsena VII“, „Pažinkim, kurkim, tobulėkim“, Vaikų vasaros poilsio ir užimtumo stovykla „Vasara-6“, „Sveikame kūne ─ sveika siela“, „Švara sveikatos šaltinis“, „Sveikas žmogus ─ sveika visuomenė“, „Gera augti, mokytis, gyventi sveikai“, „Judėk ir būsi sveikas“, Tarptautinės neįgaliųjų žmonių diena, kalėdinė akcija „Dalinkimės Kalėdiniu džiaugsmu“. Išvardintiems projektams įgyvendinti 2015 m. gauta 18,1 tūkst. euro. </w:t>
              </w:r>
            </w:p>
            <w:p>
              <w:pPr>
                <w:ind w:firstLine="709"/>
                <w:jc w:val="both"/>
                <w:rPr>
                  <w:szCs w:val="24"/>
                </w:rPr>
              </w:pPr>
              <w:r>
                <w:rPr>
                  <w:szCs w:val="24"/>
                </w:rPr>
                <w:t>Telšių socialinių paslaugų centras nuo 2013 m. iki 2015 m. spalio 16 d. įgyvendino projektą „Integralios pagalbos plėtra Telšių rajone“. Projekto metu asmenims su negalia ir senyvo amžiaus asmenims buvo teikiamos integralios pagalbos (dienos socialinės globos ir slaugos) paslaugos.</w:t>
              </w:r>
              <w:r>
                <w:rPr>
                  <w:b/>
                  <w:bCs/>
                  <w:szCs w:val="24"/>
                </w:rPr>
                <w:t xml:space="preserve"> </w:t>
              </w:r>
              <w:r>
                <w:rPr>
                  <w:szCs w:val="24"/>
                </w:rPr>
                <w:t xml:space="preserve">Telšių socialinių paslaugų centras nuo </w:t>
              </w:r>
              <w:r>
                <w:rPr>
                  <w:bCs/>
                  <w:szCs w:val="24"/>
                </w:rPr>
                <w:t>2016 m. birželio 1d. iki 2019 m. rugsėjo mėn.</w:t>
              </w:r>
              <w:r>
                <w:rPr>
                  <w:szCs w:val="24"/>
                </w:rPr>
                <w:t xml:space="preserve"> vykdo projekto tęstinumą „Integralios pagalbos plėtra Telšių rajone“.</w:t>
              </w:r>
              <w:r>
                <w:rPr>
                  <w:color w:val="FF0000"/>
                  <w:szCs w:val="24"/>
                </w:rPr>
                <w:t xml:space="preserve"> </w:t>
              </w:r>
              <w:r>
                <w:rPr>
                  <w:szCs w:val="24"/>
                </w:rPr>
                <w:t>Projekto metu asmenims su negalia ir senyvo amžiaus asmenims yra suteiktos 40 asmenų ir 10 šeimos narių.</w:t>
              </w:r>
            </w:p>
            <w:p>
              <w:pPr>
                <w:ind w:firstLine="709"/>
                <w:jc w:val="both"/>
                <w:rPr>
                  <w:b/>
                  <w:bCs/>
                  <w:szCs w:val="24"/>
                </w:rPr>
              </w:pPr>
            </w:p>
            <w:sdt>
              <w:sdtPr>
                <w:alias w:val="4.2.2.3 pp."/>
                <w:tag w:val="part_88ff1c5e0b5846bfa3191c77d473ebba"/>
                <w:lock w:val="sdtLocked"/>
                <w:richText/>
              </w:sdtPr>
              <w:sdtContent>
                <w:p>
                  <w:pPr>
                    <w:widowControl w:val="0"/>
                    <w:suppressAutoHyphens/>
                    <w:ind w:left="1560" w:hanging="851"/>
                    <w:jc w:val="both"/>
                    <w:textAlignment w:val="baseline"/>
                    <w:rPr>
                      <w:b/>
                      <w:bCs/>
                      <w:szCs w:val="24"/>
                    </w:rPr>
                  </w:pPr>
                  <w:sdt>
                    <w:sdtPr>
                      <w:alias w:val="Numeris"/>
                      <w:tag w:val="nr_88ff1c5e0b5846bfa3191c77d473ebba"/>
                      <w:lock w:val="sdtLocked"/>
                      <w:richText/>
                    </w:sdtPr>
                    <w:sdtContent>
                      <w:r>
                        <w:rPr>
                          <w:b/>
                          <w:bCs/>
                          <w:szCs w:val="24"/>
                        </w:rPr>
                        <w:t>4.2.2.3</w:t>
                      </w:r>
                    </w:sdtContent>
                  </w:sdt>
                  <w:r>
                    <w:rPr>
                      <w:b/>
                      <w:bCs/>
                      <w:szCs w:val="24"/>
                    </w:rPr>
                    <w:t>.</w:t>
                    <w:tab/>
                    <w:t>Telšių rajono senelių globos namai</w:t>
                  </w:r>
                </w:p>
                <w:p>
                  <w:pPr>
                    <w:ind w:firstLine="709"/>
                    <w:rPr>
                      <w:b/>
                      <w:bCs/>
                      <w:szCs w:val="24"/>
                    </w:rPr>
                  </w:pPr>
                </w:p>
                <w:p>
                  <w:pPr>
                    <w:ind w:firstLine="709"/>
                    <w:jc w:val="both"/>
                    <w:rPr>
                      <w:szCs w:val="24"/>
                    </w:rPr>
                  </w:pPr>
                  <w:r>
                    <w:rPr>
                      <w:bCs/>
                      <w:szCs w:val="24"/>
                    </w:rPr>
                    <w:t xml:space="preserve">Telšių rajono senelių globos </w:t>
                  </w:r>
                  <w:r>
                    <w:rPr>
                      <w:szCs w:val="24"/>
                    </w:rPr>
                    <w:t>turi du struktūrinius padalinius: Gedrimų savarankiško gyvenimo namus ir Dienos socialinės globos centrą.</w:t>
                  </w:r>
                </w:p>
                <w:p>
                  <w:pPr>
                    <w:tabs>
                      <w:tab w:val="left" w:pos="810"/>
                    </w:tabs>
                    <w:ind w:firstLine="810"/>
                    <w:jc w:val="both"/>
                    <w:rPr>
                      <w:szCs w:val="24"/>
                      <w:lang w:eastAsia="lt-LT"/>
                    </w:rPr>
                  </w:pPr>
                  <w:r>
                    <w:rPr>
                      <w:szCs w:val="24"/>
                    </w:rPr>
                    <w:t xml:space="preserve">Telšių rajono senelių globos namuose </w:t>
                  </w:r>
                  <w:r>
                    <w:rPr>
                      <w:bCs/>
                      <w:szCs w:val="24"/>
                    </w:rPr>
                    <w:t xml:space="preserve">organizuojama trumpalaikė, ilgalaikė socialinė globa senyvo amžiaus ir neįgaliems asmenims, teikiamos „atokvėpio“ paslaugos. </w:t>
                  </w:r>
                  <w:r>
                    <w:rPr>
                      <w:szCs w:val="24"/>
                    </w:rPr>
                    <w:t xml:space="preserve">Trumpalaikės ar ilgalaikės socialinės globos kaina per mėnesį senyvo amžiaus asmeniui ar asmeniui su negalia yra 480,77 Eur, asmeniui su sunkia negalia ─ 666,12 Eur. </w:t>
                  </w:r>
                  <w:r>
                    <w:rPr>
                      <w:szCs w:val="24"/>
                      <w:lang w:eastAsia="lt-LT"/>
                    </w:rPr>
                    <w:t xml:space="preserve">Mokėjimo už socialinės globos paslaugas dydis asmeniui nustatomas individualiai. Nuo 2015 m. sausio 1 d. asmuo už socialinės globos paslaugas moka 100 proc. gaunamos slaugos ar priežiūros (pagalbos) išmokos, 80 proc. ─ nuo kitų gaunamų išmokų, o ilgalaikės socialinės globos atvejais ir 1 proc. nuo turto vertės, viršijančios turto normatyvą. Pastarasis mokestis nustatytas 16 institucijoje gyvenančių asmenų, o dydis svyruoja nuo 0,84 iki 94,11 Eur / mėn., vidurkis – 40 Eur / mėn. </w:t>
                  </w:r>
                </w:p>
                <w:p>
                  <w:pPr>
                    <w:ind w:firstLine="851"/>
                    <w:jc w:val="both"/>
                    <w:rPr>
                      <w:szCs w:val="24"/>
                      <w:lang w:eastAsia="lt-LT"/>
                    </w:rPr>
                  </w:pPr>
                  <w:r>
                    <w:rPr>
                      <w:szCs w:val="24"/>
                      <w:lang w:eastAsia="lt-LT"/>
                    </w:rPr>
                    <w:t>Socialinės globos poreikis Telšių rajono senelių globos namuose didėja ir sudarytoje eilėje dėl ilgalaikės socialinės globos skyrimo yra įrašyta 19 pareiškėjų.</w:t>
                  </w:r>
                </w:p>
                <w:p>
                  <w:pPr>
                    <w:ind w:firstLine="720"/>
                    <w:jc w:val="both"/>
                    <w:rPr>
                      <w:szCs w:val="24"/>
                    </w:rPr>
                  </w:pPr>
                  <w:r>
                    <w:rPr>
                      <w:szCs w:val="24"/>
                    </w:rPr>
                    <w:t>Telšių rajono senelių globos namų Gedrimų dienos socialinės globos centre (toliau tekste ─ Gedrimų dienos centras) teikiama dienos socialinė globa senyvo amžiaus ar suaugusiems neįgaliems asmenims su sunkia negalia. Šios paslaugos 2016 m.</w:t>
                  </w:r>
                  <w:r>
                    <w:rPr>
                      <w:szCs w:val="24"/>
                      <w:lang w:eastAsia="lt-LT"/>
                    </w:rPr>
                    <w:t xml:space="preserve"> suteiktos 8 asmenims. Nustatyta d</w:t>
                  </w:r>
                  <w:r>
                    <w:rPr>
                      <w:szCs w:val="24"/>
                    </w:rPr>
                    <w:t>ienos socialinės globos kaina vienam asmeniui yra 435,00 Eur / mėn. Asmuo už dienos socialinę globą moka nuo 5 iki 10 proc. gaunamų pajamų. Paslaugos kaštai asmenims su sunkia negalia iš dalies apmokami</w:t>
                  </w:r>
                  <w:r>
                    <w:rPr>
                      <w:szCs w:val="24"/>
                      <w:lang w:eastAsia="lt-LT"/>
                    </w:rPr>
                    <w:t xml:space="preserve"> iš savivaldybių biudžetams skirtų specialiųjų tikslinių dotacijų. </w:t>
                  </w:r>
                </w:p>
                <w:p>
                  <w:pPr>
                    <w:ind w:firstLine="720"/>
                    <w:jc w:val="both"/>
                    <w:rPr>
                      <w:szCs w:val="24"/>
                    </w:rPr>
                  </w:pPr>
                  <w:r>
                    <w:rPr>
                      <w:szCs w:val="24"/>
                    </w:rPr>
                    <w:t>Telšių rajono senelių globos namų Gedrimų savarankiško gyvenimo namuose (toliau tekste ─ Gedrimų savarankiško gyvenimo namai) teikiamos apgyvendinimo savarankiško gyvenimo namuose paslaugos. Vietų skaičius – 40. Per 2016 m. paslaugos suteiktos 47 (2015 m. – 42) senyvo amžiaus arba darbingo amžiaus neįgaliems asmenims. Gyventojai pagal savo galimybes rūpinasi buitimi: gaminasi maistą, įsigyja būtiniausių daiktų, rūbų ir kitų vartojamų prekių, tvarkosi kambarius ir pan. Padalinyje įrengti 22 kambariai su virtuvėlėmis, sanitariniais mazgais ir dušais. Mokėjimo dydis asmeniui už socialinės priežiūros paslaugas ─ iki 20 procentų gaunamų pajamų, taip pat kiekvieną mėnesį apskaičiuojamas mokestis už komunalines paslaugas ir mokestis už kitas asmens pasirinktas papildomas paslaugas.</w:t>
                  </w:r>
                </w:p>
                <w:p>
                  <w:pPr>
                    <w:ind w:firstLine="720"/>
                    <w:jc w:val="both"/>
                    <w:rPr>
                      <w:szCs w:val="24"/>
                    </w:rPr>
                  </w:pPr>
                  <w:r>
                    <w:rPr>
                      <w:szCs w:val="24"/>
                    </w:rPr>
                    <w:t xml:space="preserve">Per 2016 m. priimta 19 sprendimų dėl apgyvendinimo savarankiško gyvenimo namuose paslaugų skyrimo, 6 asmenys išduotais siuntimais nepasinaudojo. Paslaugų poreikis metų pabaigoje patenkintas 100 proc. Per 2016 m. paslaugos buvo nutrauktos 15 asmenų, iš jų: 6 – išvyko, 2 – pašalinti, 7 – mirė. </w:t>
                  </w:r>
                </w:p>
                <w:p>
                  <w:pPr>
                    <w:ind w:firstLine="851"/>
                    <w:rPr>
                      <w:szCs w:val="24"/>
                      <w:lang w:eastAsia="lt-LT"/>
                    </w:rPr>
                  </w:pPr>
                </w:p>
              </w:sdtContent>
            </w:sdt>
            <w:sdt>
              <w:sdtPr>
                <w:alias w:val="4.2.2.4 pp."/>
                <w:tag w:val="part_85c2c41afdd04af68cba159f6cf804f4"/>
                <w:lock w:val="sdtLocked"/>
                <w:richText/>
              </w:sdtPr>
              <w:sdtContent>
                <w:p>
                  <w:pPr>
                    <w:tabs>
                      <w:tab w:val="left" w:pos="567"/>
                      <w:tab w:val="left" w:pos="851"/>
                    </w:tabs>
                    <w:ind w:left="1701" w:right="-1" w:hanging="850"/>
                    <w:jc w:val="both"/>
                    <w:rPr>
                      <w:b/>
                      <w:szCs w:val="24"/>
                    </w:rPr>
                  </w:pPr>
                  <w:sdt>
                    <w:sdtPr>
                      <w:alias w:val="Numeris"/>
                      <w:tag w:val="nr_85c2c41afdd04af68cba159f6cf804f4"/>
                      <w:lock w:val="sdtLocked"/>
                      <w:richText/>
                    </w:sdtPr>
                    <w:sdtContent>
                      <w:r>
                        <w:rPr>
                          <w:b/>
                          <w:szCs w:val="24"/>
                        </w:rPr>
                        <w:t>4.2.2.4</w:t>
                      </w:r>
                    </w:sdtContent>
                  </w:sdt>
                  <w:r>
                    <w:rPr>
                      <w:b/>
                      <w:szCs w:val="24"/>
                    </w:rPr>
                    <w:t>.</w:t>
                    <w:tab/>
                    <w:t xml:space="preserve"> Telšių vaikų globos namai</w:t>
                  </w:r>
                </w:p>
                <w:p>
                  <w:pPr>
                    <w:tabs>
                      <w:tab w:val="left" w:pos="567"/>
                      <w:tab w:val="left" w:pos="851"/>
                    </w:tabs>
                    <w:ind w:left="33" w:right="-1"/>
                    <w:rPr>
                      <w:b/>
                      <w:szCs w:val="24"/>
                    </w:rPr>
                  </w:pPr>
                </w:p>
                <w:p>
                  <w:pPr>
                    <w:ind w:firstLine="851"/>
                    <w:jc w:val="both"/>
                    <w:rPr>
                      <w:szCs w:val="24"/>
                    </w:rPr>
                  </w:pPr>
                  <w:r>
                    <w:rPr>
                      <w:szCs w:val="24"/>
                    </w:rPr>
                    <w:t xml:space="preserve">Telšių vaikų globos namuose teikiamos trumpalaikės ir ilgalaikės socialinės globos paslaugos vaikams nuo gimimo iki 21 metų. </w:t>
                  </w:r>
                  <w:r>
                    <w:rPr>
                      <w:color w:val="000000"/>
                      <w:szCs w:val="24"/>
                    </w:rPr>
                    <w:t xml:space="preserve">Paslaugos organizuojamos šeimynose. </w:t>
                  </w:r>
                  <w:r>
                    <w:rPr>
                      <w:szCs w:val="24"/>
                    </w:rPr>
                    <w:t>Vieno vaiko išlaikymas įstaigoje yra 830 eurų / mėn. Tiesiogiai su vaikais dirba 40 darbuotojų. Vienam vaikui per parą maitinimui skiriama 3,77 euro. Vaikų globos namų maksimalus vietų skaičius 50.</w:t>
                  </w:r>
                </w:p>
                <w:p>
                  <w:pPr>
                    <w:ind w:firstLine="851"/>
                    <w:jc w:val="both"/>
                    <w:rPr>
                      <w:szCs w:val="24"/>
                    </w:rPr>
                  </w:pPr>
                  <w:r>
                    <w:rPr>
                      <w:szCs w:val="24"/>
                    </w:rPr>
                    <w:t xml:space="preserve">Vaikų globos namuose 2015 m. gyveno 26 globotiniai, turintys specialiųjų ugdymosi poreikių. Minėtiems vaikams buvo teikiama švietimo pagalba: 31 vaikui specialioji pedagoginė ir 13 vaikų logopedo pagalba. Individuali ir grupinė psichologinė pagalba organizuota 42 globotiniams; konsultacinė pagalba ir rekomendacijos teiktos 26 atvejais socialiniams darbuotojams dėl globotinių emocijų ir elgesio problemų, bendravimo sunkumų, adaptacijos; kitais atvejais suteikta pavienė pagalba 260 kartų. </w:t>
                  </w:r>
                </w:p>
                <w:p>
                  <w:pPr>
                    <w:tabs>
                      <w:tab w:val="left" w:pos="851"/>
                    </w:tabs>
                    <w:ind w:firstLine="851"/>
                    <w:jc w:val="both"/>
                    <w:rPr>
                      <w:szCs w:val="24"/>
                    </w:rPr>
                  </w:pPr>
                  <w:r>
                    <w:rPr>
                      <w:szCs w:val="24"/>
                    </w:rPr>
                    <w:t>Įstaigoje dirba 4 neformaliojo ugdymo pedagogai. Veikia žvejų, jaunųjų miškininkų, dailės, pynimo iš vytelių, sporto, muzikos, šokio būreliai. Jų veikloje dalyvauja apie 55 proc. globotinių. Dalis vaikų lanko mieste ir mokyklose esančius neformaliojo ugdymo būrelius. Taip pat d</w:t>
                  </w:r>
                  <w:r>
                    <w:rPr>
                      <w:color w:val="000000"/>
                      <w:szCs w:val="24"/>
                    </w:rPr>
                    <w:t xml:space="preserve">alyvauta akcijose, organizuotos šventės ir </w:t>
                  </w:r>
                  <w:r>
                    <w:rPr>
                      <w:szCs w:val="24"/>
                    </w:rPr>
                    <w:t>sporto varžybos, organizuota 10 išvykų. Vykdyti projektai ir akcijos: „Sveikatos taku ─ 5“, TV3 „Išsipildymo akcija“, Socializacijos programa „Stebiu, patiriu, gyvenu“, vasaros poilsis „Virvytės“ stovykloje ir Šventojoje. Praėjusiais metais surinkta pajamų 8,7 tūkst. Eur pajamų.</w:t>
                  </w:r>
                  <w:r>
                    <w:rPr>
                      <w:szCs w:val="24"/>
                      <w:vertAlign w:val="superscript"/>
                    </w:rPr>
                    <w:footnoteReference w:id="10"/>
                    <w:t xml:space="preserve"> </w:t>
                  </w:r>
                  <w:r>
                    <w:rPr>
                      <w:szCs w:val="24"/>
                    </w:rPr>
                    <w:t>Bendradarbiaujant su šalies ir užsienio privačiais asmenimis, rajono verslininkais ir visuomeninėmis organizacijomis, Vaikų globos namai 2015 m. gavo paramos piniginėmis lėšomis ir materialinėmis vertybėmis už 2,0 tūkst. Eur.</w:t>
                  </w:r>
                </w:p>
                <w:p>
                  <w:pPr>
                    <w:ind w:firstLine="709"/>
                    <w:jc w:val="both"/>
                    <w:rPr>
                      <w:szCs w:val="24"/>
                    </w:rPr>
                  </w:pPr>
                  <w:r>
                    <w:rPr>
                      <w:szCs w:val="24"/>
                    </w:rPr>
                    <w:t>Nuo 2015 m. sausio 1 d. vaikų globos namų struktūroje įsteigti Laikini šeimos namai. Tikslas – teikti apgyvendinimo, bendrąsias bei specialiąsias socialines paslaugas stebimoms ir socialinės rizikos šeimoms su vaikais. Per metus paslaugos buvo suteiktos 14 mamų ir 20 vaikų. Šių namų gyventojoms pravestas 10 psichologinių grupinių užsiėmimų ciklas.</w:t>
                  </w:r>
                </w:p>
                <w:p>
                  <w:pPr>
                    <w:ind w:firstLine="851"/>
                    <w:rPr>
                      <w:szCs w:val="24"/>
                    </w:rPr>
                  </w:pPr>
                </w:p>
                <w:p>
                  <w:pPr>
                    <w:widowControl w:val="0"/>
                    <w:suppressAutoHyphens/>
                    <w:ind w:left="1560" w:hanging="851"/>
                    <w:jc w:val="both"/>
                    <w:textAlignment w:val="baseline"/>
                    <w:rPr>
                      <w:b/>
                      <w:szCs w:val="24"/>
                    </w:rPr>
                  </w:pPr>
                  <w:r>
                    <w:rPr>
                      <w:b/>
                      <w:szCs w:val="24"/>
                    </w:rPr>
                    <w:t>4.2.2.5.</w:t>
                    <w:tab/>
                    <w:t xml:space="preserve"> Telšių „Vilties“ mokyklos Dienos socialinės globos skyrius</w:t>
                  </w:r>
                </w:p>
                <w:p>
                  <w:pPr>
                    <w:ind w:firstLine="540"/>
                    <w:rPr>
                      <w:b/>
                      <w:szCs w:val="24"/>
                    </w:rPr>
                  </w:pPr>
                </w:p>
                <w:p>
                  <w:pPr>
                    <w:ind w:left="-180" w:firstLine="720"/>
                    <w:jc w:val="both"/>
                    <w:rPr>
                      <w:szCs w:val="24"/>
                    </w:rPr>
                  </w:pPr>
                  <w:r>
                    <w:rPr>
                      <w:szCs w:val="24"/>
                    </w:rPr>
                    <w:t>Telšių „Vilties“ mokykloje veikia Dienos socialinės globos skyrius, kuris teikia nestacionarias socialines paslaugas suaugusiems neįgaliems asmenims nuo 21 metų amžiaus. Dienos socialinės globos skyrių lanko 27 suaugę neįgalūs asmenys, iš jų 25 su sunkia negalia. Planuojama, jog šias paslaugas artimiausiu metu bus būtina suteikti iki 30 asmenų. Dienos socialinės globos kaina vienam asmeniui yra 501,02 Eur / mėn. Asmuo už dienos socialinę globą moka 10 proc. gaunamų pajamų.</w:t>
                  </w:r>
                  <w:r>
                    <w:rPr>
                      <w:color w:val="FF0000"/>
                      <w:szCs w:val="24"/>
                    </w:rPr>
                    <w:t xml:space="preserve"> </w:t>
                  </w:r>
                  <w:r>
                    <w:rPr>
                      <w:szCs w:val="24"/>
                    </w:rPr>
                    <w:t xml:space="preserve">Socialinės globos skyrius vykdo neįgaliųjų integraciją į visuomenę, ugdo ir palaiko jų socialinius įgūdžius, lavina kasdieninio apsitarnavimo, užimtumo, sociokultūrinius ir kitus įgūdžius, organizuoja įvairius renginius, pažintines išvykas, šventes, koncertus, diskotekas ir kt. </w:t>
                  </w:r>
                </w:p>
                <w:p>
                  <w:pPr>
                    <w:ind w:left="-180" w:firstLine="720"/>
                    <w:jc w:val="both"/>
                    <w:rPr>
                      <w:szCs w:val="24"/>
                    </w:rPr>
                  </w:pPr>
                  <w:r>
                    <w:rPr>
                      <w:szCs w:val="24"/>
                    </w:rPr>
                    <w:t>Dienos socialinės globos paslaugos 2016 m. buvo suteiktos 27, o 2015 m. – 22, 2014 m. – 15 neįgalių asmenų.</w:t>
                  </w:r>
                  <w:r>
                    <w:rPr>
                      <w:szCs w:val="24"/>
                      <w:vertAlign w:val="superscript"/>
                    </w:rPr>
                    <w:footnoteReference w:id="11"/>
                  </w:r>
                  <w:r>
                    <w:rPr>
                      <w:szCs w:val="24"/>
                    </w:rPr>
                    <w:t xml:space="preserve"> Paslaugų poreikis didėja. </w:t>
                  </w:r>
                </w:p>
                <w:p>
                  <w:pPr>
                    <w:ind w:left="-180" w:firstLine="720"/>
                    <w:jc w:val="both"/>
                    <w:rPr>
                      <w:szCs w:val="24"/>
                    </w:rPr>
                  </w:pPr>
                  <w:r>
                    <w:rPr>
                      <w:szCs w:val="24"/>
                    </w:rPr>
                    <w:t>Numatoma, jog 2015−2017 m. bus vykdoma Telšių „Vilties“ mokyklos pastato rekonstrukcija pagal investicinį valstybės kapitalo programą, esamos patalpos bus praplėstos maždaug iki 500 kv / m. ir pritaikytos neįgaliųjų poreikiams. Rekonstravus patalpas planuojama didinti nestacionarių trumpalaikės socialinės globos - „atokvėpio“ paslaugų suteikimo galimybes institucijoje.</w:t>
                  </w:r>
                </w:p>
                <w:p>
                  <w:pPr>
                    <w:ind w:left="-180" w:firstLine="720"/>
                    <w:jc w:val="both"/>
                    <w:rPr>
                      <w:szCs w:val="24"/>
                    </w:rPr>
                  </w:pPr>
                </w:p>
                <w:p>
                  <w:pPr>
                    <w:widowControl w:val="0"/>
                    <w:suppressAutoHyphens/>
                    <w:ind w:left="1560" w:hanging="851"/>
                    <w:textAlignment w:val="baseline"/>
                    <w:rPr>
                      <w:b/>
                      <w:szCs w:val="24"/>
                    </w:rPr>
                  </w:pPr>
                  <w:r>
                    <w:rPr>
                      <w:b/>
                      <w:szCs w:val="24"/>
                    </w:rPr>
                    <w:t>4.2.2.6.</w:t>
                    <w:tab/>
                    <w:t xml:space="preserve"> VšĮ Varni</w:t>
                  </w:r>
                  <w:r>
                    <w:rPr>
                      <w:rFonts w:ascii="TimesNewRoman" w:hAnsi="TimesNewRoman" w:cs="TimesNewRoman"/>
                      <w:b/>
                      <w:szCs w:val="24"/>
                    </w:rPr>
                    <w:t xml:space="preserve">ų </w:t>
                  </w:r>
                  <w:r>
                    <w:rPr>
                      <w:b/>
                      <w:szCs w:val="24"/>
                    </w:rPr>
                    <w:t>pirminės sveikatos prieži</w:t>
                  </w:r>
                  <w:r>
                    <w:rPr>
                      <w:rFonts w:ascii="TimesNewRoman" w:hAnsi="TimesNewRoman" w:cs="TimesNewRoman"/>
                      <w:b/>
                      <w:szCs w:val="24"/>
                    </w:rPr>
                    <w:t>ū</w:t>
                  </w:r>
                  <w:r>
                    <w:rPr>
                      <w:b/>
                      <w:szCs w:val="24"/>
                    </w:rPr>
                    <w:t>ros centro Palaikomojo gydymo ir slaugos ligoninės Slaugos (globos) skyrius</w:t>
                  </w:r>
                </w:p>
                <w:p>
                  <w:pPr>
                    <w:ind w:firstLine="720"/>
                    <w:rPr>
                      <w:szCs w:val="24"/>
                    </w:rPr>
                  </w:pPr>
                </w:p>
                <w:p>
                  <w:pPr>
                    <w:ind w:firstLine="720"/>
                    <w:jc w:val="both"/>
                    <w:rPr>
                      <w:szCs w:val="24"/>
                    </w:rPr>
                  </w:pPr>
                  <w:r>
                    <w:rPr>
                      <w:szCs w:val="24"/>
                    </w:rPr>
                    <w:t>Varnių pirminės sveikatos priežiūros centro Palaikomojo gydymo ir slaugos ligoninės Slaugos (globos) skyriuje (toliau tekste ─ VPSPC) teikiama trumpalaikė, o nuo 2015 m. sausio 1 d. ir ilgalaikė socialinė globa Telšių rajone gyvenamąją vietą deklaravusiems asmenims. Ilgalaikė socialinė globa skiriama asmenims su sunkia negalia, o trumpalaikė socialinė globa teikiama vienišiems senyvo amžiaus asmenims arba asmenims, kuriems reikalinga socialinė globa, kai nepakako 120 dienų trukmės gydymo, bei sergantiems socialinės rizikos grupės asmenims.</w:t>
                  </w:r>
                </w:p>
                <w:p>
                  <w:pPr>
                    <w:tabs>
                      <w:tab w:val="left" w:pos="840"/>
                      <w:tab w:val="left" w:pos="1260"/>
                    </w:tabs>
                    <w:ind w:right="-39" w:firstLine="840"/>
                    <w:jc w:val="both"/>
                    <w:rPr>
                      <w:szCs w:val="24"/>
                    </w:rPr>
                  </w:pPr>
                  <w:r>
                    <w:rPr>
                      <w:szCs w:val="24"/>
                    </w:rPr>
                    <w:t xml:space="preserve">Įstaigoje patvirtintas 25 vietų lovų skaičius. Trumpalaikės ar ilgalaikės socialinės globos kaina asmeniui yra 500 Eur / mėn. ir 765 Eur / mėn. asmeniui su sunkia negalia. </w:t>
                  </w:r>
                </w:p>
                <w:p>
                  <w:pPr>
                    <w:ind w:firstLine="720"/>
                    <w:jc w:val="both"/>
                    <w:rPr>
                      <w:szCs w:val="24"/>
                    </w:rPr>
                  </w:pPr>
                  <w:r>
                    <w:rPr>
                      <w:szCs w:val="24"/>
                    </w:rPr>
                    <w:t>Socialinės globos paslaugų gavėjai už suteiktas paslaugas moka 80 proc. nuo gaunamų pajamų, o nuo 2015 m. sausio 1 d. ─ 100 proc. slaugos ar priežiūros (pagalbos) išlaidų tikslinės kompensacijos. Esant ilgalaikei socialinei globai skaičiuojamas ir 1 proc. nuo turto vertės, viršijančios turto normatyvą. Per 2016 m. šis mokestis buvo nustatytas 7 asmenims, mokesčio dydis nuo 3,36 iki 64,87 Eur / mėn.</w:t>
                  </w:r>
                </w:p>
                <w:p>
                  <w:pPr>
                    <w:tabs>
                      <w:tab w:val="left" w:pos="840"/>
                      <w:tab w:val="left" w:pos="1260"/>
                    </w:tabs>
                    <w:ind w:right="-39"/>
                    <w:jc w:val="both"/>
                    <w:rPr>
                      <w:szCs w:val="24"/>
                    </w:rPr>
                  </w:pPr>
                </w:p>
              </w:sdtContent>
            </w:sdt>
            <w:sdt>
              <w:sdtPr>
                <w:alias w:val="4.2.2.7 pp."/>
                <w:tag w:val="part_d2cef125725e4e1aade4fd3f21d2cf9f"/>
                <w:lock w:val="sdtLocked"/>
                <w:richText/>
              </w:sdtPr>
              <w:sdtContent>
                <w:p>
                  <w:pPr>
                    <w:tabs>
                      <w:tab w:val="left" w:pos="709"/>
                    </w:tabs>
                    <w:ind w:left="1560" w:hanging="851"/>
                    <w:outlineLvl w:val="2"/>
                    <w:rPr>
                      <w:b/>
                      <w:szCs w:val="24"/>
                    </w:rPr>
                  </w:pPr>
                  <w:sdt>
                    <w:sdtPr>
                      <w:alias w:val="Numeris"/>
                      <w:tag w:val="nr_d2cef125725e4e1aade4fd3f21d2cf9f"/>
                      <w:lock w:val="sdtLocked"/>
                      <w:richText/>
                    </w:sdtPr>
                    <w:sdtContent>
                      <w:r>
                        <w:rPr>
                          <w:b/>
                          <w:szCs w:val="24"/>
                        </w:rPr>
                        <w:t>4.2.2.7</w:t>
                      </w:r>
                    </w:sdtContent>
                  </w:sdt>
                  <w:r>
                    <w:rPr>
                      <w:b/>
                      <w:szCs w:val="24"/>
                    </w:rPr>
                    <w:t>.</w:t>
                    <w:tab/>
                    <w:t>Telšių krizių centras</w:t>
                  </w:r>
                </w:p>
                <w:p>
                  <w:pPr>
                    <w:tabs>
                      <w:tab w:val="left" w:pos="709"/>
                    </w:tabs>
                    <w:ind w:left="1560"/>
                    <w:outlineLvl w:val="2"/>
                    <w:rPr>
                      <w:b/>
                      <w:szCs w:val="24"/>
                    </w:rPr>
                  </w:pPr>
                </w:p>
                <w:p>
                  <w:pPr>
                    <w:tabs>
                      <w:tab w:val="left" w:pos="709"/>
                    </w:tabs>
                    <w:ind w:firstLine="720"/>
                    <w:jc w:val="both"/>
                    <w:rPr>
                      <w:szCs w:val="24"/>
                    </w:rPr>
                  </w:pPr>
                  <w:r>
                    <w:rPr>
                      <w:bCs/>
                      <w:iCs/>
                      <w:szCs w:val="24"/>
                    </w:rPr>
                    <w:t>Viešojoje įstaigoje T</w:t>
                  </w:r>
                  <w:r>
                    <w:rPr>
                      <w:szCs w:val="24"/>
                    </w:rPr>
                    <w:t>elšių krizių centre (toliau tekste ─ Krizių centras) teikiama psichologinė ir intensyvi krizių įveikimo pagalba, dirbama savižudžių prevencijos ir postvencijos srityje. Krizių centre 2016 m. suteikta apgyvendinimo paslauga 14 asmenų (9 vaikai ir 5 suaugusieji). Krizių centras 2016 m. Telšių rajono gyventojams teikė nemokamą psichologinę pagalbą ir organizavo intensyvią krizių įveiką. Suteiktų paslaugų ir gavėjų dinamika pateikta žemiau lentelėje.</w:t>
                  </w:r>
                  <w:r>
                    <w:rPr>
                      <w:szCs w:val="24"/>
                      <w:vertAlign w:val="superscript"/>
                    </w:rPr>
                    <w:footnoteReference w:id="12"/>
                  </w:r>
                </w:p>
              </w:sdtContent>
            </w:sdt>
          </w:sdtContent>
        </w:sdt>
        <w:sdt>
          <w:sdtPr>
            <w:alias w:val="poskyris"/>
            <w:tag w:val="part_99e00b14262b42adb2b6a81a775ffec0"/>
            <w:lock w:val="sdtLocked"/>
            <w:richText/>
          </w:sdtPr>
          <w:sdtContent>
            <w:p>
              <w:pPr>
                <w:ind w:firstLine="720"/>
                <w:jc w:val="center"/>
                <w:rPr>
                  <w:b/>
                  <w:szCs w:val="24"/>
                </w:rPr>
              </w:pPr>
              <w:sdt>
                <w:sdtPr>
                  <w:alias w:val="Pavadinimas"/>
                  <w:tag w:val="title_99e00b14262b42adb2b6a81a775ffec0"/>
                  <w:lock w:val="sdtLocked"/>
                  <w:richText/>
                </w:sdtPr>
                <w:sdtContent>
                  <w:r>
                    <w:rPr>
                      <w:b/>
                      <w:szCs w:val="24"/>
                    </w:rPr>
                    <w:t>Telšių krizių centre suteiktų paslaugų ir gavėjų 2015─2016 m. statistika</w:t>
                  </w:r>
                </w:sdtContent>
              </w:sdt>
            </w:p>
            <w:tbl>
              <w:tblPr>
                <w:tblW w:w="10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3825"/>
                <w:gridCol w:w="992"/>
                <w:gridCol w:w="851"/>
                <w:gridCol w:w="992"/>
                <w:gridCol w:w="992"/>
                <w:gridCol w:w="992"/>
                <w:gridCol w:w="993"/>
              </w:tblGrid>
              <w:tr>
                <w:tc>
                  <w:tcPr>
                    <w:tcW w:w="534"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b/>
                        <w:sz w:val="20"/>
                      </w:rPr>
                    </w:pPr>
                    <w:r>
                      <w:rPr>
                        <w:b/>
                        <w:sz w:val="20"/>
                      </w:rPr>
                      <w:t>Eil. Nr.</w:t>
                    </w:r>
                  </w:p>
                </w:tc>
                <w:tc>
                  <w:tcPr>
                    <w:tcW w:w="3827"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b/>
                        <w:sz w:val="20"/>
                      </w:rPr>
                    </w:pPr>
                    <w:r>
                      <w:rPr>
                        <w:b/>
                        <w:sz w:val="20"/>
                      </w:rPr>
                      <w:t>Paslaugos pavadinimas</w:t>
                    </w:r>
                  </w:p>
                </w:tc>
                <w:tc>
                  <w:tcPr>
                    <w:tcW w:w="1843"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b/>
                        <w:sz w:val="20"/>
                      </w:rPr>
                    </w:pPr>
                    <w:r>
                      <w:rPr>
                        <w:b/>
                        <w:sz w:val="20"/>
                      </w:rPr>
                      <w:t>Gavėjai,</w:t>
                    </w:r>
                  </w:p>
                  <w:p>
                    <w:pPr>
                      <w:jc w:val="center"/>
                      <w:rPr>
                        <w:b/>
                        <w:sz w:val="20"/>
                      </w:rPr>
                    </w:pPr>
                    <w:r>
                      <w:rPr>
                        <w:b/>
                        <w:sz w:val="20"/>
                      </w:rPr>
                      <w:t>asmenys</w:t>
                    </w:r>
                  </w:p>
                </w:tc>
                <w:tc>
                  <w:tcPr>
                    <w:tcW w:w="1984"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b/>
                        <w:sz w:val="20"/>
                      </w:rPr>
                    </w:pPr>
                    <w:r>
                      <w:rPr>
                        <w:b/>
                        <w:sz w:val="20"/>
                      </w:rPr>
                      <w:t xml:space="preserve">Suteikta paslaugų, </w:t>
                    </w:r>
                  </w:p>
                  <w:p>
                    <w:pPr>
                      <w:jc w:val="center"/>
                      <w:rPr>
                        <w:b/>
                        <w:sz w:val="20"/>
                      </w:rPr>
                    </w:pPr>
                    <w:r>
                      <w:rPr>
                        <w:b/>
                        <w:sz w:val="20"/>
                      </w:rPr>
                      <w:t>vnt. / kartai</w:t>
                    </w:r>
                  </w:p>
                </w:tc>
                <w:tc>
                  <w:tcPr>
                    <w:tcW w:w="1985"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b/>
                        <w:sz w:val="20"/>
                      </w:rPr>
                    </w:pPr>
                    <w:r>
                      <w:rPr>
                        <w:b/>
                        <w:sz w:val="20"/>
                      </w:rPr>
                      <w:t>Surinkta lėšų,</w:t>
                    </w:r>
                  </w:p>
                  <w:p>
                    <w:pPr>
                      <w:jc w:val="center"/>
                      <w:rPr>
                        <w:b/>
                        <w:sz w:val="20"/>
                      </w:rPr>
                    </w:pPr>
                    <w:r>
                      <w:rPr>
                        <w:b/>
                        <w:sz w:val="20"/>
                      </w:rPr>
                      <w:t>tūkst. Eur</w:t>
                    </w:r>
                  </w:p>
                </w:tc>
              </w:tr>
              <w:tr>
                <w:tc>
                  <w:tcPr>
                    <w:tcW w:w="8188"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3827"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b/>
                        <w:sz w:val="20"/>
                      </w:rPr>
                    </w:pPr>
                    <w:r>
                      <w:rPr>
                        <w:b/>
                        <w:sz w:val="20"/>
                      </w:rPr>
                      <w:t>2015</w:t>
                    </w:r>
                  </w:p>
                </w:tc>
                <w:tc>
                  <w:tcPr>
                    <w:tcW w:w="851" w:type="dxa"/>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b/>
                        <w:sz w:val="20"/>
                      </w:rPr>
                    </w:pPr>
                    <w:r>
                      <w:rPr>
                        <w:b/>
                        <w:sz w:val="20"/>
                      </w:rPr>
                      <w:t xml:space="preserve">2016 </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b/>
                        <w:sz w:val="20"/>
                      </w:rPr>
                    </w:pPr>
                    <w:r>
                      <w:rPr>
                        <w:b/>
                        <w:sz w:val="20"/>
                      </w:rPr>
                      <w:t>2015</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pPr>
                      <w:ind w:left="-521" w:firstLine="521"/>
                      <w:jc w:val="center"/>
                      <w:rPr>
                        <w:b/>
                        <w:sz w:val="20"/>
                      </w:rPr>
                    </w:pPr>
                    <w:r>
                      <w:rPr>
                        <w:b/>
                        <w:sz w:val="20"/>
                      </w:rPr>
                      <w:t>2016</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b/>
                        <w:sz w:val="20"/>
                      </w:rPr>
                    </w:pPr>
                    <w:r>
                      <w:rPr>
                        <w:b/>
                        <w:sz w:val="20"/>
                      </w:rPr>
                      <w:t>2015</w:t>
                    </w:r>
                  </w:p>
                </w:tc>
                <w:tc>
                  <w:tcPr>
                    <w:tcW w:w="993" w:type="dxa"/>
                    <w:tcBorders>
                      <w:top w:val="single" w:sz="4" w:space="0" w:color="auto"/>
                      <w:left w:val="single" w:sz="4" w:space="0" w:color="auto"/>
                      <w:bottom w:val="single" w:sz="4" w:space="0" w:color="auto"/>
                      <w:right w:val="single" w:sz="4" w:space="0" w:color="auto"/>
                    </w:tcBorders>
                    <w:shd w:val="clear" w:color="auto" w:fill="D9D9D9"/>
                    <w:hideMark/>
                  </w:tcPr>
                  <w:p>
                    <w:pPr>
                      <w:jc w:val="center"/>
                      <w:rPr>
                        <w:b/>
                        <w:sz w:val="20"/>
                      </w:rPr>
                    </w:pPr>
                    <w:r>
                      <w:rPr>
                        <w:b/>
                        <w:sz w:val="20"/>
                      </w:rPr>
                      <w:t>2016</w:t>
                    </w:r>
                  </w:p>
                </w:tc>
              </w:tr>
              <w:tr>
                <w:trPr>
                  <w:trHeight w:val="357"/>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w:t>
                    </w:r>
                  </w:p>
                </w:tc>
                <w:tc>
                  <w:tcPr>
                    <w:tcW w:w="3827"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Psichologinė pagalba vaikui ir šeimai</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 xml:space="preserve">300 </w:t>
                    </w:r>
                  </w:p>
                </w:tc>
                <w:tc>
                  <w:tcPr>
                    <w:tcW w:w="851"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264</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1500</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1320</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48,9</w:t>
                    </w:r>
                  </w:p>
                </w:tc>
                <w:tc>
                  <w:tcPr>
                    <w:tcW w:w="993" w:type="dxa"/>
                    <w:tcBorders>
                      <w:top w:val="single" w:sz="4" w:space="0" w:color="auto"/>
                      <w:left w:val="single" w:sz="4" w:space="0" w:color="auto"/>
                      <w:bottom w:val="single" w:sz="4" w:space="0" w:color="auto"/>
                      <w:right w:val="single" w:sz="4" w:space="0" w:color="auto"/>
                    </w:tcBorders>
                    <w:hideMark/>
                  </w:tcPr>
                  <w:p>
                    <w:pPr>
                      <w:jc w:val="center"/>
                      <w:rPr>
                        <w:sz w:val="20"/>
                        <w:highlight w:val="red"/>
                      </w:rPr>
                    </w:pPr>
                    <w:r>
                      <w:rPr>
                        <w:sz w:val="20"/>
                      </w:rPr>
                      <w:t>40,8</w:t>
                    </w:r>
                  </w:p>
                </w:tc>
              </w:tr>
              <w:tr>
                <w:tc>
                  <w:tcPr>
                    <w:tcW w:w="818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3827"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Intensyvi krizių įveika</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8</w:t>
                    </w:r>
                  </w:p>
                </w:tc>
                <w:tc>
                  <w:tcPr>
                    <w:tcW w:w="851"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14</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340</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1120</w:t>
                    </w: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jc w:val="center"/>
                      <w:rPr>
                        <w:sz w:val="20"/>
                        <w:highlight w:val="red"/>
                      </w:rPr>
                    </w:pPr>
                  </w:p>
                </w:tc>
              </w:tr>
              <w:tr>
                <w:tc>
                  <w:tcPr>
                    <w:tcW w:w="53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w:t>
                    </w:r>
                  </w:p>
                </w:tc>
                <w:tc>
                  <w:tcPr>
                    <w:tcW w:w="3827"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Emocinė parama suaugusiems „Vilties linija“ telefonu, iš jų:</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17942</w:t>
                    </w:r>
                  </w:p>
                </w:tc>
                <w:tc>
                  <w:tcPr>
                    <w:tcW w:w="851"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18695</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5999</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5923</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27,4</w:t>
                    </w:r>
                  </w:p>
                </w:tc>
                <w:tc>
                  <w:tcPr>
                    <w:tcW w:w="993"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26,567</w:t>
                    </w:r>
                  </w:p>
                </w:tc>
              </w:tr>
              <w:tr>
                <w:trPr>
                  <w:trHeight w:val="404"/>
                </w:trPr>
                <w:tc>
                  <w:tcPr>
                    <w:tcW w:w="534"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center"/>
                      <w:rPr>
                        <w:sz w:val="20"/>
                      </w:rPr>
                    </w:pPr>
                    <w:r>
                      <w:rPr>
                        <w:sz w:val="20"/>
                      </w:rPr>
                      <w:t>2.1.</w:t>
                    </w:r>
                  </w:p>
                </w:tc>
                <w:tc>
                  <w:tcPr>
                    <w:tcW w:w="382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sz w:val="20"/>
                      </w:rPr>
                    </w:pPr>
                    <w:r>
                      <w:rPr>
                        <w:sz w:val="20"/>
                      </w:rPr>
                      <w:t>esantiems krizėje ir turintiems suicidinių minčių</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center"/>
                      <w:rPr>
                        <w:sz w:val="20"/>
                      </w:rPr>
                    </w:pPr>
                    <w:r>
                      <w:rPr>
                        <w:sz w:val="20"/>
                      </w:rPr>
                      <w:t>964</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center"/>
                      <w:rPr>
                        <w:sz w:val="20"/>
                      </w:rPr>
                    </w:pPr>
                    <w:r>
                      <w:rPr>
                        <w:sz w:val="20"/>
                      </w:rPr>
                      <w:t>2675</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center"/>
                      <w:rPr>
                        <w:sz w:val="20"/>
                      </w:rPr>
                    </w:pPr>
                    <w:r>
                      <w:rPr>
                        <w:sz w:val="20"/>
                      </w:rPr>
                      <w:t>964</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center"/>
                      <w:rPr>
                        <w:sz w:val="20"/>
                      </w:rPr>
                    </w:pPr>
                    <w:r>
                      <w:rPr>
                        <w:sz w:val="20"/>
                      </w:rPr>
                      <w:t>2675</w:t>
                    </w: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3" w:type="dxa"/>
                    <w:tcBorders>
                      <w:top w:val="single" w:sz="4" w:space="0" w:color="auto"/>
                      <w:left w:val="single" w:sz="4" w:space="0" w:color="auto"/>
                      <w:bottom w:val="single" w:sz="4" w:space="0" w:color="auto"/>
                      <w:right w:val="single" w:sz="4" w:space="0" w:color="auto"/>
                    </w:tcBorders>
                    <w:shd w:val="clear" w:color="auto" w:fill="D9D9D9"/>
                  </w:tcPr>
                  <w:p>
                    <w:pPr>
                      <w:jc w:val="center"/>
                      <w:rPr>
                        <w:sz w:val="20"/>
                        <w:highlight w:val="red"/>
                      </w:rPr>
                    </w:pPr>
                  </w:p>
                </w:tc>
              </w:tr>
              <w:tr>
                <w:tc>
                  <w:tcPr>
                    <w:tcW w:w="53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3.</w:t>
                    </w:r>
                  </w:p>
                </w:tc>
                <w:tc>
                  <w:tcPr>
                    <w:tcW w:w="3827"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Psichologinė pagalba vaikui ir šeimai, patyrusiems smurtą</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101</w:t>
                    </w:r>
                  </w:p>
                </w:tc>
                <w:tc>
                  <w:tcPr>
                    <w:tcW w:w="851"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172</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368</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526</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12,2</w:t>
                    </w:r>
                  </w:p>
                </w:tc>
                <w:tc>
                  <w:tcPr>
                    <w:tcW w:w="993" w:type="dxa"/>
                    <w:tcBorders>
                      <w:top w:val="single" w:sz="4" w:space="0" w:color="auto"/>
                      <w:left w:val="single" w:sz="4" w:space="0" w:color="auto"/>
                      <w:bottom w:val="single" w:sz="4" w:space="0" w:color="auto"/>
                      <w:right w:val="single" w:sz="4" w:space="0" w:color="auto"/>
                    </w:tcBorders>
                    <w:hideMark/>
                  </w:tcPr>
                  <w:p>
                    <w:pPr>
                      <w:jc w:val="center"/>
                      <w:rPr>
                        <w:sz w:val="20"/>
                        <w:highlight w:val="red"/>
                      </w:rPr>
                    </w:pPr>
                    <w:r>
                      <w:rPr>
                        <w:sz w:val="20"/>
                      </w:rPr>
                      <w:t>11,0</w:t>
                    </w:r>
                  </w:p>
                </w:tc>
              </w:tr>
              <w:tr>
                <w:tc>
                  <w:tcPr>
                    <w:tcW w:w="53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4.</w:t>
                    </w:r>
                  </w:p>
                </w:tc>
                <w:tc>
                  <w:tcPr>
                    <w:tcW w:w="3827"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Specializuota kompleksinė pagalba nukentėjusiems nuo smurto artimoje aplinkoje (SPC) Telšių apskrityje</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721</w:t>
                    </w:r>
                  </w:p>
                </w:tc>
                <w:tc>
                  <w:tcPr>
                    <w:tcW w:w="851"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645</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2824</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3611</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15,0</w:t>
                    </w:r>
                  </w:p>
                </w:tc>
                <w:tc>
                  <w:tcPr>
                    <w:tcW w:w="993" w:type="dxa"/>
                    <w:tcBorders>
                      <w:top w:val="single" w:sz="4" w:space="0" w:color="auto"/>
                      <w:left w:val="single" w:sz="4" w:space="0" w:color="auto"/>
                      <w:bottom w:val="single" w:sz="4" w:space="0" w:color="auto"/>
                      <w:right w:val="single" w:sz="4" w:space="0" w:color="auto"/>
                    </w:tcBorders>
                    <w:hideMark/>
                  </w:tcPr>
                  <w:p>
                    <w:pPr>
                      <w:jc w:val="center"/>
                      <w:rPr>
                        <w:sz w:val="20"/>
                        <w:highlight w:val="red"/>
                      </w:rPr>
                    </w:pPr>
                    <w:r>
                      <w:rPr>
                        <w:sz w:val="20"/>
                      </w:rPr>
                      <w:t>37,470</w:t>
                    </w:r>
                  </w:p>
                </w:tc>
              </w:tr>
              <w:tr>
                <w:tc>
                  <w:tcPr>
                    <w:tcW w:w="534" w:type="dxa"/>
                    <w:tcBorders>
                      <w:top w:val="single" w:sz="4" w:space="0" w:color="auto"/>
                      <w:left w:val="single" w:sz="4" w:space="0" w:color="auto"/>
                      <w:bottom w:val="single" w:sz="4" w:space="0" w:color="auto"/>
                      <w:right w:val="single" w:sz="4" w:space="0" w:color="auto"/>
                    </w:tcBorders>
                    <w:shd w:val="clear" w:color="auto" w:fill="FFFFFF"/>
                    <w:vAlign w:val="center"/>
                  </w:tcPr>
                  <w:p>
                    <w:pPr>
                      <w:jc w:val="center"/>
                      <w:rPr>
                        <w:sz w:val="20"/>
                      </w:rPr>
                    </w:pPr>
                  </w:p>
                </w:tc>
                <w:tc>
                  <w:tcPr>
                    <w:tcW w:w="382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sz w:val="20"/>
                      </w:rPr>
                    </w:pPr>
                    <w:r>
                      <w:rPr>
                        <w:sz w:val="20"/>
                      </w:rPr>
                      <w:t>iš jų Telšių rajone</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firstLine="371"/>
                      <w:rPr>
                        <w:sz w:val="20"/>
                      </w:rPr>
                    </w:pPr>
                    <w:r>
                      <w:rPr>
                        <w:sz w:val="20"/>
                      </w:rPr>
                      <w:t>280</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center"/>
                      <w:rPr>
                        <w:sz w:val="20"/>
                      </w:rPr>
                    </w:pPr>
                    <w:r>
                      <w:rPr>
                        <w:sz w:val="20"/>
                      </w:rPr>
                      <w:t>239</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center"/>
                      <w:rPr>
                        <w:sz w:val="20"/>
                      </w:rPr>
                    </w:pPr>
                    <w:r>
                      <w:rPr>
                        <w:sz w:val="20"/>
                      </w:rPr>
                      <w:t>1400</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center"/>
                      <w:rPr>
                        <w:sz w:val="20"/>
                      </w:rPr>
                    </w:pPr>
                    <w:r>
                      <w:rPr>
                        <w:sz w:val="20"/>
                      </w:rPr>
                      <w:t>1388</w:t>
                    </w: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3" w:type="dxa"/>
                    <w:tcBorders>
                      <w:top w:val="single" w:sz="4" w:space="0" w:color="auto"/>
                      <w:left w:val="single" w:sz="4" w:space="0" w:color="auto"/>
                      <w:bottom w:val="single" w:sz="4" w:space="0" w:color="auto"/>
                      <w:right w:val="single" w:sz="4" w:space="0" w:color="auto"/>
                    </w:tcBorders>
                    <w:shd w:val="clear" w:color="auto" w:fill="D9D9D9"/>
                  </w:tcPr>
                  <w:p>
                    <w:pPr>
                      <w:jc w:val="center"/>
                      <w:rPr>
                        <w:sz w:val="20"/>
                        <w:highlight w:val="red"/>
                      </w:rPr>
                    </w:pPr>
                  </w:p>
                </w:tc>
              </w:tr>
              <w:tr>
                <w:tc>
                  <w:tcPr>
                    <w:tcW w:w="53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5.</w:t>
                    </w:r>
                  </w:p>
                </w:tc>
                <w:tc>
                  <w:tcPr>
                    <w:tcW w:w="3827"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Švietėjiška akcija smurto artimoje aplinkoje prevencijai vykdyti</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110</w:t>
                    </w:r>
                  </w:p>
                </w:tc>
                <w:tc>
                  <w:tcPr>
                    <w:tcW w:w="851"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120</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6</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6</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1,5</w:t>
                    </w:r>
                  </w:p>
                </w:tc>
                <w:tc>
                  <w:tcPr>
                    <w:tcW w:w="993" w:type="dxa"/>
                    <w:tcBorders>
                      <w:top w:val="single" w:sz="4" w:space="0" w:color="auto"/>
                      <w:left w:val="single" w:sz="4" w:space="0" w:color="auto"/>
                      <w:bottom w:val="single" w:sz="4" w:space="0" w:color="auto"/>
                      <w:right w:val="single" w:sz="4" w:space="0" w:color="auto"/>
                    </w:tcBorders>
                    <w:hideMark/>
                  </w:tcPr>
                  <w:p>
                    <w:pPr>
                      <w:jc w:val="center"/>
                      <w:rPr>
                        <w:sz w:val="20"/>
                        <w:highlight w:val="red"/>
                      </w:rPr>
                    </w:pPr>
                    <w:r>
                      <w:rPr>
                        <w:sz w:val="20"/>
                      </w:rPr>
                      <w:t>11,182</w:t>
                    </w:r>
                  </w:p>
                </w:tc>
              </w:tr>
              <w:tr>
                <w:tc>
                  <w:tcPr>
                    <w:tcW w:w="53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6.</w:t>
                    </w:r>
                  </w:p>
                </w:tc>
                <w:tc>
                  <w:tcPr>
                    <w:tcW w:w="3827"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Smurtinio elgesio korekcinė programa</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32</w:t>
                    </w:r>
                  </w:p>
                </w:tc>
                <w:tc>
                  <w:tcPr>
                    <w:tcW w:w="851"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59</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6</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6</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1,669</w:t>
                    </w:r>
                  </w:p>
                </w:tc>
                <w:tc>
                  <w:tcPr>
                    <w:tcW w:w="993" w:type="dxa"/>
                    <w:tcBorders>
                      <w:top w:val="single" w:sz="4" w:space="0" w:color="auto"/>
                      <w:left w:val="single" w:sz="4" w:space="0" w:color="auto"/>
                      <w:bottom w:val="single" w:sz="4" w:space="0" w:color="auto"/>
                      <w:right w:val="single" w:sz="4" w:space="0" w:color="auto"/>
                    </w:tcBorders>
                    <w:hideMark/>
                  </w:tcPr>
                  <w:p>
                    <w:pPr>
                      <w:jc w:val="center"/>
                      <w:rPr>
                        <w:sz w:val="20"/>
                        <w:highlight w:val="red"/>
                      </w:rPr>
                    </w:pPr>
                    <w:r>
                      <w:rPr>
                        <w:sz w:val="20"/>
                      </w:rPr>
                      <w:t>3,078</w:t>
                    </w:r>
                  </w:p>
                </w:tc>
              </w:tr>
              <w:tr>
                <w:tc>
                  <w:tcPr>
                    <w:tcW w:w="53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3827"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2 proc. gyv. Pajamų mokestis</w:t>
                    </w:r>
                  </w:p>
                </w:tc>
                <w:tc>
                  <w:tcPr>
                    <w:tcW w:w="99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0,931</w:t>
                    </w:r>
                  </w:p>
                </w:tc>
                <w:tc>
                  <w:tcPr>
                    <w:tcW w:w="993"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0,559</w:t>
                    </w:r>
                  </w:p>
                </w:tc>
              </w:tr>
              <w:tr>
                <w:tc>
                  <w:tcPr>
                    <w:tcW w:w="8188" w:type="dxa"/>
                    <w:gridSpan w:val="6"/>
                    <w:tcBorders>
                      <w:top w:val="single" w:sz="4" w:space="0" w:color="auto"/>
                      <w:left w:val="single" w:sz="4" w:space="0" w:color="auto"/>
                      <w:bottom w:val="single" w:sz="4" w:space="0" w:color="auto"/>
                      <w:right w:val="single" w:sz="4" w:space="0" w:color="auto"/>
                    </w:tcBorders>
                    <w:shd w:val="clear" w:color="auto" w:fill="D9D9D9"/>
                    <w:vAlign w:val="center"/>
                    <w:hideMark/>
                  </w:tcPr>
                  <w:p>
                    <w:pPr>
                      <w:jc w:val="right"/>
                      <w:rPr>
                        <w:b/>
                        <w:sz w:val="20"/>
                      </w:rPr>
                    </w:pPr>
                    <w:r>
                      <w:rPr>
                        <w:b/>
                        <w:sz w:val="20"/>
                      </w:rPr>
                      <w:t xml:space="preserve">Iš viso: </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b/>
                        <w:sz w:val="20"/>
                      </w:rPr>
                    </w:pPr>
                    <w:r>
                      <w:rPr>
                        <w:b/>
                        <w:sz w:val="20"/>
                      </w:rPr>
                      <w:t>107,6</w:t>
                    </w:r>
                  </w:p>
                </w:tc>
                <w:tc>
                  <w:tcPr>
                    <w:tcW w:w="993" w:type="dxa"/>
                    <w:tcBorders>
                      <w:top w:val="single" w:sz="4" w:space="0" w:color="auto"/>
                      <w:left w:val="single" w:sz="4" w:space="0" w:color="auto"/>
                      <w:bottom w:val="single" w:sz="4" w:space="0" w:color="auto"/>
                      <w:right w:val="single" w:sz="4" w:space="0" w:color="auto"/>
                    </w:tcBorders>
                    <w:shd w:val="clear" w:color="auto" w:fill="D9D9D9"/>
                    <w:hideMark/>
                  </w:tcPr>
                  <w:p>
                    <w:pPr>
                      <w:rPr>
                        <w:b/>
                        <w:sz w:val="20"/>
                        <w:highlight w:val="red"/>
                      </w:rPr>
                    </w:pPr>
                    <w:r>
                      <w:rPr>
                        <w:b/>
                        <w:sz w:val="20"/>
                      </w:rPr>
                      <w:t>130,656</w:t>
                    </w:r>
                  </w:p>
                </w:tc>
              </w:tr>
            </w:tbl>
            <w:p>
              <w:pPr>
                <w:jc w:val="center"/>
                <w:rPr>
                  <w:b/>
                  <w:szCs w:val="24"/>
                </w:rPr>
              </w:pPr>
            </w:p>
            <w:p>
              <w:pPr>
                <w:tabs>
                  <w:tab w:val="left" w:pos="709"/>
                </w:tabs>
                <w:ind w:right="-144" w:firstLine="720"/>
                <w:jc w:val="both"/>
                <w:rPr>
                  <w:szCs w:val="24"/>
                </w:rPr>
              </w:pPr>
              <w:r>
                <w:rPr>
                  <w:szCs w:val="24"/>
                </w:rPr>
                <w:t xml:space="preserve">Centras aktyviai dalyvauja projektinėje veikloje ir 2016 m. įgyvendino Socialinės apsaugos ir darbo ministerijos finansuojamus projektus. Projekte „Emocinės paramos suaugusiems Vilties linijos  telefonu veiklos organizavimas“ dirbo 4 darbuotojai vidutiniškai po 105 val. / mėn., iš jų 1 įdarbintas ir gauta 4,06 tūkst. Eur subsidija iš Telšių darbo biržos.</w:t>
              </w:r>
            </w:p>
            <w:p>
              <w:pPr>
                <w:tabs>
                  <w:tab w:val="left" w:pos="709"/>
                </w:tabs>
                <w:ind w:right="-144" w:firstLine="720"/>
                <w:jc w:val="both"/>
                <w:rPr>
                  <w:szCs w:val="24"/>
                </w:rPr>
              </w:pPr>
              <w:r>
                <w:rPr>
                  <w:szCs w:val="24"/>
                </w:rPr>
                <w:t xml:space="preserve">Pagal Apsaugos nuo smurto artimoje aplinkoje įstatymą vykdomas projektas  „Specializuotos pagalbos centro veiklos vykdymas Telšių apskrityje 2016-2018 m.“  Šio projekto veiklas vykdė  8 darbuotojai vidutiniškai po 67,5 val./mėn.  Projekte „Telšių krizių centro pagalba Žemaitijos vaikams 2016─2018 m.“ dirbo 5 darbuotojai vidutiniškai po 23 val. / mėn. Projektams įgyvendinti  iš SADM  gauta 70,977 tūkst. Eur. Projektinė veikla bus tęsiama ir 2017 m. </w:t>
              </w:r>
            </w:p>
            <w:p>
              <w:pPr>
                <w:tabs>
                  <w:tab w:val="left" w:pos="709"/>
                </w:tabs>
                <w:ind w:right="-144" w:firstLine="720"/>
                <w:jc w:val="both"/>
                <w:rPr>
                  <w:szCs w:val="24"/>
                </w:rPr>
              </w:pPr>
              <w:r>
                <w:rPr>
                  <w:szCs w:val="24"/>
                </w:rPr>
                <w:t xml:space="preserve">Iš Savivaldybės biudžeto 07 socialinės programos 09 priemonei vykdyti 2016 m. skirta 40,8 tūkst. Eur, projektinei veiklai  pritraukta 70,977 tūkst. Eur.  Gauta pajamų iš veiklos  - 14,26 tūkst. Eur, gyventojai pervedė 2 proc. -  0,559 tūkst. Eur. Projektų vykdymui  papildomai įdarbinta  12 specialistų. </w:t>
              </w:r>
              <w:r>
                <w:rPr>
                  <w:szCs w:val="24"/>
                  <w:vertAlign w:val="superscript"/>
                </w:rPr>
                <w:footnoteReference w:id="13"/>
              </w:r>
              <w:r>
                <w:rPr>
                  <w:szCs w:val="24"/>
                </w:rPr>
                <w:t xml:space="preserve"> </w:t>
              </w:r>
            </w:p>
            <w:p>
              <w:pPr>
                <w:tabs>
                  <w:tab w:val="left" w:pos="709"/>
                </w:tabs>
                <w:ind w:firstLine="720"/>
                <w:jc w:val="both"/>
                <w:rPr>
                  <w:szCs w:val="24"/>
                </w:rPr>
              </w:pPr>
            </w:p>
            <w:sdt>
              <w:sdtPr>
                <w:alias w:val="4.2.2.8 pp."/>
                <w:tag w:val="part_d21b539a25194982909d4c216dfff3c0"/>
                <w:lock w:val="sdtLocked"/>
                <w:richText/>
              </w:sdtPr>
              <w:sdtContent>
                <w:p>
                  <w:pPr>
                    <w:ind w:left="1701" w:hanging="850"/>
                    <w:outlineLvl w:val="2"/>
                    <w:rPr>
                      <w:b/>
                      <w:szCs w:val="24"/>
                    </w:rPr>
                  </w:pPr>
                  <w:sdt>
                    <w:sdtPr>
                      <w:alias w:val="Numeris"/>
                      <w:tag w:val="nr_d21b539a25194982909d4c216dfff3c0"/>
                      <w:lock w:val="sdtLocked"/>
                      <w:richText/>
                    </w:sdtPr>
                    <w:sdtContent>
                      <w:r>
                        <w:rPr>
                          <w:b/>
                          <w:szCs w:val="24"/>
                        </w:rPr>
                        <w:t>4.2.2.8</w:t>
                      </w:r>
                    </w:sdtContent>
                  </w:sdt>
                  <w:r>
                    <w:rPr>
                      <w:b/>
                      <w:szCs w:val="24"/>
                    </w:rPr>
                    <w:t>.</w:t>
                    <w:tab/>
                    <w:t>Neįgaliųjų socialinė įmonė „Soneima“</w:t>
                  </w:r>
                </w:p>
                <w:p>
                  <w:pPr>
                    <w:ind w:firstLine="851"/>
                    <w:outlineLvl w:val="2"/>
                    <w:rPr>
                      <w:b/>
                      <w:szCs w:val="24"/>
                    </w:rPr>
                  </w:pPr>
                </w:p>
                <w:p>
                  <w:pPr>
                    <w:ind w:firstLine="851"/>
                    <w:jc w:val="both"/>
                    <w:rPr>
                      <w:szCs w:val="24"/>
                    </w:rPr>
                  </w:pPr>
                  <w:r>
                    <w:rPr>
                      <w:bCs/>
                      <w:iCs/>
                      <w:szCs w:val="24"/>
                    </w:rPr>
                    <w:t xml:space="preserve">Neįgaliųjų socialinė įmonė </w:t>
                  </w:r>
                  <w:r>
                    <w:rPr>
                      <w:szCs w:val="24"/>
                    </w:rPr>
                    <w:t xml:space="preserve">„Soneima“ (toliau tekste ─ „Soneima“) organizuoja darbinę veiklą neįgaliems asmenims bei vykdo įtėvių ir globėjų kursus. Yra vykdomos tokios darbinės veiklos: vizitinių kortelių ir atvirukų gamyba, bylų įrišimas, dovanų pakavimas, įvairių šventinių aksesuarų gamyba, avalynės taisymas, veido priežiūros paslaugos, medžio dirbinių gamyba. </w:t>
                  </w:r>
                  <w:r>
                    <w:rPr>
                      <w:bCs/>
                      <w:iCs/>
                      <w:szCs w:val="24"/>
                    </w:rPr>
                    <w:t xml:space="preserve">Įmonėje </w:t>
                  </w:r>
                  <w:r>
                    <w:rPr>
                      <w:szCs w:val="24"/>
                    </w:rPr>
                    <w:t>dirba 33 darbuotojai, iš jų 29 neįgalūs asmenys. Patvirtinti 26 darbuotojo etatai. Įmonėje yra po vieną direktoriaus, socialinio darbuotojo, dizaino specialisto, graviruotojo, pardavėjo, veido priežiūros specialisto, medienos apdirbėjo etatą. Taip pat yra po 0,5 personalo ir dokumentų tvarkymo specialisto, maketuotojo, kūriko-vairuotojo etato, valytojo etato; po 0,75 administratoriaus, buhalterio, dailininko, audėjo etato; 1,75 medžių dirbinių gamintojo etato; 2 batsiuvio etatai; 2,25 vadybininko etato; 3 vaizdo kamerų stebėtojo etatai; 3,75 meno dirbinių gamintojų etato.</w:t>
                  </w:r>
                </w:p>
                <w:p>
                  <w:pPr>
                    <w:tabs>
                      <w:tab w:val="left" w:pos="851"/>
                    </w:tabs>
                    <w:ind w:firstLine="851"/>
                    <w:jc w:val="both"/>
                    <w:rPr>
                      <w:szCs w:val="24"/>
                    </w:rPr>
                  </w:pPr>
                  <w:r>
                    <w:rPr>
                      <w:szCs w:val="24"/>
                    </w:rPr>
                    <w:t xml:space="preserve">Įmonės asignavimus sudaro Savivaldybės biudžeto lėšos, Lietuvos Respublikos finansų ministerijos lėšos ir gaunamos darbinės pajamos.  „Soneima“ 2016 m. lėšas iš Telšių rajono savivaldybės biudžeto sudarė 47,6 tūkst. Eur,</w:t>
                  </w:r>
                  <w:r>
                    <w:rPr>
                      <w:szCs w:val="24"/>
                      <w:vertAlign w:val="superscript"/>
                    </w:rPr>
                    <w:footnoteReference w:id="14"/>
                  </w:r>
                  <w:r>
                    <w:rPr>
                      <w:szCs w:val="24"/>
                    </w:rPr>
                    <w:t xml:space="preserve">iš jų 19 tūkst. Globos šeimoje ir bendruomenėje skatinimas, globėjų (rūpintojų) bei įtėvių rengimo programos vykdymui ir 28,6 tūkst. Eur,  Socialinės paramos įgyvendinimui. 2016 m. parduota produkcijos už 43,6 tūkst. Eur, gauta 84,2 tūkst. Eur subsidija neįgaliųjų darbo užmokesčiui ir valstybinio socialinio draudimo įmokoms, transporto išlaidų daliniam kompensavimui iš Lietuvos Respublikos finansų ministerijos. Iš viso planuojamas 2017 m. biudžetas ─ 36,5 tūkst. Eur iš Telšių rajono savivaldybės biudžeto ir 86,5 tūkst. Eur iš Lietuvos Respublikos finansų ministerijos.</w:t>
                  </w:r>
                </w:p>
                <w:p>
                  <w:pPr>
                    <w:tabs>
                      <w:tab w:val="left" w:pos="851"/>
                    </w:tabs>
                    <w:ind w:firstLine="851"/>
                    <w:jc w:val="both"/>
                    <w:rPr>
                      <w:bCs/>
                      <w:iCs/>
                      <w:szCs w:val="24"/>
                    </w:rPr>
                  </w:pPr>
                  <w:r>
                    <w:rPr>
                      <w:szCs w:val="24"/>
                    </w:rPr>
                    <w:t xml:space="preserve">Įmonėje tam, kad būtų galima teikti kuo įvairesnes paslaugas ir didinti gaminamos produkcijos asortimentą, reikalinga įsteigti naują darbo vietą ir nupirkti naują siuvimo mašiną avalynei taisyti. Būtų galima įdarbinti dar 5 neįgaliuosius. </w:t>
                  </w:r>
                </w:p>
                <w:p>
                  <w:pPr>
                    <w:ind w:firstLine="851"/>
                    <w:jc w:val="both"/>
                    <w:rPr>
                      <w:bCs/>
                      <w:iCs/>
                      <w:szCs w:val="24"/>
                    </w:rPr>
                  </w:pPr>
                </w:p>
              </w:sdtContent>
            </w:sdt>
            <w:sdt>
              <w:sdtPr>
                <w:alias w:val="4.2.2.9 pp."/>
                <w:tag w:val="part_18b5d57fc5004676af64cde0a16e1d87"/>
                <w:lock w:val="sdtLocked"/>
                <w:richText/>
              </w:sdtPr>
              <w:sdtContent>
                <w:p>
                  <w:pPr>
                    <w:ind w:left="1701" w:hanging="850"/>
                    <w:outlineLvl w:val="3"/>
                    <w:rPr>
                      <w:b/>
                      <w:szCs w:val="24"/>
                    </w:rPr>
                  </w:pPr>
                  <w:sdt>
                    <w:sdtPr>
                      <w:alias w:val="Numeris"/>
                      <w:tag w:val="nr_18b5d57fc5004676af64cde0a16e1d87"/>
                      <w:lock w:val="sdtLocked"/>
                      <w:richText/>
                    </w:sdtPr>
                    <w:sdtContent>
                      <w:r>
                        <w:rPr>
                          <w:b/>
                          <w:szCs w:val="24"/>
                        </w:rPr>
                        <w:t>4.2.2.9</w:t>
                      </w:r>
                    </w:sdtContent>
                  </w:sdt>
                  <w:r>
                    <w:rPr>
                      <w:b/>
                      <w:szCs w:val="24"/>
                    </w:rPr>
                    <w:t>.</w:t>
                    <w:tab/>
                    <w:t>Telšių rajono nevyriausybinės organizacijos, teikiančios socialines paslaugas</w:t>
                  </w:r>
                </w:p>
                <w:p>
                  <w:pPr>
                    <w:ind w:left="1701"/>
                    <w:outlineLvl w:val="3"/>
                    <w:rPr>
                      <w:b/>
                      <w:szCs w:val="24"/>
                    </w:rPr>
                  </w:pPr>
                </w:p>
                <w:p>
                  <w:pPr>
                    <w:ind w:firstLine="709"/>
                    <w:jc w:val="both"/>
                    <w:rPr>
                      <w:rFonts w:ascii="Times New Roman,Bold" w:hAnsi="Times New Roman,Bold" w:cs="Times New Roman,Bold"/>
                      <w:b/>
                      <w:bCs/>
                      <w:szCs w:val="24"/>
                      <w:lang w:eastAsia="lt-LT"/>
                    </w:rPr>
                  </w:pPr>
                  <w:r>
                    <w:rPr>
                      <w:bCs/>
                      <w:iCs/>
                      <w:szCs w:val="24"/>
                    </w:rPr>
                    <w:t xml:space="preserve">Telšių rajone yra įregistruota 21 socialinę veiklą vykdanti nevyriausybinė organizacija (toliau tekste ─ NVO), iš jų 10 veikia itin aktyviai. Tai </w:t>
                  </w:r>
                  <w:r>
                    <w:rPr>
                      <w:bCs/>
                      <w:szCs w:val="24"/>
                      <w:lang w:eastAsia="lt-LT"/>
                    </w:rPr>
                    <w:t xml:space="preserve">Lietuvos aklųjų ir silpnaregių sąjungos Telšių rajono filialas, Telšių sutrikusios psichikos žmonių globos bendrija, Telšių rajono neįgaliųjų draugija, Telšių kurčiųjų ir neprigirdinčiųjų draugija, Telšių neįgaliųjų ir neįgalių pensininkų draugija, </w:t>
                  </w:r>
                  <w:r>
                    <w:rPr>
                      <w:szCs w:val="24"/>
                      <w:lang w:eastAsia="lt-LT"/>
                    </w:rPr>
                    <w:t>Lietuvos neįgaliųjų ir pensininkų bendrija,</w:t>
                  </w:r>
                  <w:r>
                    <w:rPr>
                      <w:bCs/>
                      <w:iCs/>
                      <w:szCs w:val="24"/>
                    </w:rPr>
                    <w:t xml:space="preserve"> T</w:t>
                  </w:r>
                  <w:r>
                    <w:rPr>
                      <w:bCs/>
                      <w:szCs w:val="24"/>
                      <w:lang w:eastAsia="lt-LT"/>
                    </w:rPr>
                    <w:t>elšių vyskupijos „Caritas“, Lietuvos Raudonojo Kryžiaus draugijos Telšių skyrius, Telšių dekanato Šeimos centras,</w:t>
                  </w:r>
                  <w:r>
                    <w:rPr>
                      <w:szCs w:val="24"/>
                      <w:lang w:eastAsia="lt-LT"/>
                    </w:rPr>
                    <w:t xml:space="preserve"> Asociacija „Mes šeima“. Veiklą taip pat vykdo </w:t>
                  </w:r>
                  <w:r>
                    <w:rPr>
                      <w:bCs/>
                      <w:szCs w:val="24"/>
                      <w:lang w:eastAsia="lt-LT"/>
                    </w:rPr>
                    <w:t xml:space="preserve">Telšių diabetikų bendrija „Dia Telšiai“, Telšių Šv. Antano Paduviečio Kolpingo šeima, Sutrikusio intelekto žmonių globos bendrija „Viltis“, Lietuvos pensininkų sąjungos „Bočiai“ Telšių skyrius, Asociacija „TELŠIŲ BIČIULIŲ RATAS“, Telšių moterų bendrija „AKVALINA“, </w:t>
                  </w:r>
                  <w:r>
                    <w:rPr>
                      <w:szCs w:val="24"/>
                      <w:lang w:eastAsia="lt-LT"/>
                    </w:rPr>
                    <w:t>Asociacija „Telšių mamyčių klubas“, ir kitos organizacijos.</w:t>
                  </w:r>
                </w:p>
                <w:p>
                  <w:pPr>
                    <w:ind w:firstLine="720"/>
                    <w:jc w:val="both"/>
                    <w:rPr>
                      <w:szCs w:val="24"/>
                    </w:rPr>
                  </w:pPr>
                  <w:r>
                    <w:rPr>
                      <w:bCs/>
                      <w:iCs/>
                      <w:szCs w:val="24"/>
                    </w:rPr>
                    <w:t xml:space="preserve">Pagrindinė šių organizacijų veikla yra bendrųjų socialinių paslaugų teikimas ar atskirų asmenų grupių užimtumo organizavimas. Specialiųjų socialinių paslaugų teikime Telšių rajono NVO nedalyvauja. 2014 m. buvo atlikta NVO ir bendruomenių apklausa, siekiant išsiaiškinti šių organizacijų galimybes bei siekius </w:t>
                  </w:r>
                  <w:r>
                    <w:rPr>
                      <w:szCs w:val="24"/>
                    </w:rPr>
                    <w:t xml:space="preserve">teikti socialines paslaugas ir nustatyti socialinių paslaugų teikimo Telšių rajone vystymo galimybes. Nustatyta, kad dauguma </w:t>
                  </w:r>
                  <w:r>
                    <w:rPr>
                      <w:bCs/>
                      <w:iCs/>
                      <w:szCs w:val="24"/>
                    </w:rPr>
                    <w:t>NVO</w:t>
                  </w:r>
                  <w:r>
                    <w:rPr>
                      <w:szCs w:val="24"/>
                    </w:rPr>
                    <w:t xml:space="preserve"> nėra pasiruošusios teikti socialinės priežiūros ar socialinės globos paslaugas, o bendruomenės mažai žino apie socialinių paslaugų teikimo galimybes. Todėl </w:t>
                  </w:r>
                  <w:r>
                    <w:rPr>
                      <w:bCs/>
                      <w:iCs/>
                      <w:szCs w:val="24"/>
                    </w:rPr>
                    <w:t>NVO</w:t>
                  </w:r>
                  <w:r>
                    <w:rPr>
                      <w:szCs w:val="24"/>
                    </w:rPr>
                    <w:t xml:space="preserve"> ir bendruomenės turėtų į savo veiklas įtraukti daugiau savanorių, didinti organizacijų darbuotojų kompetencijas, aktyviau rašyti socialinius projektus. </w:t>
                  </w:r>
                </w:p>
                <w:p>
                  <w:pPr>
                    <w:ind w:firstLine="720"/>
                    <w:jc w:val="both"/>
                    <w:rPr>
                      <w:szCs w:val="24"/>
                    </w:rPr>
                  </w:pPr>
                  <w:r>
                    <w:rPr>
                      <w:bCs/>
                      <w:iCs/>
                      <w:szCs w:val="24"/>
                    </w:rPr>
                    <w:t>NVO teikiamų bendrųjų socialinių paslaugų kaštai yra mažesni nei biudžetinių įstaigų, o žmonėms šių organizacijų teikiamos paslaugos yra lengviau prieinamos. Pagal pateiktas NVO veikos ataskaitas per 2016 m. įvairias užimtumo ir socialines paslaugas jų organizacijos suteikė 1006 Telšių rajono gyventojams. Žemiau lentelėje pateikiama informacija apie NVO narius ir vykdytą veiklą</w:t>
                  </w:r>
                  <w:r>
                    <w:rPr>
                      <w:szCs w:val="24"/>
                    </w:rPr>
                    <w:t xml:space="preserve"> Telšių rajone.</w:t>
                  </w:r>
                  <w:r>
                    <w:rPr>
                      <w:szCs w:val="24"/>
                      <w:vertAlign w:val="superscript"/>
                    </w:rPr>
                    <w:t xml:space="preserve"> </w:t>
                    <w:footnoteReference w:id="15"/>
                  </w:r>
                </w:p>
              </w:sdtContent>
            </w:sdt>
          </w:sdtContent>
        </w:sdt>
        <w:sdt>
          <w:sdtPr>
            <w:alias w:val="poskyris"/>
            <w:tag w:val="part_47ec3f017e1b44888bccb53c2452f759"/>
            <w:lock w:val="sdtLocked"/>
            <w:richText/>
          </w:sdtPr>
          <w:sdtContent>
            <w:p>
              <w:pPr>
                <w:ind w:firstLine="720"/>
                <w:jc w:val="center"/>
                <w:rPr>
                  <w:b/>
                  <w:szCs w:val="24"/>
                </w:rPr>
              </w:pPr>
              <w:sdt>
                <w:sdtPr>
                  <w:alias w:val="Pavadinimas"/>
                  <w:tag w:val="title_47ec3f017e1b44888bccb53c2452f759"/>
                  <w:lock w:val="sdtLocked"/>
                  <w:richText/>
                </w:sdtPr>
                <w:sdtContent>
                  <w:r>
                    <w:rPr>
                      <w:b/>
                      <w:szCs w:val="24"/>
                    </w:rPr>
                    <w:t xml:space="preserve">2017 m. Socialinės reabilitacijos paslaugų neįgaliesiems bendruomenėje projektuose planuojančių dalyvauti NVO statistika </w:t>
                  </w:r>
                </w:sdtContent>
              </w:sdt>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5"/>
                <w:gridCol w:w="5105"/>
                <w:gridCol w:w="1702"/>
                <w:gridCol w:w="1275"/>
                <w:gridCol w:w="851"/>
              </w:tblGrid>
              <w:tr>
                <w:trPr>
                  <w:trHeight w:val="448"/>
                </w:trPr>
                <w:tc>
                  <w:tcPr>
                    <w:tcW w:w="565" w:type="dxa"/>
                    <w:vMerge w:val="restart"/>
                    <w:shd w:val="pct5" w:color="auto" w:fill="auto"/>
                    <w:vAlign w:val="center"/>
                  </w:tcPr>
                  <w:p>
                    <w:pPr>
                      <w:jc w:val="center"/>
                      <w:rPr>
                        <w:b/>
                        <w:sz w:val="20"/>
                      </w:rPr>
                    </w:pPr>
                    <w:r>
                      <w:rPr>
                        <w:b/>
                        <w:sz w:val="20"/>
                      </w:rPr>
                      <w:t>Eil. Nr.</w:t>
                    </w:r>
                  </w:p>
                </w:tc>
                <w:tc>
                  <w:tcPr>
                    <w:tcW w:w="5105" w:type="dxa"/>
                    <w:vMerge w:val="restart"/>
                    <w:shd w:val="pct5" w:color="auto" w:fill="auto"/>
                    <w:vAlign w:val="center"/>
                  </w:tcPr>
                  <w:p>
                    <w:pPr>
                      <w:jc w:val="center"/>
                      <w:rPr>
                        <w:b/>
                        <w:sz w:val="20"/>
                      </w:rPr>
                    </w:pPr>
                    <w:r>
                      <w:rPr>
                        <w:b/>
                        <w:sz w:val="20"/>
                      </w:rPr>
                      <w:t>Organizacijos pavadinimas</w:t>
                    </w:r>
                  </w:p>
                </w:tc>
                <w:tc>
                  <w:tcPr>
                    <w:tcW w:w="1702" w:type="dxa"/>
                    <w:vMerge w:val="restart"/>
                    <w:shd w:val="pct5" w:color="auto" w:fill="auto"/>
                    <w:vAlign w:val="center"/>
                  </w:tcPr>
                  <w:p>
                    <w:pPr>
                      <w:jc w:val="center"/>
                      <w:rPr>
                        <w:b/>
                        <w:sz w:val="20"/>
                      </w:rPr>
                    </w:pPr>
                    <w:r>
                      <w:rPr>
                        <w:b/>
                        <w:sz w:val="20"/>
                      </w:rPr>
                      <w:t xml:space="preserve">Planuojamas dalyvių skaičius </w:t>
                    </w:r>
                  </w:p>
                </w:tc>
                <w:tc>
                  <w:tcPr>
                    <w:tcW w:w="2126" w:type="dxa"/>
                    <w:gridSpan w:val="2"/>
                    <w:shd w:val="pct5" w:color="auto" w:fill="auto"/>
                    <w:vAlign w:val="center"/>
                  </w:tcPr>
                  <w:p>
                    <w:pPr>
                      <w:jc w:val="center"/>
                      <w:rPr>
                        <w:b/>
                        <w:sz w:val="20"/>
                      </w:rPr>
                    </w:pPr>
                    <w:r>
                      <w:rPr>
                        <w:b/>
                        <w:sz w:val="20"/>
                      </w:rPr>
                      <w:t>2017 m. planuojamos skirti lėšos, Eur</w:t>
                    </w:r>
                  </w:p>
                </w:tc>
              </w:tr>
              <w:tr>
                <w:trPr>
                  <w:trHeight w:val="335"/>
                </w:trPr>
                <w:tc>
                  <w:tcPr>
                    <w:tcW w:w="565" w:type="dxa"/>
                    <w:vMerge/>
                    <w:shd w:val="pct5" w:color="auto" w:fill="auto"/>
                    <w:vAlign w:val="center"/>
                  </w:tcPr>
                  <w:p>
                    <w:pPr>
                      <w:jc w:val="center"/>
                      <w:rPr>
                        <w:b/>
                        <w:szCs w:val="24"/>
                      </w:rPr>
                    </w:pPr>
                  </w:p>
                </w:tc>
                <w:tc>
                  <w:tcPr>
                    <w:tcW w:w="5105" w:type="dxa"/>
                    <w:vMerge/>
                    <w:shd w:val="pct5" w:color="auto" w:fill="auto"/>
                    <w:vAlign w:val="center"/>
                  </w:tcPr>
                  <w:p>
                    <w:pPr>
                      <w:jc w:val="center"/>
                      <w:rPr>
                        <w:b/>
                        <w:szCs w:val="24"/>
                      </w:rPr>
                    </w:pPr>
                  </w:p>
                </w:tc>
                <w:tc>
                  <w:tcPr>
                    <w:tcW w:w="1702" w:type="dxa"/>
                    <w:vMerge/>
                    <w:shd w:val="pct5" w:color="auto" w:fill="auto"/>
                    <w:vAlign w:val="center"/>
                  </w:tcPr>
                  <w:p>
                    <w:pPr>
                      <w:jc w:val="center"/>
                      <w:rPr>
                        <w:b/>
                        <w:szCs w:val="24"/>
                      </w:rPr>
                    </w:pPr>
                  </w:p>
                </w:tc>
                <w:tc>
                  <w:tcPr>
                    <w:tcW w:w="1275" w:type="dxa"/>
                    <w:shd w:val="pct5" w:color="auto" w:fill="auto"/>
                    <w:vAlign w:val="center"/>
                  </w:tcPr>
                  <w:p>
                    <w:pPr>
                      <w:ind w:left="-57"/>
                      <w:jc w:val="center"/>
                      <w:rPr>
                        <w:b/>
                        <w:sz w:val="20"/>
                      </w:rPr>
                    </w:pPr>
                    <w:r>
                      <w:rPr>
                        <w:b/>
                        <w:sz w:val="20"/>
                      </w:rPr>
                      <w:t>VB</w:t>
                    </w:r>
                  </w:p>
                </w:tc>
                <w:tc>
                  <w:tcPr>
                    <w:tcW w:w="851" w:type="dxa"/>
                    <w:shd w:val="pct5" w:color="auto" w:fill="auto"/>
                    <w:vAlign w:val="center"/>
                  </w:tcPr>
                  <w:p>
                    <w:pPr>
                      <w:ind w:left="-57"/>
                      <w:jc w:val="center"/>
                      <w:rPr>
                        <w:b/>
                        <w:sz w:val="20"/>
                      </w:rPr>
                    </w:pPr>
                    <w:r>
                      <w:rPr>
                        <w:b/>
                        <w:sz w:val="20"/>
                      </w:rPr>
                      <w:t>SB</w:t>
                    </w:r>
                  </w:p>
                </w:tc>
              </w:tr>
              <w:tr>
                <w:trPr>
                  <w:trHeight w:val="234"/>
                </w:trPr>
                <w:tc>
                  <w:tcPr>
                    <w:tcW w:w="565" w:type="dxa"/>
                    <w:vAlign w:val="center"/>
                  </w:tcPr>
                  <w:p>
                    <w:pPr>
                      <w:jc w:val="center"/>
                      <w:rPr>
                        <w:sz w:val="20"/>
                      </w:rPr>
                    </w:pPr>
                    <w:r>
                      <w:rPr>
                        <w:sz w:val="20"/>
                      </w:rPr>
                      <w:t>1.</w:t>
                    </w:r>
                  </w:p>
                </w:tc>
                <w:tc>
                  <w:tcPr>
                    <w:tcW w:w="5105" w:type="dxa"/>
                    <w:vAlign w:val="center"/>
                  </w:tcPr>
                  <w:p>
                    <w:pPr>
                      <w:rPr>
                        <w:sz w:val="20"/>
                      </w:rPr>
                    </w:pPr>
                    <w:r>
                      <w:rPr>
                        <w:sz w:val="20"/>
                      </w:rPr>
                      <w:t>Telšių kurčiųjų ir neprigirdinčiųjų draugija</w:t>
                    </w:r>
                  </w:p>
                </w:tc>
                <w:tc>
                  <w:tcPr>
                    <w:tcW w:w="1702" w:type="dxa"/>
                    <w:vAlign w:val="center"/>
                  </w:tcPr>
                  <w:p>
                    <w:pPr>
                      <w:ind w:left="567"/>
                      <w:rPr>
                        <w:sz w:val="20"/>
                      </w:rPr>
                    </w:pPr>
                    <w:r>
                      <w:rPr>
                        <w:sz w:val="20"/>
                      </w:rPr>
                      <w:t>40</w:t>
                    </w:r>
                  </w:p>
                </w:tc>
                <w:tc>
                  <w:tcPr>
                    <w:tcW w:w="1275" w:type="dxa"/>
                    <w:vAlign w:val="center"/>
                  </w:tcPr>
                  <w:p>
                    <w:pPr>
                      <w:jc w:val="center"/>
                      <w:rPr>
                        <w:sz w:val="20"/>
                      </w:rPr>
                    </w:pPr>
                    <w:r>
                      <w:rPr>
                        <w:sz w:val="20"/>
                      </w:rPr>
                      <w:t>9000</w:t>
                    </w:r>
                  </w:p>
                </w:tc>
                <w:tc>
                  <w:tcPr>
                    <w:tcW w:w="851" w:type="dxa"/>
                    <w:vAlign w:val="center"/>
                  </w:tcPr>
                  <w:p>
                    <w:pPr>
                      <w:jc w:val="center"/>
                      <w:rPr>
                        <w:sz w:val="20"/>
                      </w:rPr>
                    </w:pPr>
                    <w:r>
                      <w:rPr>
                        <w:sz w:val="20"/>
                      </w:rPr>
                      <w:t>1800</w:t>
                    </w:r>
                  </w:p>
                </w:tc>
              </w:tr>
              <w:tr>
                <w:trPr>
                  <w:trHeight w:val="241"/>
                </w:trPr>
                <w:tc>
                  <w:tcPr>
                    <w:tcW w:w="565" w:type="dxa"/>
                    <w:vAlign w:val="center"/>
                  </w:tcPr>
                  <w:p>
                    <w:pPr>
                      <w:jc w:val="center"/>
                      <w:rPr>
                        <w:sz w:val="20"/>
                      </w:rPr>
                    </w:pPr>
                    <w:r>
                      <w:rPr>
                        <w:sz w:val="20"/>
                      </w:rPr>
                      <w:t>2.</w:t>
                    </w:r>
                  </w:p>
                </w:tc>
                <w:tc>
                  <w:tcPr>
                    <w:tcW w:w="5105" w:type="dxa"/>
                    <w:vAlign w:val="center"/>
                  </w:tcPr>
                  <w:p>
                    <w:pPr>
                      <w:rPr>
                        <w:sz w:val="20"/>
                      </w:rPr>
                    </w:pPr>
                    <w:r>
                      <w:rPr>
                        <w:sz w:val="20"/>
                      </w:rPr>
                      <w:t>Telšių sutrikusios psichikos žmonių globos bendrija</w:t>
                    </w:r>
                  </w:p>
                </w:tc>
                <w:tc>
                  <w:tcPr>
                    <w:tcW w:w="1702" w:type="dxa"/>
                    <w:vAlign w:val="center"/>
                  </w:tcPr>
                  <w:p>
                    <w:pPr>
                      <w:ind w:left="567"/>
                      <w:rPr>
                        <w:sz w:val="20"/>
                      </w:rPr>
                    </w:pPr>
                    <w:r>
                      <w:rPr>
                        <w:sz w:val="20"/>
                      </w:rPr>
                      <w:t>53</w:t>
                    </w:r>
                  </w:p>
                </w:tc>
                <w:tc>
                  <w:tcPr>
                    <w:tcW w:w="1275" w:type="dxa"/>
                    <w:vAlign w:val="center"/>
                  </w:tcPr>
                  <w:p>
                    <w:pPr>
                      <w:jc w:val="center"/>
                      <w:rPr>
                        <w:sz w:val="20"/>
                      </w:rPr>
                    </w:pPr>
                    <w:r>
                      <w:rPr>
                        <w:sz w:val="20"/>
                      </w:rPr>
                      <w:t>10500</w:t>
                    </w:r>
                  </w:p>
                </w:tc>
                <w:tc>
                  <w:tcPr>
                    <w:tcW w:w="851" w:type="dxa"/>
                    <w:vAlign w:val="center"/>
                  </w:tcPr>
                  <w:p>
                    <w:pPr>
                      <w:jc w:val="center"/>
                      <w:rPr>
                        <w:sz w:val="20"/>
                      </w:rPr>
                    </w:pPr>
                    <w:r>
                      <w:rPr>
                        <w:sz w:val="20"/>
                      </w:rPr>
                      <w:t>2100</w:t>
                    </w:r>
                  </w:p>
                </w:tc>
              </w:tr>
              <w:tr>
                <w:trPr>
                  <w:trHeight w:val="81"/>
                </w:trPr>
                <w:tc>
                  <w:tcPr>
                    <w:tcW w:w="565" w:type="dxa"/>
                    <w:vAlign w:val="center"/>
                  </w:tcPr>
                  <w:p>
                    <w:pPr>
                      <w:jc w:val="center"/>
                      <w:rPr>
                        <w:sz w:val="20"/>
                      </w:rPr>
                    </w:pPr>
                    <w:r>
                      <w:rPr>
                        <w:sz w:val="20"/>
                      </w:rPr>
                      <w:t>3.</w:t>
                    </w:r>
                  </w:p>
                </w:tc>
                <w:tc>
                  <w:tcPr>
                    <w:tcW w:w="5105" w:type="dxa"/>
                    <w:vAlign w:val="center"/>
                  </w:tcPr>
                  <w:p>
                    <w:pPr>
                      <w:rPr>
                        <w:sz w:val="20"/>
                      </w:rPr>
                    </w:pPr>
                    <w:r>
                      <w:rPr>
                        <w:sz w:val="20"/>
                      </w:rPr>
                      <w:t>Telšių rajono neįgaliųjų draugija</w:t>
                    </w:r>
                  </w:p>
                </w:tc>
                <w:tc>
                  <w:tcPr>
                    <w:tcW w:w="1702" w:type="dxa"/>
                    <w:vAlign w:val="center"/>
                  </w:tcPr>
                  <w:p>
                    <w:pPr>
                      <w:ind w:left="567"/>
                      <w:rPr>
                        <w:szCs w:val="24"/>
                      </w:rPr>
                    </w:pPr>
                    <w:r>
                      <w:rPr>
                        <w:sz w:val="20"/>
                      </w:rPr>
                      <w:t>65</w:t>
                    </w:r>
                  </w:p>
                </w:tc>
                <w:tc>
                  <w:tcPr>
                    <w:tcW w:w="1275" w:type="dxa"/>
                    <w:vAlign w:val="center"/>
                  </w:tcPr>
                  <w:p>
                    <w:pPr>
                      <w:jc w:val="center"/>
                      <w:rPr>
                        <w:sz w:val="20"/>
                      </w:rPr>
                    </w:pPr>
                    <w:r>
                      <w:rPr>
                        <w:sz w:val="20"/>
                      </w:rPr>
                      <w:t>7600</w:t>
                    </w:r>
                  </w:p>
                </w:tc>
                <w:tc>
                  <w:tcPr>
                    <w:tcW w:w="851" w:type="dxa"/>
                    <w:vAlign w:val="center"/>
                  </w:tcPr>
                  <w:p>
                    <w:pPr>
                      <w:jc w:val="center"/>
                      <w:rPr>
                        <w:sz w:val="20"/>
                      </w:rPr>
                    </w:pPr>
                    <w:r>
                      <w:rPr>
                        <w:sz w:val="20"/>
                      </w:rPr>
                      <w:t>1500</w:t>
                    </w:r>
                  </w:p>
                </w:tc>
              </w:tr>
              <w:tr>
                <w:trPr>
                  <w:trHeight w:val="50"/>
                </w:trPr>
                <w:tc>
                  <w:tcPr>
                    <w:tcW w:w="565" w:type="dxa"/>
                    <w:vAlign w:val="center"/>
                  </w:tcPr>
                  <w:p>
                    <w:pPr>
                      <w:jc w:val="center"/>
                      <w:rPr>
                        <w:sz w:val="20"/>
                      </w:rPr>
                    </w:pPr>
                    <w:r>
                      <w:rPr>
                        <w:sz w:val="20"/>
                      </w:rPr>
                      <w:t>4.</w:t>
                    </w:r>
                  </w:p>
                </w:tc>
                <w:tc>
                  <w:tcPr>
                    <w:tcW w:w="5105" w:type="dxa"/>
                    <w:vAlign w:val="center"/>
                  </w:tcPr>
                  <w:p>
                    <w:pPr>
                      <w:rPr>
                        <w:sz w:val="20"/>
                      </w:rPr>
                    </w:pPr>
                    <w:r>
                      <w:rPr>
                        <w:sz w:val="20"/>
                      </w:rPr>
                      <w:t>Lietuvos neįgaliųjų ir pensininkų bendrija</w:t>
                    </w:r>
                  </w:p>
                </w:tc>
                <w:tc>
                  <w:tcPr>
                    <w:tcW w:w="1702" w:type="dxa"/>
                    <w:vAlign w:val="center"/>
                  </w:tcPr>
                  <w:p>
                    <w:pPr>
                      <w:ind w:left="567"/>
                      <w:rPr>
                        <w:szCs w:val="24"/>
                      </w:rPr>
                    </w:pPr>
                    <w:r>
                      <w:rPr>
                        <w:sz w:val="20"/>
                      </w:rPr>
                      <w:t>63</w:t>
                    </w:r>
                  </w:p>
                </w:tc>
                <w:tc>
                  <w:tcPr>
                    <w:tcW w:w="1275" w:type="dxa"/>
                    <w:vAlign w:val="center"/>
                  </w:tcPr>
                  <w:p>
                    <w:pPr>
                      <w:jc w:val="center"/>
                      <w:rPr>
                        <w:sz w:val="20"/>
                      </w:rPr>
                    </w:pPr>
                    <w:r>
                      <w:rPr>
                        <w:sz w:val="20"/>
                      </w:rPr>
                      <w:t>5800</w:t>
                    </w:r>
                  </w:p>
                </w:tc>
                <w:tc>
                  <w:tcPr>
                    <w:tcW w:w="851" w:type="dxa"/>
                    <w:vAlign w:val="center"/>
                  </w:tcPr>
                  <w:p>
                    <w:pPr>
                      <w:jc w:val="center"/>
                      <w:rPr>
                        <w:sz w:val="20"/>
                      </w:rPr>
                    </w:pPr>
                    <w:r>
                      <w:rPr>
                        <w:sz w:val="20"/>
                      </w:rPr>
                      <w:t>1200</w:t>
                    </w:r>
                  </w:p>
                </w:tc>
              </w:tr>
              <w:tr>
                <w:trPr>
                  <w:trHeight w:val="113"/>
                </w:trPr>
                <w:tc>
                  <w:tcPr>
                    <w:tcW w:w="565" w:type="dxa"/>
                    <w:vAlign w:val="center"/>
                  </w:tcPr>
                  <w:p>
                    <w:pPr>
                      <w:jc w:val="center"/>
                      <w:rPr>
                        <w:sz w:val="20"/>
                      </w:rPr>
                    </w:pPr>
                    <w:r>
                      <w:rPr>
                        <w:sz w:val="20"/>
                      </w:rPr>
                      <w:t>5.</w:t>
                    </w:r>
                  </w:p>
                </w:tc>
                <w:tc>
                  <w:tcPr>
                    <w:tcW w:w="5105" w:type="dxa"/>
                    <w:vAlign w:val="center"/>
                  </w:tcPr>
                  <w:p>
                    <w:pPr>
                      <w:rPr>
                        <w:sz w:val="20"/>
                      </w:rPr>
                    </w:pPr>
                    <w:r>
                      <w:rPr>
                        <w:sz w:val="20"/>
                      </w:rPr>
                      <w:t>Telšių neįgaliųjų ir neįgalių pensininkų draugija</w:t>
                    </w:r>
                  </w:p>
                </w:tc>
                <w:tc>
                  <w:tcPr>
                    <w:tcW w:w="1702" w:type="dxa"/>
                    <w:vAlign w:val="center"/>
                  </w:tcPr>
                  <w:p>
                    <w:pPr>
                      <w:ind w:left="567"/>
                      <w:rPr>
                        <w:szCs w:val="24"/>
                      </w:rPr>
                    </w:pPr>
                    <w:r>
                      <w:rPr>
                        <w:sz w:val="20"/>
                      </w:rPr>
                      <w:t>53</w:t>
                    </w:r>
                  </w:p>
                </w:tc>
                <w:tc>
                  <w:tcPr>
                    <w:tcW w:w="1275" w:type="dxa"/>
                    <w:vAlign w:val="center"/>
                  </w:tcPr>
                  <w:p>
                    <w:pPr>
                      <w:jc w:val="center"/>
                      <w:rPr>
                        <w:sz w:val="20"/>
                      </w:rPr>
                    </w:pPr>
                    <w:r>
                      <w:rPr>
                        <w:sz w:val="20"/>
                      </w:rPr>
                      <w:t>10600</w:t>
                    </w:r>
                  </w:p>
                </w:tc>
                <w:tc>
                  <w:tcPr>
                    <w:tcW w:w="851" w:type="dxa"/>
                    <w:vAlign w:val="center"/>
                  </w:tcPr>
                  <w:p>
                    <w:pPr>
                      <w:jc w:val="center"/>
                      <w:rPr>
                        <w:sz w:val="20"/>
                      </w:rPr>
                    </w:pPr>
                    <w:r>
                      <w:rPr>
                        <w:sz w:val="20"/>
                      </w:rPr>
                      <w:t>2100</w:t>
                    </w:r>
                  </w:p>
                </w:tc>
              </w:tr>
              <w:tr>
                <w:trPr>
                  <w:trHeight w:val="241"/>
                </w:trPr>
                <w:tc>
                  <w:tcPr>
                    <w:tcW w:w="565" w:type="dxa"/>
                    <w:vAlign w:val="center"/>
                  </w:tcPr>
                  <w:p>
                    <w:pPr>
                      <w:jc w:val="center"/>
                      <w:rPr>
                        <w:sz w:val="20"/>
                      </w:rPr>
                    </w:pPr>
                    <w:r>
                      <w:rPr>
                        <w:sz w:val="20"/>
                      </w:rPr>
                      <w:t>6.</w:t>
                    </w:r>
                  </w:p>
                </w:tc>
                <w:tc>
                  <w:tcPr>
                    <w:tcW w:w="5105" w:type="dxa"/>
                    <w:vAlign w:val="center"/>
                  </w:tcPr>
                  <w:p>
                    <w:pPr>
                      <w:rPr>
                        <w:sz w:val="20"/>
                      </w:rPr>
                    </w:pPr>
                    <w:r>
                      <w:rPr>
                        <w:sz w:val="20"/>
                      </w:rPr>
                      <w:t>Žemaitijos psichikos negalią turinčių žmonių klubas „Telšių atjauta“</w:t>
                    </w:r>
                  </w:p>
                </w:tc>
                <w:tc>
                  <w:tcPr>
                    <w:tcW w:w="1702" w:type="dxa"/>
                    <w:vAlign w:val="center"/>
                  </w:tcPr>
                  <w:p>
                    <w:pPr>
                      <w:ind w:left="567"/>
                      <w:rPr>
                        <w:szCs w:val="24"/>
                      </w:rPr>
                    </w:pPr>
                    <w:r>
                      <w:rPr>
                        <w:sz w:val="20"/>
                      </w:rPr>
                      <w:t>49</w:t>
                    </w:r>
                  </w:p>
                </w:tc>
                <w:tc>
                  <w:tcPr>
                    <w:tcW w:w="1275" w:type="dxa"/>
                    <w:vAlign w:val="center"/>
                  </w:tcPr>
                  <w:p>
                    <w:pPr>
                      <w:ind w:left="-57"/>
                      <w:jc w:val="center"/>
                      <w:rPr>
                        <w:sz w:val="20"/>
                      </w:rPr>
                    </w:pPr>
                    <w:r>
                      <w:rPr>
                        <w:sz w:val="20"/>
                      </w:rPr>
                      <w:t>5800</w:t>
                    </w:r>
                  </w:p>
                </w:tc>
                <w:tc>
                  <w:tcPr>
                    <w:tcW w:w="851" w:type="dxa"/>
                    <w:vAlign w:val="center"/>
                  </w:tcPr>
                  <w:p>
                    <w:pPr>
                      <w:jc w:val="center"/>
                      <w:rPr>
                        <w:sz w:val="20"/>
                      </w:rPr>
                    </w:pPr>
                    <w:r>
                      <w:rPr>
                        <w:sz w:val="20"/>
                      </w:rPr>
                      <w:t>1200</w:t>
                    </w:r>
                  </w:p>
                </w:tc>
              </w:tr>
              <w:tr>
                <w:trPr>
                  <w:trHeight w:val="241"/>
                </w:trPr>
                <w:tc>
                  <w:tcPr>
                    <w:tcW w:w="565" w:type="dxa"/>
                    <w:vAlign w:val="center"/>
                  </w:tcPr>
                  <w:p>
                    <w:pPr>
                      <w:jc w:val="center"/>
                      <w:rPr>
                        <w:sz w:val="20"/>
                      </w:rPr>
                    </w:pPr>
                    <w:r>
                      <w:rPr>
                        <w:sz w:val="20"/>
                      </w:rPr>
                      <w:t>7.</w:t>
                    </w:r>
                  </w:p>
                </w:tc>
                <w:tc>
                  <w:tcPr>
                    <w:tcW w:w="5105" w:type="dxa"/>
                    <w:vAlign w:val="center"/>
                  </w:tcPr>
                  <w:p>
                    <w:pPr>
                      <w:rPr>
                        <w:sz w:val="20"/>
                      </w:rPr>
                    </w:pPr>
                    <w:r>
                      <w:rPr>
                        <w:sz w:val="20"/>
                      </w:rPr>
                      <w:t>VšĮ Klaipėdos ir Telšių regionų aklųjų centras</w:t>
                    </w:r>
                  </w:p>
                </w:tc>
                <w:tc>
                  <w:tcPr>
                    <w:tcW w:w="1702" w:type="dxa"/>
                    <w:vAlign w:val="center"/>
                  </w:tcPr>
                  <w:p>
                    <w:pPr>
                      <w:ind w:left="567"/>
                      <w:rPr>
                        <w:sz w:val="20"/>
                      </w:rPr>
                    </w:pPr>
                    <w:r>
                      <w:rPr>
                        <w:sz w:val="20"/>
                      </w:rPr>
                      <w:t>66</w:t>
                    </w:r>
                  </w:p>
                </w:tc>
                <w:tc>
                  <w:tcPr>
                    <w:tcW w:w="1275" w:type="dxa"/>
                    <w:vAlign w:val="center"/>
                  </w:tcPr>
                  <w:p>
                    <w:pPr>
                      <w:ind w:left="-57"/>
                      <w:jc w:val="center"/>
                      <w:rPr>
                        <w:sz w:val="20"/>
                      </w:rPr>
                    </w:pPr>
                    <w:r>
                      <w:rPr>
                        <w:sz w:val="20"/>
                      </w:rPr>
                      <w:t>9200</w:t>
                    </w:r>
                  </w:p>
                </w:tc>
                <w:tc>
                  <w:tcPr>
                    <w:tcW w:w="851" w:type="dxa"/>
                    <w:vAlign w:val="center"/>
                  </w:tcPr>
                  <w:p>
                    <w:pPr>
                      <w:jc w:val="center"/>
                      <w:rPr>
                        <w:sz w:val="20"/>
                      </w:rPr>
                    </w:pPr>
                    <w:r>
                      <w:rPr>
                        <w:sz w:val="20"/>
                      </w:rPr>
                      <w:t>1800</w:t>
                    </w:r>
                  </w:p>
                </w:tc>
              </w:tr>
              <w:tr>
                <w:trPr>
                  <w:trHeight w:val="241"/>
                </w:trPr>
                <w:tc>
                  <w:tcPr>
                    <w:tcW w:w="565" w:type="dxa"/>
                    <w:vAlign w:val="center"/>
                  </w:tcPr>
                  <w:p>
                    <w:pPr>
                      <w:jc w:val="center"/>
                      <w:rPr>
                        <w:sz w:val="20"/>
                      </w:rPr>
                    </w:pPr>
                  </w:p>
                </w:tc>
                <w:tc>
                  <w:tcPr>
                    <w:tcW w:w="5105" w:type="dxa"/>
                    <w:vAlign w:val="center"/>
                  </w:tcPr>
                  <w:p>
                    <w:pPr>
                      <w:jc w:val="right"/>
                      <w:rPr>
                        <w:sz w:val="20"/>
                      </w:rPr>
                    </w:pPr>
                    <w:r>
                      <w:rPr>
                        <w:b/>
                        <w:sz w:val="20"/>
                      </w:rPr>
                      <w:t>Iš viso</w:t>
                    </w:r>
                  </w:p>
                </w:tc>
                <w:tc>
                  <w:tcPr>
                    <w:tcW w:w="1702" w:type="dxa"/>
                    <w:vAlign w:val="center"/>
                  </w:tcPr>
                  <w:p>
                    <w:pPr>
                      <w:ind w:left="567"/>
                      <w:rPr>
                        <w:b/>
                        <w:sz w:val="20"/>
                      </w:rPr>
                    </w:pPr>
                    <w:r>
                      <w:rPr>
                        <w:b/>
                        <w:sz w:val="20"/>
                      </w:rPr>
                      <w:t>389</w:t>
                    </w:r>
                  </w:p>
                </w:tc>
                <w:tc>
                  <w:tcPr>
                    <w:tcW w:w="1275" w:type="dxa"/>
                    <w:vAlign w:val="center"/>
                  </w:tcPr>
                  <w:p>
                    <w:pPr>
                      <w:jc w:val="center"/>
                      <w:rPr>
                        <w:b/>
                        <w:sz w:val="20"/>
                      </w:rPr>
                    </w:pPr>
                    <w:r>
                      <w:rPr>
                        <w:b/>
                        <w:sz w:val="20"/>
                      </w:rPr>
                      <w:t>58500</w:t>
                    </w:r>
                  </w:p>
                </w:tc>
                <w:tc>
                  <w:tcPr>
                    <w:tcW w:w="851" w:type="dxa"/>
                    <w:vAlign w:val="center"/>
                  </w:tcPr>
                  <w:p>
                    <w:pPr>
                      <w:jc w:val="center"/>
                      <w:rPr>
                        <w:b/>
                        <w:sz w:val="20"/>
                      </w:rPr>
                    </w:pPr>
                    <w:r>
                      <w:rPr>
                        <w:b/>
                        <w:sz w:val="20"/>
                      </w:rPr>
                      <w:t>11700</w:t>
                    </w:r>
                  </w:p>
                </w:tc>
              </w:tr>
            </w:tbl>
            <w:p>
              <w:pPr>
                <w:rPr>
                  <w:szCs w:val="24"/>
                  <w:lang w:eastAsia="ar-SA"/>
                </w:rPr>
              </w:pPr>
            </w:p>
            <w:p>
              <w:pPr>
                <w:rPr>
                  <w:szCs w:val="24"/>
                  <w:lang w:val="en-GB"/>
                </w:rPr>
              </w:pPr>
            </w:p>
            <w:p>
              <w:pPr>
                <w:ind w:firstLine="720"/>
                <w:jc w:val="center"/>
                <w:rPr>
                  <w:b/>
                  <w:szCs w:val="24"/>
                </w:rPr>
              </w:pPr>
            </w:p>
            <w:p>
              <w:pPr>
                <w:ind w:firstLine="720"/>
                <w:jc w:val="center"/>
                <w:rPr>
                  <w:b/>
                  <w:szCs w:val="24"/>
                </w:rPr>
              </w:pPr>
            </w:p>
            <w:p>
              <w:pPr>
                <w:ind w:firstLine="720"/>
                <w:jc w:val="center"/>
                <w:rPr>
                  <w:b/>
                  <w:szCs w:val="24"/>
                </w:rPr>
              </w:pPr>
            </w:p>
          </w:sdtContent>
        </w:sdt>
        <w:sdt>
          <w:sdtPr>
            <w:alias w:val="poskyris"/>
            <w:tag w:val="part_0af727326ea24a5b9973a9cec04fe880"/>
            <w:lock w:val="sdtLocked"/>
            <w:richText/>
          </w:sdtPr>
          <w:sdtContent>
            <w:p>
              <w:pPr>
                <w:ind w:firstLine="720"/>
                <w:jc w:val="center"/>
                <w:rPr>
                  <w:b/>
                  <w:szCs w:val="24"/>
                </w:rPr>
              </w:pPr>
              <w:sdt>
                <w:sdtPr>
                  <w:alias w:val="Pavadinimas"/>
                  <w:tag w:val="title_0af727326ea24a5b9973a9cec04fe880"/>
                  <w:lock w:val="sdtLocked"/>
                  <w:richText/>
                </w:sdtPr>
                <w:sdtContent>
                  <w:r>
                    <w:rPr>
                      <w:b/>
                      <w:szCs w:val="24"/>
                    </w:rPr>
                    <w:t xml:space="preserve">Socialiniuose projektuose dalyvaujančių NVO statistika </w:t>
                  </w:r>
                </w:sdtContent>
              </w:sdt>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1843"/>
                <w:gridCol w:w="1417"/>
                <w:gridCol w:w="3261"/>
                <w:gridCol w:w="2551"/>
              </w:tblGrid>
              <w:tr>
                <w:trPr>
                  <w:trHeight w:val="926"/>
                </w:trPr>
                <w:tc>
                  <w:tcPr>
                    <w:tcW w:w="567" w:type="dxa"/>
                    <w:shd w:val="pct5" w:color="auto" w:fill="auto"/>
                    <w:vAlign w:val="center"/>
                  </w:tcPr>
                  <w:p>
                    <w:pPr>
                      <w:jc w:val="center"/>
                      <w:rPr>
                        <w:b/>
                        <w:sz w:val="20"/>
                      </w:rPr>
                    </w:pPr>
                    <w:r>
                      <w:rPr>
                        <w:b/>
                        <w:sz w:val="20"/>
                      </w:rPr>
                      <w:t>Eil. Nr.</w:t>
                    </w:r>
                  </w:p>
                </w:tc>
                <w:tc>
                  <w:tcPr>
                    <w:tcW w:w="1843" w:type="dxa"/>
                    <w:shd w:val="pct5" w:color="auto" w:fill="auto"/>
                    <w:vAlign w:val="center"/>
                  </w:tcPr>
                  <w:p>
                    <w:pPr>
                      <w:jc w:val="center"/>
                      <w:rPr>
                        <w:b/>
                        <w:sz w:val="20"/>
                      </w:rPr>
                    </w:pPr>
                    <w:r>
                      <w:rPr>
                        <w:b/>
                        <w:sz w:val="20"/>
                      </w:rPr>
                      <w:t>Organizacijos pavadinimas</w:t>
                    </w:r>
                  </w:p>
                </w:tc>
                <w:tc>
                  <w:tcPr>
                    <w:tcW w:w="1417" w:type="dxa"/>
                    <w:shd w:val="pct5" w:color="auto" w:fill="auto"/>
                    <w:vAlign w:val="center"/>
                  </w:tcPr>
                  <w:p>
                    <w:pPr>
                      <w:ind w:left="-57"/>
                      <w:jc w:val="center"/>
                      <w:rPr>
                        <w:b/>
                        <w:sz w:val="20"/>
                      </w:rPr>
                    </w:pPr>
                    <w:r>
                      <w:rPr>
                        <w:b/>
                        <w:sz w:val="20"/>
                      </w:rPr>
                      <w:t xml:space="preserve">Dalyvių ar organizacijos narių  skaičius</w:t>
                    </w:r>
                  </w:p>
                </w:tc>
                <w:tc>
                  <w:tcPr>
                    <w:tcW w:w="3261" w:type="dxa"/>
                    <w:shd w:val="pct5" w:color="auto" w:fill="auto"/>
                    <w:vAlign w:val="center"/>
                  </w:tcPr>
                  <w:p>
                    <w:pPr>
                      <w:jc w:val="center"/>
                      <w:rPr>
                        <w:b/>
                        <w:sz w:val="20"/>
                      </w:rPr>
                    </w:pPr>
                    <w:r>
                      <w:rPr>
                        <w:b/>
                        <w:sz w:val="20"/>
                      </w:rPr>
                      <w:t>Teikiamos paslaugos</w:t>
                    </w:r>
                  </w:p>
                </w:tc>
                <w:tc>
                  <w:tcPr>
                    <w:tcW w:w="2551" w:type="dxa"/>
                    <w:shd w:val="pct5" w:color="auto" w:fill="auto"/>
                    <w:vAlign w:val="center"/>
                  </w:tcPr>
                  <w:p>
                    <w:pPr>
                      <w:jc w:val="center"/>
                      <w:rPr>
                        <w:b/>
                        <w:sz w:val="20"/>
                      </w:rPr>
                    </w:pPr>
                    <w:r>
                      <w:rPr>
                        <w:b/>
                        <w:sz w:val="20"/>
                      </w:rPr>
                      <w:t>2016 m. vykdyti projektai</w:t>
                    </w:r>
                  </w:p>
                </w:tc>
              </w:tr>
              <w:tr>
                <w:trPr>
                  <w:trHeight w:val="335"/>
                </w:trPr>
                <w:tc>
                  <w:tcPr>
                    <w:tcW w:w="567" w:type="dxa"/>
                    <w:shd w:val="clear" w:color="auto" w:fill="auto"/>
                    <w:vAlign w:val="center"/>
                  </w:tcPr>
                  <w:p>
                    <w:pPr>
                      <w:jc w:val="center"/>
                      <w:rPr>
                        <w:sz w:val="20"/>
                      </w:rPr>
                    </w:pPr>
                    <w:r>
                      <w:rPr>
                        <w:sz w:val="20"/>
                      </w:rPr>
                      <w:t>2.</w:t>
                    </w:r>
                  </w:p>
                </w:tc>
                <w:tc>
                  <w:tcPr>
                    <w:tcW w:w="1843" w:type="dxa"/>
                    <w:shd w:val="clear" w:color="auto" w:fill="auto"/>
                    <w:vAlign w:val="center"/>
                  </w:tcPr>
                  <w:p>
                    <w:pPr>
                      <w:rPr>
                        <w:sz w:val="20"/>
                      </w:rPr>
                    </w:pPr>
                    <w:r>
                      <w:rPr>
                        <w:sz w:val="20"/>
                      </w:rPr>
                      <w:t>Telšių kurčiųjų ir neprigirdinčiųjų draugija</w:t>
                    </w:r>
                  </w:p>
                  <w:p>
                    <w:pPr>
                      <w:rPr>
                        <w:sz w:val="20"/>
                      </w:rPr>
                    </w:pPr>
                  </w:p>
                </w:tc>
                <w:tc>
                  <w:tcPr>
                    <w:tcW w:w="1417" w:type="dxa"/>
                    <w:shd w:val="clear" w:color="auto" w:fill="auto"/>
                    <w:vAlign w:val="center"/>
                  </w:tcPr>
                  <w:p>
                    <w:pPr>
                      <w:ind w:left="-57"/>
                      <w:jc w:val="center"/>
                      <w:rPr>
                        <w:sz w:val="20"/>
                      </w:rPr>
                    </w:pPr>
                    <w:r>
                      <w:rPr>
                        <w:sz w:val="20"/>
                      </w:rPr>
                      <w:t>100 klausos negalią turinčių asmenų</w:t>
                    </w:r>
                  </w:p>
                </w:tc>
                <w:tc>
                  <w:tcPr>
                    <w:tcW w:w="3261" w:type="dxa"/>
                    <w:shd w:val="clear" w:color="auto" w:fill="auto"/>
                    <w:vAlign w:val="center"/>
                  </w:tcPr>
                  <w:p>
                    <w:pPr>
                      <w:rPr>
                        <w:sz w:val="20"/>
                      </w:rPr>
                    </w:pPr>
                    <w:r>
                      <w:rPr>
                        <w:sz w:val="20"/>
                      </w:rPr>
                      <w:t>Informavimas, konsultavimas, tarpininkavimas, vertimas iš gestų kalbos, atstovavimas, laisvalaikio organizavimas.</w:t>
                    </w:r>
                  </w:p>
                </w:tc>
                <w:tc>
                  <w:tcPr>
                    <w:tcW w:w="2551" w:type="dxa"/>
                    <w:shd w:val="clear" w:color="auto" w:fill="auto"/>
                    <w:vAlign w:val="center"/>
                  </w:tcPr>
                  <w:p>
                    <w:pPr>
                      <w:rPr>
                        <w:sz w:val="20"/>
                      </w:rPr>
                    </w:pPr>
                    <w:r>
                      <w:rPr>
                        <w:sz w:val="20"/>
                      </w:rPr>
                      <w:t>1. Telšių rajono žmonių, turinčių klausos sutrikimus, socialinės integracijos programa;</w:t>
                    </w:r>
                  </w:p>
                  <w:p>
                    <w:pPr>
                      <w:rPr>
                        <w:sz w:val="20"/>
                      </w:rPr>
                    </w:pPr>
                    <w:r>
                      <w:rPr>
                        <w:sz w:val="20"/>
                      </w:rPr>
                      <w:t>2 „Kalėdų belaukiant“.</w:t>
                    </w:r>
                  </w:p>
                </w:tc>
              </w:tr>
              <w:tr>
                <w:trPr>
                  <w:trHeight w:val="335"/>
                </w:trPr>
                <w:tc>
                  <w:tcPr>
                    <w:tcW w:w="567" w:type="dxa"/>
                    <w:shd w:val="clear" w:color="auto" w:fill="auto"/>
                    <w:vAlign w:val="center"/>
                  </w:tcPr>
                  <w:p>
                    <w:pPr>
                      <w:jc w:val="center"/>
                      <w:rPr>
                        <w:sz w:val="20"/>
                      </w:rPr>
                    </w:pPr>
                    <w:r>
                      <w:rPr>
                        <w:sz w:val="20"/>
                      </w:rPr>
                      <w:t>5.</w:t>
                    </w:r>
                  </w:p>
                </w:tc>
                <w:tc>
                  <w:tcPr>
                    <w:tcW w:w="1843" w:type="dxa"/>
                    <w:shd w:val="clear" w:color="auto" w:fill="auto"/>
                    <w:vAlign w:val="center"/>
                  </w:tcPr>
                  <w:p>
                    <w:pPr>
                      <w:rPr>
                        <w:sz w:val="20"/>
                      </w:rPr>
                    </w:pPr>
                    <w:r>
                      <w:rPr>
                        <w:sz w:val="20"/>
                      </w:rPr>
                      <w:t>Telšių neįgaliųjų ir neįgalių pensininkų draugija</w:t>
                    </w:r>
                  </w:p>
                </w:tc>
                <w:tc>
                  <w:tcPr>
                    <w:tcW w:w="1417" w:type="dxa"/>
                    <w:shd w:val="clear" w:color="auto" w:fill="auto"/>
                    <w:vAlign w:val="center"/>
                  </w:tcPr>
                  <w:p>
                    <w:pPr>
                      <w:ind w:left="-113"/>
                      <w:jc w:val="center"/>
                      <w:rPr>
                        <w:sz w:val="20"/>
                      </w:rPr>
                    </w:pPr>
                    <w:r>
                      <w:rPr>
                        <w:sz w:val="20"/>
                      </w:rPr>
                      <w:t>162 draugijos nariai</w:t>
                    </w:r>
                  </w:p>
                </w:tc>
                <w:tc>
                  <w:tcPr>
                    <w:tcW w:w="3261" w:type="dxa"/>
                    <w:shd w:val="clear" w:color="auto" w:fill="auto"/>
                    <w:vAlign w:val="center"/>
                  </w:tcPr>
                  <w:p>
                    <w:pPr>
                      <w:rPr>
                        <w:sz w:val="20"/>
                      </w:rPr>
                    </w:pPr>
                    <w:r>
                      <w:rPr>
                        <w:sz w:val="20"/>
                      </w:rPr>
                      <w:t>Informavimas, konsultavimas, ir atstovavimas, asmeninio asistento pagalba, užimtumas amatų būreliuose, meninių gebėjimų lavinimas.</w:t>
                    </w:r>
                  </w:p>
                </w:tc>
                <w:tc>
                  <w:tcPr>
                    <w:tcW w:w="2551" w:type="dxa"/>
                    <w:shd w:val="clear" w:color="auto" w:fill="auto"/>
                    <w:vAlign w:val="center"/>
                  </w:tcPr>
                  <w:p>
                    <w:pPr>
                      <w:rPr>
                        <w:sz w:val="20"/>
                      </w:rPr>
                    </w:pPr>
                    <w:r>
                      <w:rPr>
                        <w:sz w:val="20"/>
                      </w:rPr>
                      <w:t>„Mūsų muzikos diena“</w:t>
                    </w:r>
                  </w:p>
                </w:tc>
              </w:tr>
              <w:tr>
                <w:trPr>
                  <w:trHeight w:val="1389"/>
                </w:trPr>
                <w:tc>
                  <w:tcPr>
                    <w:tcW w:w="567" w:type="dxa"/>
                    <w:shd w:val="clear" w:color="auto" w:fill="auto"/>
                    <w:vAlign w:val="center"/>
                  </w:tcPr>
                  <w:p>
                    <w:pPr>
                      <w:jc w:val="center"/>
                      <w:rPr>
                        <w:sz w:val="20"/>
                      </w:rPr>
                    </w:pPr>
                    <w:r>
                      <w:rPr>
                        <w:sz w:val="20"/>
                      </w:rPr>
                      <w:t>6.</w:t>
                    </w:r>
                  </w:p>
                </w:tc>
                <w:tc>
                  <w:tcPr>
                    <w:tcW w:w="1843" w:type="dxa"/>
                    <w:shd w:val="clear" w:color="auto" w:fill="auto"/>
                    <w:vAlign w:val="center"/>
                  </w:tcPr>
                  <w:p>
                    <w:pPr>
                      <w:rPr>
                        <w:sz w:val="20"/>
                      </w:rPr>
                    </w:pPr>
                    <w:r>
                      <w:rPr>
                        <w:sz w:val="20"/>
                        <w:lang w:eastAsia="lt-LT"/>
                      </w:rPr>
                      <w:t xml:space="preserve">Lietuvos Raudonojo Kryžiaus  draugijos Telšių skyrius</w:t>
                    </w:r>
                  </w:p>
                </w:tc>
                <w:tc>
                  <w:tcPr>
                    <w:tcW w:w="1417" w:type="dxa"/>
                    <w:shd w:val="clear" w:color="auto" w:fill="auto"/>
                    <w:vAlign w:val="center"/>
                  </w:tcPr>
                  <w:p>
                    <w:pPr>
                      <w:ind w:left="-113" w:right="-113"/>
                      <w:jc w:val="center"/>
                      <w:rPr>
                        <w:sz w:val="20"/>
                      </w:rPr>
                    </w:pPr>
                    <w:r>
                      <w:rPr>
                        <w:sz w:val="20"/>
                      </w:rPr>
                      <w:t>45 draugijos nariai-savanoriai</w:t>
                    </w:r>
                  </w:p>
                </w:tc>
                <w:tc>
                  <w:tcPr>
                    <w:tcW w:w="3261" w:type="dxa"/>
                    <w:shd w:val="clear" w:color="auto" w:fill="auto"/>
                    <w:vAlign w:val="center"/>
                  </w:tcPr>
                  <w:p>
                    <w:pPr>
                      <w:rPr>
                        <w:sz w:val="20"/>
                      </w:rPr>
                    </w:pPr>
                    <w:r>
                      <w:rPr>
                        <w:sz w:val="20"/>
                      </w:rPr>
                      <w:t>Aprūpinimas dėvėta kompensacine technika, parama dėvėtais drabužiais, pirmosios medicininės pagalbos mokymai, įvairių paramos akcijų ir asmenų užimtumo organizavimas, darbas su jaunimu.</w:t>
                    </w:r>
                  </w:p>
                </w:tc>
                <w:tc>
                  <w:tcPr>
                    <w:tcW w:w="2551" w:type="dxa"/>
                    <w:shd w:val="clear" w:color="auto" w:fill="auto"/>
                    <w:vAlign w:val="center"/>
                  </w:tcPr>
                  <w:p>
                    <w:pPr>
                      <w:rPr>
                        <w:sz w:val="20"/>
                        <w:lang w:eastAsia="lt-LT"/>
                      </w:rPr>
                    </w:pPr>
                    <w:r>
                      <w:rPr>
                        <w:sz w:val="20"/>
                      </w:rPr>
                      <w:t>1.</w:t>
                    </w:r>
                    <w:r>
                      <w:rPr>
                        <w:sz w:val="20"/>
                        <w:lang w:eastAsia="lt-LT"/>
                      </w:rPr>
                      <w:t xml:space="preserve"> LRKD Telšių socialinės paramos ir užimtumo centras;</w:t>
                    </w:r>
                  </w:p>
                  <w:p>
                    <w:pPr>
                      <w:ind w:hanging="2"/>
                      <w:rPr>
                        <w:sz w:val="20"/>
                      </w:rPr>
                    </w:pPr>
                    <w:r>
                      <w:rPr>
                        <w:sz w:val="20"/>
                        <w:lang w:eastAsia="lt-LT"/>
                      </w:rPr>
                      <w:t>2. Kalėdinis gerumo dešimtadienis „Dalinkimės Kalėdų šiluma“.</w:t>
                    </w:r>
                  </w:p>
                </w:tc>
              </w:tr>
              <w:tr>
                <w:trPr>
                  <w:trHeight w:val="335"/>
                </w:trPr>
                <w:tc>
                  <w:tcPr>
                    <w:tcW w:w="567" w:type="dxa"/>
                    <w:shd w:val="clear" w:color="auto" w:fill="auto"/>
                    <w:vAlign w:val="center"/>
                  </w:tcPr>
                  <w:p>
                    <w:pPr>
                      <w:jc w:val="center"/>
                      <w:rPr>
                        <w:sz w:val="20"/>
                      </w:rPr>
                    </w:pPr>
                    <w:r>
                      <w:rPr>
                        <w:sz w:val="20"/>
                      </w:rPr>
                      <w:t>7.</w:t>
                    </w:r>
                  </w:p>
                </w:tc>
                <w:tc>
                  <w:tcPr>
                    <w:tcW w:w="1843" w:type="dxa"/>
                    <w:shd w:val="clear" w:color="auto" w:fill="auto"/>
                    <w:vAlign w:val="center"/>
                  </w:tcPr>
                  <w:p>
                    <w:pPr>
                      <w:rPr>
                        <w:sz w:val="20"/>
                      </w:rPr>
                    </w:pPr>
                    <w:r>
                      <w:rPr>
                        <w:sz w:val="20"/>
                        <w:lang w:eastAsia="lt-LT"/>
                      </w:rPr>
                      <w:t xml:space="preserve">Žemaitijos psichikos negalią turinčių žmonių klubas „Telšių atjauta“ </w:t>
                    </w:r>
                  </w:p>
                </w:tc>
                <w:tc>
                  <w:tcPr>
                    <w:tcW w:w="1417" w:type="dxa"/>
                    <w:shd w:val="clear" w:color="auto" w:fill="auto"/>
                    <w:vAlign w:val="center"/>
                  </w:tcPr>
                  <w:p>
                    <w:pPr>
                      <w:jc w:val="center"/>
                      <w:rPr>
                        <w:sz w:val="20"/>
                      </w:rPr>
                    </w:pPr>
                    <w:r>
                      <w:rPr>
                        <w:sz w:val="20"/>
                      </w:rPr>
                      <w:t>66 klubo nariai</w:t>
                    </w:r>
                  </w:p>
                </w:tc>
                <w:tc>
                  <w:tcPr>
                    <w:tcW w:w="3261" w:type="dxa"/>
                    <w:shd w:val="clear" w:color="auto" w:fill="auto"/>
                    <w:vAlign w:val="center"/>
                  </w:tcPr>
                  <w:p>
                    <w:pPr>
                      <w:rPr>
                        <w:sz w:val="20"/>
                      </w:rPr>
                    </w:pPr>
                    <w:r>
                      <w:rPr>
                        <w:sz w:val="20"/>
                      </w:rPr>
                      <w:t>Informavimas, konsultavimas, pagalba psichinę negalią turintiems asmenims ir jų šeimoms.</w:t>
                    </w:r>
                  </w:p>
                </w:tc>
                <w:tc>
                  <w:tcPr>
                    <w:tcW w:w="2551" w:type="dxa"/>
                    <w:shd w:val="clear" w:color="auto" w:fill="auto"/>
                    <w:vAlign w:val="center"/>
                  </w:tcPr>
                  <w:p>
                    <w:pPr>
                      <w:ind w:left="34"/>
                      <w:rPr>
                        <w:sz w:val="20"/>
                        <w:lang w:eastAsia="lt-LT"/>
                      </w:rPr>
                    </w:pPr>
                    <w:r>
                      <w:rPr>
                        <w:sz w:val="20"/>
                      </w:rPr>
                      <w:t>1. „Tobulėkime kartu</w:t>
                    </w:r>
                    <w:r>
                      <w:rPr>
                        <w:sz w:val="20"/>
                        <w:lang w:val="en-GB"/>
                      </w:rPr>
                      <w:t>“;</w:t>
                    </w:r>
                  </w:p>
                  <w:p>
                    <w:pPr>
                      <w:rPr>
                        <w:sz w:val="20"/>
                      </w:rPr>
                    </w:pPr>
                    <w:r>
                      <w:rPr>
                        <w:bCs/>
                        <w:color w:val="000000"/>
                        <w:sz w:val="20"/>
                        <w:lang w:val="en-GB"/>
                      </w:rPr>
                      <w:t>2. „Pagražinkime mūsų Telšius„</w:t>
                    </w:r>
                  </w:p>
                </w:tc>
              </w:tr>
              <w:tr>
                <w:trPr>
                  <w:trHeight w:val="335"/>
                </w:trPr>
                <w:tc>
                  <w:tcPr>
                    <w:tcW w:w="567" w:type="dxa"/>
                    <w:shd w:val="clear" w:color="auto" w:fill="auto"/>
                    <w:vAlign w:val="center"/>
                  </w:tcPr>
                  <w:p>
                    <w:pPr>
                      <w:jc w:val="center"/>
                      <w:rPr>
                        <w:sz w:val="20"/>
                      </w:rPr>
                    </w:pPr>
                  </w:p>
                </w:tc>
                <w:tc>
                  <w:tcPr>
                    <w:tcW w:w="1843" w:type="dxa"/>
                    <w:shd w:val="clear" w:color="auto" w:fill="auto"/>
                    <w:vAlign w:val="center"/>
                  </w:tcPr>
                  <w:p>
                    <w:pPr>
                      <w:rPr>
                        <w:sz w:val="20"/>
                        <w:lang w:val="en-GB"/>
                      </w:rPr>
                    </w:pPr>
                    <w:r>
                      <w:rPr>
                        <w:sz w:val="20"/>
                        <w:lang w:val="en-GB"/>
                      </w:rPr>
                      <w:t>Globėjų (rūpintojų) ir įtėvių asociacija „Mes šeima“</w:t>
                    </w:r>
                  </w:p>
                  <w:p>
                    <w:pPr>
                      <w:rPr>
                        <w:sz w:val="20"/>
                        <w:lang w:eastAsia="lt-LT"/>
                      </w:rPr>
                    </w:pPr>
                  </w:p>
                </w:tc>
                <w:tc>
                  <w:tcPr>
                    <w:tcW w:w="1417" w:type="dxa"/>
                    <w:shd w:val="clear" w:color="auto" w:fill="auto"/>
                    <w:vAlign w:val="center"/>
                  </w:tcPr>
                  <w:p>
                    <w:pPr>
                      <w:jc w:val="center"/>
                      <w:rPr>
                        <w:sz w:val="20"/>
                      </w:rPr>
                    </w:pPr>
                    <w:r>
                      <w:rPr>
                        <w:sz w:val="20"/>
                      </w:rPr>
                      <w:t>100 projekto dalyvių</w:t>
                    </w:r>
                  </w:p>
                </w:tc>
                <w:tc>
                  <w:tcPr>
                    <w:tcW w:w="3261" w:type="dxa"/>
                    <w:shd w:val="clear" w:color="auto" w:fill="auto"/>
                    <w:vAlign w:val="center"/>
                  </w:tcPr>
                  <w:p>
                    <w:pPr>
                      <w:rPr>
                        <w:sz w:val="20"/>
                      </w:rPr>
                    </w:pPr>
                    <w:r>
                      <w:rPr>
                        <w:sz w:val="20"/>
                      </w:rPr>
                      <w:t xml:space="preserve">Informavimas, konsultavimas, </w:t>
                    </w:r>
                    <w:r>
                      <w:rPr>
                        <w:sz w:val="20"/>
                        <w:lang w:val="en-GB"/>
                      </w:rPr>
                      <w:t>globėjų (rūpintojų) ir įtėvių pagalbos teikimas</w:t>
                    </w:r>
                  </w:p>
                </w:tc>
                <w:tc>
                  <w:tcPr>
                    <w:tcW w:w="2551" w:type="dxa"/>
                    <w:shd w:val="clear" w:color="auto" w:fill="auto"/>
                    <w:vAlign w:val="center"/>
                  </w:tcPr>
                  <w:p>
                    <w:pPr>
                      <w:rPr>
                        <w:color w:val="000000"/>
                        <w:sz w:val="20"/>
                        <w:lang w:val="en-GB"/>
                      </w:rPr>
                    </w:pPr>
                    <w:r>
                      <w:rPr>
                        <w:color w:val="000000"/>
                        <w:sz w:val="20"/>
                        <w:lang w:val="en-GB"/>
                      </w:rPr>
                      <w:t>„Atiduodame širdį vaikams“</w:t>
                    </w:r>
                  </w:p>
                  <w:p>
                    <w:pPr>
                      <w:ind w:left="34"/>
                      <w:rPr>
                        <w:sz w:val="20"/>
                      </w:rPr>
                    </w:pPr>
                  </w:p>
                </w:tc>
              </w:tr>
              <w:tr>
                <w:trPr>
                  <w:trHeight w:val="335"/>
                </w:trPr>
                <w:tc>
                  <w:tcPr>
                    <w:tcW w:w="567" w:type="dxa"/>
                    <w:shd w:val="clear" w:color="auto" w:fill="auto"/>
                    <w:vAlign w:val="center"/>
                  </w:tcPr>
                  <w:p>
                    <w:pPr>
                      <w:jc w:val="center"/>
                      <w:rPr>
                        <w:sz w:val="20"/>
                      </w:rPr>
                    </w:pPr>
                    <w:r>
                      <w:rPr>
                        <w:sz w:val="20"/>
                      </w:rPr>
                      <w:t>8.</w:t>
                    </w:r>
                  </w:p>
                </w:tc>
                <w:tc>
                  <w:tcPr>
                    <w:tcW w:w="1843" w:type="dxa"/>
                    <w:shd w:val="clear" w:color="auto" w:fill="auto"/>
                    <w:vAlign w:val="center"/>
                  </w:tcPr>
                  <w:p>
                    <w:pPr>
                      <w:rPr>
                        <w:sz w:val="20"/>
                      </w:rPr>
                    </w:pPr>
                    <w:r>
                      <w:rPr>
                        <w:sz w:val="20"/>
                        <w:lang w:eastAsia="lt-LT"/>
                      </w:rPr>
                      <w:t>Telšių Šv. Antano Paduviečio parapijos vaikų dienos centras „Židinėlis“</w:t>
                    </w:r>
                  </w:p>
                </w:tc>
                <w:tc>
                  <w:tcPr>
                    <w:tcW w:w="1417" w:type="dxa"/>
                    <w:shd w:val="clear" w:color="auto" w:fill="auto"/>
                    <w:vAlign w:val="center"/>
                  </w:tcPr>
                  <w:p>
                    <w:pPr>
                      <w:ind w:left="-57"/>
                      <w:jc w:val="center"/>
                      <w:rPr>
                        <w:sz w:val="20"/>
                      </w:rPr>
                    </w:pPr>
                    <w:r>
                      <w:rPr>
                        <w:sz w:val="20"/>
                      </w:rPr>
                      <w:t>37 projekto dalyviai</w:t>
                    </w:r>
                  </w:p>
                </w:tc>
                <w:tc>
                  <w:tcPr>
                    <w:tcW w:w="3261" w:type="dxa"/>
                    <w:shd w:val="clear" w:color="auto" w:fill="auto"/>
                    <w:vAlign w:val="center"/>
                  </w:tcPr>
                  <w:p>
                    <w:pPr>
                      <w:rPr>
                        <w:sz w:val="20"/>
                      </w:rPr>
                    </w:pPr>
                    <w:r>
                      <w:rPr>
                        <w:sz w:val="20"/>
                      </w:rPr>
                      <w:t>Vaikų iš rizikos šeimų dienos užimtumas, dienos centro veiklos vykdymas.</w:t>
                    </w:r>
                  </w:p>
                </w:tc>
                <w:tc>
                  <w:tcPr>
                    <w:tcW w:w="2551" w:type="dxa"/>
                    <w:shd w:val="clear" w:color="auto" w:fill="auto"/>
                    <w:vAlign w:val="center"/>
                  </w:tcPr>
                  <w:p>
                    <w:pPr>
                      <w:rPr>
                        <w:sz w:val="20"/>
                      </w:rPr>
                    </w:pPr>
                    <w:r>
                      <w:rPr>
                        <w:sz w:val="20"/>
                        <w:lang w:eastAsia="lt-LT"/>
                      </w:rPr>
                      <w:t>Telšių vaikų dienos centras „Židinėlis“</w:t>
                    </w:r>
                  </w:p>
                </w:tc>
              </w:tr>
              <w:tr>
                <w:trPr>
                  <w:trHeight w:val="335"/>
                </w:trPr>
                <w:tc>
                  <w:tcPr>
                    <w:tcW w:w="567" w:type="dxa"/>
                    <w:shd w:val="clear" w:color="auto" w:fill="auto"/>
                    <w:vAlign w:val="center"/>
                  </w:tcPr>
                  <w:p>
                    <w:pPr>
                      <w:jc w:val="center"/>
                      <w:rPr>
                        <w:sz w:val="20"/>
                      </w:rPr>
                    </w:pPr>
                    <w:r>
                      <w:rPr>
                        <w:sz w:val="20"/>
                      </w:rPr>
                      <w:t xml:space="preserve">9. </w:t>
                    </w:r>
                  </w:p>
                </w:tc>
                <w:tc>
                  <w:tcPr>
                    <w:tcW w:w="1843" w:type="dxa"/>
                    <w:shd w:val="clear" w:color="auto" w:fill="auto"/>
                    <w:vAlign w:val="center"/>
                  </w:tcPr>
                  <w:p>
                    <w:pPr>
                      <w:rPr>
                        <w:sz w:val="20"/>
                        <w:lang w:eastAsia="lt-LT"/>
                      </w:rPr>
                    </w:pPr>
                    <w:r>
                      <w:rPr>
                        <w:sz w:val="20"/>
                      </w:rPr>
                      <w:t>Telšių sutrikusios psichikos žmonių globos bendrija</w:t>
                    </w:r>
                  </w:p>
                </w:tc>
                <w:tc>
                  <w:tcPr>
                    <w:tcW w:w="1417" w:type="dxa"/>
                    <w:shd w:val="clear" w:color="auto" w:fill="auto"/>
                    <w:vAlign w:val="center"/>
                  </w:tcPr>
                  <w:p>
                    <w:pPr>
                      <w:ind w:left="-57"/>
                      <w:jc w:val="center"/>
                      <w:rPr>
                        <w:sz w:val="20"/>
                      </w:rPr>
                    </w:pPr>
                    <w:r>
                      <w:rPr>
                        <w:sz w:val="20"/>
                      </w:rPr>
                      <w:t>40 projekto dalyvių</w:t>
                    </w:r>
                  </w:p>
                </w:tc>
                <w:tc>
                  <w:tcPr>
                    <w:tcW w:w="3261" w:type="dxa"/>
                    <w:shd w:val="clear" w:color="auto" w:fill="auto"/>
                    <w:vAlign w:val="center"/>
                  </w:tcPr>
                  <w:p>
                    <w:pPr>
                      <w:rPr>
                        <w:sz w:val="20"/>
                      </w:rPr>
                    </w:pPr>
                    <w:r>
                      <w:rPr>
                        <w:sz w:val="20"/>
                      </w:rPr>
                      <w:t>Informavimas, konsultavimas, pagalba bei laisvalaikio užimtumo organizavimas psichinę negalią turintiems asmenims ir jų šeimoms.</w:t>
                    </w:r>
                  </w:p>
                </w:tc>
                <w:tc>
                  <w:tcPr>
                    <w:tcW w:w="2551" w:type="dxa"/>
                    <w:shd w:val="clear" w:color="auto" w:fill="auto"/>
                    <w:vAlign w:val="center"/>
                  </w:tcPr>
                  <w:p>
                    <w:pPr>
                      <w:jc w:val="center"/>
                      <w:rPr>
                        <w:sz w:val="20"/>
                        <w:lang w:eastAsia="lt-LT"/>
                      </w:rPr>
                    </w:pPr>
                    <w:r>
                      <w:rPr>
                        <w:sz w:val="20"/>
                        <w:lang w:eastAsia="lt-LT"/>
                      </w:rPr>
                      <w:t>„Pabūkime kartu“</w:t>
                    </w:r>
                  </w:p>
                </w:tc>
              </w:tr>
            </w:tbl>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p>
              <w:pPr>
                <w:tabs>
                  <w:tab w:val="left" w:pos="2038"/>
                </w:tabs>
                <w:jc w:val="both"/>
                <w:rPr>
                  <w:b/>
                  <w:szCs w:val="24"/>
                </w:rPr>
              </w:pPr>
            </w:p>
            <w:sdt>
              <w:sdtPr>
                <w:alias w:val="4.2.3 pp."/>
                <w:tag w:val="part_a233e81166ae4a5fac795c5534c3c24d"/>
                <w:lock w:val="sdtLocked"/>
                <w:richText/>
              </w:sdtPr>
              <w:sdtContent>
                <w:p>
                  <w:pPr>
                    <w:tabs>
                      <w:tab w:val="left" w:pos="2038"/>
                    </w:tabs>
                    <w:ind w:firstLine="709"/>
                    <w:jc w:val="both"/>
                    <w:rPr>
                      <w:b/>
                      <w:szCs w:val="24"/>
                    </w:rPr>
                  </w:pPr>
                  <w:sdt>
                    <w:sdtPr>
                      <w:alias w:val="Numeris"/>
                      <w:tag w:val="nr_a233e81166ae4a5fac795c5534c3c24d"/>
                      <w:lock w:val="sdtLocked"/>
                      <w:richText/>
                    </w:sdtPr>
                    <w:sdtContent>
                      <w:r>
                        <w:rPr>
                          <w:b/>
                          <w:szCs w:val="24"/>
                        </w:rPr>
                        <w:t>4.2.3</w:t>
                      </w:r>
                    </w:sdtContent>
                  </w:sdt>
                  <w:r>
                    <w:rPr>
                      <w:b/>
                      <w:szCs w:val="24"/>
                    </w:rPr>
                    <w:t xml:space="preserve"> Kiti rodikliai</w:t>
                  </w:r>
                </w:p>
                <w:p>
                  <w:pPr>
                    <w:tabs>
                      <w:tab w:val="left" w:pos="2038"/>
                    </w:tabs>
                    <w:ind w:firstLine="709"/>
                    <w:jc w:val="both"/>
                    <w:rPr>
                      <w:b/>
                      <w:szCs w:val="24"/>
                    </w:rPr>
                  </w:pPr>
                </w:p>
                <w:p>
                  <w:pPr>
                    <w:tabs>
                      <w:tab w:val="left" w:pos="2038"/>
                    </w:tabs>
                    <w:ind w:firstLine="709"/>
                    <w:jc w:val="both"/>
                    <w:rPr>
                      <w:szCs w:val="24"/>
                    </w:rPr>
                  </w:pPr>
                  <w:r>
                    <w:rPr>
                      <w:b/>
                      <w:szCs w:val="24"/>
                    </w:rPr>
                    <w:t>Gyventojų skaičius.</w:t>
                  </w:r>
                  <w:r>
                    <w:rPr>
                      <w:szCs w:val="24"/>
                    </w:rPr>
                    <w:t xml:space="preserve"> Statistikos departamento duomenimis 2016 m. liepos 1 dienai Telšių rajone gyveno 42584 gyventojai, o metų pradžioje 2014 m. – 44610, 2015 m. – 43992, 2016 m. – 43509 gyventojai, lyginant 2015–2016 m. liepos 1 d. Telšių rajono gyventojų sumažėjo 2026 gyventojais. Išlieka gyventojų mažėjimo tendencija. </w:t>
                  </w:r>
                </w:p>
                <w:p>
                  <w:pPr>
                    <w:ind w:firstLine="720"/>
                    <w:jc w:val="both"/>
                    <w:rPr>
                      <w:sz w:val="20"/>
                    </w:rPr>
                  </w:pPr>
                  <w:r>
                    <w:rPr>
                      <w:szCs w:val="24"/>
                    </w:rPr>
                    <w:t>Telšių rajone 2016 metų pradžioje gyveno 43059 asmenys, iš jų – 10222 pensinio amžiaus, 3984 asmenys su negalia, 6847 vaikai iki 15 m. amžiaus. Atitinkamai pensinio amžiaus asmenys sudaro 23,7 proc. visų gyventojų, neįgalieji – 10,1 proc. ir vaikai iki 15 metų – 15,9 proc.</w:t>
                  </w:r>
                </w:p>
                <w:p>
                  <w:pPr>
                    <w:tabs>
                      <w:tab w:val="left" w:pos="2038"/>
                    </w:tabs>
                    <w:ind w:firstLine="709"/>
                    <w:jc w:val="both"/>
                    <w:rPr>
                      <w:szCs w:val="24"/>
                    </w:rPr>
                  </w:pPr>
                  <w:r>
                    <w:rPr>
                      <w:szCs w:val="24"/>
                    </w:rPr>
                    <w:t xml:space="preserve">Gyventojų demografinės tendencijos Telšių rajone buvo panašios į kitų didžiųjų miestų. </w:t>
                  </w:r>
                </w:p>
                <w:p>
                  <w:pPr>
                    <w:tabs>
                      <w:tab w:val="left" w:pos="2038"/>
                    </w:tabs>
                    <w:ind w:firstLine="709"/>
                    <w:jc w:val="center"/>
                    <w:rPr>
                      <w:b/>
                      <w:szCs w:val="24"/>
                    </w:rPr>
                  </w:pPr>
                </w:p>
                <w:p>
                  <w:pPr>
                    <w:tabs>
                      <w:tab w:val="left" w:pos="2038"/>
                    </w:tabs>
                    <w:ind w:firstLine="709"/>
                    <w:jc w:val="center"/>
                    <w:rPr>
                      <w:b/>
                      <w:szCs w:val="24"/>
                    </w:rPr>
                  </w:pPr>
                </w:p>
              </w:sdtContent>
            </w:sdt>
          </w:sdtContent>
        </w:sdt>
        <w:sdt>
          <w:sdtPr>
            <w:alias w:val="poskyris"/>
            <w:tag w:val="part_2bbba341794544af86aa378f7f8946f8"/>
            <w:lock w:val="sdtLocked"/>
            <w:richText/>
          </w:sdtPr>
          <w:sdtContent>
            <w:p>
              <w:pPr>
                <w:tabs>
                  <w:tab w:val="left" w:pos="2038"/>
                </w:tabs>
                <w:ind w:firstLine="709"/>
                <w:jc w:val="center"/>
                <w:rPr>
                  <w:b/>
                  <w:szCs w:val="24"/>
                </w:rPr>
              </w:pPr>
              <w:sdt>
                <w:sdtPr>
                  <w:alias w:val="Pavadinimas"/>
                  <w:tag w:val="title_2bbba341794544af86aa378f7f8946f8"/>
                  <w:lock w:val="sdtLocked"/>
                  <w:richText/>
                </w:sdtPr>
                <w:sdtContent>
                  <w:r>
                    <w:rPr>
                      <w:b/>
                      <w:szCs w:val="24"/>
                    </w:rPr>
                    <w:t>Telšių rajono gyventojų skaičius</w:t>
                  </w:r>
                </w:sdtContent>
              </w:sdt>
            </w:p>
            <w:p>
              <w:pPr>
                <w:jc w:val="center"/>
                <w:rPr>
                  <w:szCs w:val="24"/>
                  <w:lang w:eastAsia="lt-LT"/>
                </w:rPr>
              </w:pPr>
              <w:r>
                <w:rPr>
                  <w:szCs w:val="24"/>
                  <w:lang w:val="en-US"/>
                </w:rPr>
                <w:drawing>
                  <wp:inline distT="0" distB="0" distL="0" distR="0" wp14:anchorId="0730DB63" wp14:editId="785D0E3F">
                    <wp:extent cx="5148580" cy="3146425"/>
                    <wp:effectExtent l="0" t="0" r="0" b="0"/>
                    <wp:docPr id="3"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3"/>
                      </a:graphicData>
                    </a:graphic>
                  </wp:inline>
                </w:drawing>
              </w:r>
            </w:p>
            <w:p>
              <w:pPr>
                <w:jc w:val="center"/>
                <w:rPr>
                  <w:sz w:val="20"/>
                  <w:lang w:val="pt-BR"/>
                </w:rPr>
              </w:pPr>
              <w:r>
                <w:rPr>
                  <w:sz w:val="20"/>
                  <w:lang w:val="pt-BR"/>
                </w:rPr>
                <w:t xml:space="preserve">Šaltinis </w:t>
              </w:r>
              <w:r>
                <w:rPr>
                  <w:szCs w:val="24"/>
                </w:rPr>
                <w:t xml:space="preserve">– </w:t>
              </w:r>
              <w:r>
                <w:rPr>
                  <w:sz w:val="20"/>
                  <w:lang w:val="pt-BR"/>
                </w:rPr>
                <w:t>Lietuvos Respublikos statistikos departamentas</w:t>
              </w:r>
            </w:p>
            <w:p>
              <w:pPr>
                <w:tabs>
                  <w:tab w:val="left" w:pos="2038"/>
                </w:tabs>
                <w:ind w:firstLine="709"/>
                <w:jc w:val="both"/>
                <w:rPr>
                  <w:szCs w:val="24"/>
                </w:rPr>
              </w:pPr>
            </w:p>
          </w:sdtContent>
        </w:sdt>
        <w:sdt>
          <w:sdtPr>
            <w:alias w:val="poskyris"/>
            <w:tag w:val="part_3226d3a71a70453d86674ede982cc788"/>
            <w:lock w:val="sdtLocked"/>
            <w:richText/>
          </w:sdtPr>
          <w:sdtContent>
            <w:p>
              <w:pPr>
                <w:ind w:firstLine="709"/>
                <w:jc w:val="center"/>
                <w:rPr>
                  <w:b/>
                  <w:bCs/>
                  <w:szCs w:val="24"/>
                  <w:lang w:val="en-GB"/>
                </w:rPr>
              </w:pPr>
              <w:sdt>
                <w:sdtPr>
                  <w:alias w:val="Pavadinimas"/>
                  <w:tag w:val="title_3226d3a71a70453d86674ede982cc788"/>
                  <w:lock w:val="sdtLocked"/>
                  <w:richText/>
                </w:sdtPr>
                <w:sdtContent>
                  <w:r>
                    <w:rPr>
                      <w:b/>
                      <w:bCs/>
                      <w:szCs w:val="24"/>
                    </w:rPr>
                    <w:t>2016 m. demografinio senatvės koeficiento (asmenų) – pagyvenusių (65 metų ir vyresnio amžiaus) žmonių skaičiaus, tenkantis šimtui vaikų iki 15 metų amžiaus – palyginimas</w:t>
                  </w:r>
                </w:sdtContent>
              </w:sdt>
            </w:p>
            <w:p>
              <w:pPr>
                <w:jc w:val="center"/>
                <w:rPr>
                  <w:sz w:val="20"/>
                </w:rPr>
              </w:pPr>
              <w:r>
                <w:rPr>
                  <w:szCs w:val="24"/>
                  <w:lang w:val="en-US"/>
                </w:rPr>
                <w:drawing>
                  <wp:inline distT="0" distB="0" distL="0" distR="0" wp14:anchorId="24F88A50" wp14:editId="6DDEE977">
                    <wp:extent cx="5076825" cy="2735580"/>
                    <wp:effectExtent l="0" t="0" r="0" b="7620"/>
                    <wp:docPr id="4"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4"/>
                      </a:graphicData>
                    </a:graphic>
                  </wp:inline>
                </w:drawing>
              </w:r>
            </w:p>
            <w:p>
              <w:pPr>
                <w:jc w:val="center"/>
                <w:rPr>
                  <w:sz w:val="20"/>
                </w:rPr>
              </w:pPr>
              <w:r>
                <w:rPr>
                  <w:sz w:val="20"/>
                </w:rPr>
                <w:t xml:space="preserve">Šaltinis </w:t>
              </w:r>
              <w:r>
                <w:rPr>
                  <w:szCs w:val="24"/>
                </w:rPr>
                <w:t xml:space="preserve">– </w:t>
              </w:r>
              <w:r>
                <w:rPr>
                  <w:sz w:val="20"/>
                </w:rPr>
                <w:t xml:space="preserve">Lietuvos Respublikos statistikos departamentas </w:t>
              </w:r>
            </w:p>
            <w:p>
              <w:pPr>
                <w:jc w:val="center"/>
                <w:rPr>
                  <w:sz w:val="20"/>
                </w:rPr>
              </w:pPr>
            </w:p>
            <w:p>
              <w:pPr>
                <w:ind w:firstLine="720"/>
                <w:jc w:val="both"/>
                <w:rPr>
                  <w:szCs w:val="24"/>
                </w:rPr>
              </w:pPr>
            </w:p>
            <w:p>
              <w:pPr>
                <w:ind w:firstLine="720"/>
                <w:jc w:val="both"/>
                <w:rPr>
                  <w:szCs w:val="24"/>
                </w:rPr>
              </w:pPr>
            </w:p>
            <w:p>
              <w:pPr>
                <w:ind w:firstLine="720"/>
                <w:jc w:val="both"/>
                <w:rPr>
                  <w:szCs w:val="24"/>
                </w:rPr>
              </w:pPr>
              <w:r>
                <w:rPr>
                  <w:szCs w:val="24"/>
                </w:rPr>
                <w:t>Gyventojų mažėjimas yra tolygiai susijęs su darbingo amžiaus gyventojų skaičiaus mažėjimu ir turi įtakos statistiniams rodikliams. Išanalizavus užimtumo statistinius duomenis fiksuojama, jog Telšių rajone užimtų gyventojų skaičiaus tendencijos yra neigiamos ─ 2012 m. iki 2016 m. darbingų asmenų skaičius mažėjo vidutiniškai 6,9 proc., kai tuo tarpu Lietuvoje mažėjo 4,2 proc. Telšių rajono darbingo amžiaus skaičiaus dinamika pateikiamas žemiau grafiškai.</w:t>
              </w:r>
              <w:r>
                <w:rPr>
                  <w:szCs w:val="24"/>
                  <w:vertAlign w:val="superscript"/>
                </w:rPr>
                <w:t xml:space="preserve"> </w:t>
                <w:footnoteReference w:id="16"/>
              </w:r>
            </w:p>
            <w:p>
              <w:pPr>
                <w:ind w:firstLine="720"/>
                <w:jc w:val="center"/>
                <w:rPr>
                  <w:b/>
                  <w:szCs w:val="24"/>
                </w:rPr>
              </w:pPr>
            </w:p>
          </w:sdtContent>
        </w:sdt>
        <w:sdt>
          <w:sdtPr>
            <w:alias w:val="poskyris"/>
            <w:tag w:val="part_5547e8fe905841f7882ceff5e56dbffe"/>
            <w:lock w:val="sdtLocked"/>
            <w:richText/>
          </w:sdtPr>
          <w:sdtContent>
            <w:p>
              <w:pPr>
                <w:ind w:firstLine="720"/>
                <w:jc w:val="center"/>
                <w:rPr>
                  <w:b/>
                  <w:szCs w:val="24"/>
                </w:rPr>
              </w:pPr>
              <w:sdt>
                <w:sdtPr>
                  <w:alias w:val="Pavadinimas"/>
                  <w:tag w:val="title_5547e8fe905841f7882ceff5e56dbffe"/>
                  <w:lock w:val="sdtLocked"/>
                  <w:richText/>
                </w:sdtPr>
                <w:sdtContent>
                  <w:r>
                    <w:rPr>
                      <w:b/>
                      <w:szCs w:val="24"/>
                    </w:rPr>
                    <w:t>Darbingo amžiaus asmenų skaičius (kairėje) ir gyventojų skaičius pagal socialines grupes Telšių rajone (dešinėje)</w:t>
                  </w:r>
                </w:sdtContent>
              </w:sdt>
            </w:p>
            <w:p>
              <w:pPr>
                <w:jc w:val="center"/>
                <w:rPr>
                  <w:szCs w:val="24"/>
                </w:rPr>
              </w:pPr>
              <w:r>
                <w:rPr>
                  <w:szCs w:val="24"/>
                  <w:lang w:val="en-US"/>
                </w:rPr>
                <w:drawing>
                  <wp:inline distT="0" distB="0" distL="0" distR="0" wp14:anchorId="1BAF623C" wp14:editId="32584FC5">
                    <wp:extent cx="3036570" cy="2068830"/>
                    <wp:effectExtent l="0" t="0" r="0" b="7620"/>
                    <wp:docPr id="5"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5"/>
                      </a:graphicData>
                    </a:graphic>
                  </wp:inline>
                </w:drawing>
              </w:r>
              <w:r>
                <w:rPr>
                  <w:szCs w:val="24"/>
                  <w:lang w:eastAsia="lt-LT"/>
                </w:rPr>
                <w:t xml:space="preserve">  </w:t>
              </w:r>
              <w:r>
                <w:rPr>
                  <w:szCs w:val="24"/>
                  <w:lang w:val="en-US"/>
                </w:rPr>
                <w:drawing>
                  <wp:inline distT="0" distB="0" distL="0" distR="0" wp14:anchorId="00F90659" wp14:editId="6C752646">
                    <wp:extent cx="2919730" cy="2110105"/>
                    <wp:effectExtent l="0" t="0" r="0" b="4445"/>
                    <wp:docPr id="6" name="Diagrama 1" descr="Antraštė: Gyventojų socialinės grupės"/>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6"/>
                      </a:graphicData>
                    </a:graphic>
                  </wp:inline>
                </w:drawing>
              </w:r>
            </w:p>
            <w:p>
              <w:pPr>
                <w:jc w:val="center"/>
                <w:rPr>
                  <w:sz w:val="20"/>
                  <w:lang w:val="pt-BR"/>
                </w:rPr>
              </w:pPr>
              <w:r>
                <w:rPr>
                  <w:sz w:val="20"/>
                  <w:lang w:val="pt-BR"/>
                </w:rPr>
                <w:t xml:space="preserve">Šaltinis </w:t>
              </w:r>
              <w:r>
                <w:rPr>
                  <w:szCs w:val="24"/>
                </w:rPr>
                <w:t xml:space="preserve">– </w:t>
              </w:r>
              <w:r>
                <w:rPr>
                  <w:sz w:val="20"/>
                  <w:lang w:val="pt-BR"/>
                </w:rPr>
                <w:t>Lietuvos Respublikos statistikos departamentas</w:t>
              </w:r>
            </w:p>
            <w:p>
              <w:pPr>
                <w:snapToGrid w:val="0"/>
                <w:ind w:firstLine="851"/>
                <w:rPr>
                  <w:b/>
                  <w:szCs w:val="24"/>
                </w:rPr>
              </w:pPr>
            </w:p>
          </w:sdtContent>
        </w:sdt>
        <w:sdt>
          <w:sdtPr>
            <w:alias w:val="poskyris"/>
            <w:tag w:val="part_7b759b8b67394b1c9e2dbbbc703ecc58"/>
            <w:lock w:val="sdtLocked"/>
            <w:richText/>
          </w:sdtPr>
          <w:sdtContent>
            <w:p>
              <w:pPr>
                <w:snapToGrid w:val="0"/>
                <w:ind w:firstLine="851"/>
                <w:rPr>
                  <w:szCs w:val="24"/>
                </w:rPr>
              </w:pPr>
              <w:sdt>
                <w:sdtPr>
                  <w:alias w:val="Pavadinimas"/>
                  <w:tag w:val="title_7b759b8b67394b1c9e2dbbbc703ecc58"/>
                  <w:lock w:val="sdtLocked"/>
                  <w:richText/>
                </w:sdtPr>
                <w:sdtContent>
                  <w:r>
                    <w:rPr>
                      <w:b/>
                      <w:szCs w:val="24"/>
                    </w:rPr>
                    <w:t>Darbo biržos rodikliai.</w:t>
                  </w:r>
                  <w:r>
                    <w:rPr>
                      <w:szCs w:val="24"/>
                    </w:rPr>
                    <w:t xml:space="preserve"> </w:t>
                  </w:r>
                </w:sdtContent>
              </w:sdt>
            </w:p>
            <w:p>
              <w:pPr>
                <w:ind w:firstLine="720"/>
                <w:jc w:val="both"/>
                <w:rPr>
                  <w:szCs w:val="24"/>
                </w:rPr>
              </w:pPr>
            </w:p>
            <w:p>
              <w:pPr>
                <w:ind w:firstLine="720"/>
                <w:jc w:val="both"/>
                <w:rPr>
                  <w:szCs w:val="24"/>
                </w:rPr>
              </w:pPr>
              <w:r>
                <w:rPr>
                  <w:szCs w:val="24"/>
                </w:rPr>
                <w:t>Bedarbių skaičius nuo darbingo amžiaus asmenų skaičiaus Lietuvos Respublikoje 2016 m. –8,1 proc., atitinkamai Telšių apskrityje ─ 8,7 proc., Mažeikių rajone ─ 11,0 proc. ir Plungės rajone ─ 7,1 proc., Rietavo rajone – 6,8 proc., o Telšių rajone ─ 7,4 proc. Darbo biržos rodikliai (bedarbių proc. nuo darbingo amžiaus gyventojų skaičiaus) pateikiami žemiau grafiškai.</w:t>
              </w:r>
            </w:p>
            <w:p>
              <w:pPr>
                <w:ind w:firstLine="720"/>
                <w:jc w:val="both"/>
                <w:rPr>
                  <w:szCs w:val="24"/>
                </w:rPr>
              </w:pPr>
            </w:p>
          </w:sdtContent>
        </w:sdt>
        <w:sdt>
          <w:sdtPr>
            <w:alias w:val="poskyris"/>
            <w:tag w:val="part_f9dc97cb7f064fcca527dbd58dd52301"/>
            <w:lock w:val="sdtLocked"/>
            <w:richText/>
          </w:sdtPr>
          <w:sdtContent>
            <w:p>
              <w:pPr>
                <w:ind w:left="-142" w:firstLine="720"/>
                <w:jc w:val="both"/>
                <w:rPr>
                  <w:b/>
                  <w:szCs w:val="24"/>
                </w:rPr>
              </w:pPr>
              <w:sdt>
                <w:sdtPr>
                  <w:alias w:val="Pavadinimas"/>
                  <w:tag w:val="title_f9dc97cb7f064fcca527dbd58dd52301"/>
                  <w:lock w:val="sdtLocked"/>
                  <w:richText/>
                </w:sdtPr>
                <w:sdtContent>
                  <w:r>
                    <w:rPr>
                      <w:b/>
                      <w:szCs w:val="24"/>
                    </w:rPr>
                    <w:t>Bedarbių procento nuo darbingo amžiaus gyventojų Telšių rajono savivaldybėje, Telšių apskrityje ir Lietuvos Respublikoje palyginimas</w:t>
                  </w:r>
                </w:sdtContent>
              </w:sdt>
            </w:p>
            <w:p>
              <w:pPr>
                <w:jc w:val="center"/>
                <w:rPr>
                  <w:szCs w:val="24"/>
                </w:rPr>
              </w:pPr>
              <w:r>
                <w:rPr>
                  <w:szCs w:val="24"/>
                  <w:lang w:val="en-US"/>
                </w:rPr>
                <w:drawing>
                  <wp:inline distT="0" distB="0" distL="0" distR="0" wp14:anchorId="654A3022" wp14:editId="6A257286">
                    <wp:extent cx="2957830" cy="2065655"/>
                    <wp:effectExtent l="0" t="0" r="0" b="0"/>
                    <wp:docPr id="7"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7"/>
                      </a:graphicData>
                    </a:graphic>
                  </wp:inline>
                </w:drawing>
              </w:r>
            </w:p>
            <w:p>
              <w:pPr>
                <w:jc w:val="center"/>
                <w:rPr>
                  <w:sz w:val="20"/>
                </w:rPr>
              </w:pPr>
              <w:r>
                <w:rPr>
                  <w:sz w:val="20"/>
                </w:rPr>
                <w:t xml:space="preserve">Šaltinis </w:t>
              </w:r>
              <w:r>
                <w:rPr>
                  <w:szCs w:val="24"/>
                </w:rPr>
                <w:t xml:space="preserve">– </w:t>
              </w:r>
              <w:r>
                <w:rPr>
                  <w:sz w:val="20"/>
                </w:rPr>
                <w:t xml:space="preserve">Lietuvos darbo biržos statistiniai rodikliai </w:t>
              </w:r>
            </w:p>
            <w:p>
              <w:pPr>
                <w:ind w:left="-142" w:firstLine="720"/>
                <w:jc w:val="both"/>
                <w:rPr>
                  <w:szCs w:val="24"/>
                </w:rPr>
              </w:pPr>
            </w:p>
            <w:p>
              <w:pPr>
                <w:ind w:left="-142" w:firstLine="720"/>
                <w:jc w:val="both"/>
                <w:rPr>
                  <w:szCs w:val="24"/>
                </w:rPr>
              </w:pPr>
              <w:r>
                <w:rPr>
                  <w:b/>
                  <w:szCs w:val="24"/>
                </w:rPr>
                <w:t>Socialinės piniginės paramos teikimas.</w:t>
              </w:r>
              <w:r>
                <w:rPr>
                  <w:szCs w:val="24"/>
                </w:rPr>
                <w:t xml:space="preserve"> Mažėjant darbingo amžiaus gyventojų skaičiui, senstant bendruomenei, didėja socialinės piniginės paramos poreikis. Lyginant socialinių pašalpų gavėjų skaičių su bendru gyventojų skaičiumi 2012–2016 m. Lietuvoje socialines pašalpas gavo: 2012 m. – 7,4 proc. asmenų, 2013 m. – 6,4 proc., 2014 m. – 4,8 proc., 2015 m. – 3,8 proc., 2016 m. 01–09 mėn. – 3,2 proc. Atitinkamai: Mažeikių rajone 2012 m. – 11,5 proc., 2013 m. – 10,3 proc., 2014 m. – 7,3 proc., 2015 m. – 5,6 proc., 2016 m. 01–09 mėn. – 4,7 proc., Plungės rajone 2012 m. – 8,8 proc., 2013 m. – 6,7 proc., 2014 m. – 4,9 proc., 2015 m. mėn. – 3,6 proc., 2016 m. 01–09 mėn. – 2,9 proc., Telšių rajone 2012 m. – 10,5 proc., 2013 m. – 8,7 proc., 2014 m. – 5,9 proc., 2015 m. – 4,2 proc., 2016 m. 01–09 mėn. – 3,5 proc. Didžiausias socialinių pašalpų gavėjų skaičius Telšių apskrityje fiksuojamas Mažeikių rajone dėl didesnio vaikų ir darbingo amžiaus asmenų skaičiaus. Perdavus socialinių pašalpų mokėjimo funkciją savivaldybėms kaip savarankiškąją funkciją ir sugriežtintus gavimo sąlygas, socialinių pašalpų gavėjų skaičius pastebimai mažėjo ir atitinkamai mažėjo lėšų poreikis.</w:t>
              </w:r>
            </w:p>
            <w:p>
              <w:pPr>
                <w:jc w:val="center"/>
                <w:rPr>
                  <w:szCs w:val="24"/>
                </w:rPr>
              </w:pPr>
              <w:r>
                <w:rPr>
                  <w:szCs w:val="24"/>
                  <w:lang w:val="en-US"/>
                </w:rPr>
                <w:drawing>
                  <wp:inline distT="0" distB="0" distL="0" distR="0" wp14:anchorId="39A76748" wp14:editId="6631FE82">
                    <wp:extent cx="4326890" cy="2383155"/>
                    <wp:effectExtent l="0" t="0" r="0" b="0"/>
                    <wp:docPr id="8"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8"/>
                      </a:graphicData>
                    </a:graphic>
                  </wp:inline>
                </w:drawing>
              </w:r>
            </w:p>
            <w:p>
              <w:pPr>
                <w:ind w:firstLine="720"/>
                <w:rPr>
                  <w:szCs w:val="24"/>
                </w:rPr>
              </w:pPr>
            </w:p>
            <w:p>
              <w:pPr>
                <w:ind w:firstLine="851"/>
                <w:jc w:val="both"/>
                <w:rPr>
                  <w:szCs w:val="24"/>
                </w:rPr>
              </w:pPr>
              <w:r>
                <w:rPr>
                  <w:szCs w:val="24"/>
                </w:rPr>
                <w:t xml:space="preserve">Daugiausia socialinių pašalpų gavėjų Telšių apskrityje yra Mažeikių rajone dėl didesnio vaikų ir darbingo amžiaus asmenų skaičiaus. Perdavus socialinių pašalpų mokėjimo funkciją savivaldybėms kaip savarankišką funkciją ir sugriežtintus gavimo sąlygas, socialinių pašalpų gavėjų skaičius ir tam skiriamų lėšų poreikis mažėjo. Socialinė parama besimokantiems vaikams mažėja tolygiai mažėjant gyventojų skaičiui, didėjant šeimų darbinėms pajamoms. Bendras mokinių skaičius, lyginant 2015─2016 m., sumažėjo 4,3 proc. Nemokamą maitinimą mokyklose 2014 m. gavo 28,5 proc. mokinių, 2015 m. ─ 26,44 proc.,  2016 m. ─ 26,2 proc. Prognozuojama, jog 2017 m. ─ 23,9 proc. </w:t>
              </w:r>
            </w:p>
            <w:p>
              <w:pPr>
                <w:ind w:firstLine="851"/>
                <w:jc w:val="both"/>
                <w:rPr>
                  <w:szCs w:val="24"/>
                </w:rPr>
              </w:pPr>
              <w:r>
                <w:rPr>
                  <w:szCs w:val="24"/>
                </w:rPr>
                <w:t xml:space="preserve">Telšių rajono savivaldybės administracija dalyvauja </w:t>
              </w:r>
              <w:r>
                <w:rPr>
                  <w:b/>
                  <w:szCs w:val="24"/>
                </w:rPr>
                <w:t xml:space="preserve">Europos pagalbos (maisto produktais) labiausiai skurstantiems Telšių rajono gyventojams </w:t>
              </w:r>
              <w:r>
                <w:rPr>
                  <w:szCs w:val="24"/>
                </w:rPr>
                <w:t xml:space="preserve">teikime kaip savarankiški partneriai. Siekiant užtikrinti Maisto produktų sandėliavimą, išdalinimą seniūnijoms ir Telšių rajono gyventojams, dalis pareigų perduota Telšių socialinių paslaugų centrui, kuris organizuoja paramos priėmimą, sandėliavimą, paskirstymą seniūnijoms, išdalija paramą Telšių miesto gyventojams. </w:t>
              </w:r>
            </w:p>
            <w:p>
              <w:pPr>
                <w:ind w:firstLine="720"/>
                <w:jc w:val="both"/>
                <w:rPr>
                  <w:szCs w:val="24"/>
                </w:rPr>
              </w:pPr>
              <w:r>
                <w:rPr>
                  <w:szCs w:val="24"/>
                </w:rPr>
                <w:t>Parama skiriama šeimoms, kurių vienam šeimos nariui ar vienam gyvenančiam asmeniui pajamos neviršija 1,5 Lietuvos Respublikos Vyriausybės patvirtinto valstybės remiamų pajamų dydžio per mėn., t. y. 153 Eur / mėn., (toliau tekste ─ VRP). Parama išimties tvarka suteikiama ir kitais atvejais, kai pajamos viršija 1,5 VRP, bet nėra didesnės už 2 VRP. Parama 2015 m. buvo tiekiama 5 kartus per metus. Žemiau lentelėje pateikiama paramos maisto paketais gavėjų skaičius ir paramos dalinimo dažnumas, administravimo išlaidų dydis 2012</w:t>
              </w:r>
              <w:r>
                <w:rPr>
                  <w:sz w:val="20"/>
                </w:rPr>
                <w:t>–</w:t>
              </w:r>
              <w:r>
                <w:rPr>
                  <w:szCs w:val="24"/>
                </w:rPr>
                <w:t>2015 m.</w:t>
              </w:r>
              <w:r>
                <w:rPr>
                  <w:szCs w:val="24"/>
                  <w:vertAlign w:val="superscript"/>
                </w:rPr>
                <w:footnoteReference w:id="17"/>
              </w:r>
            </w:p>
          </w:sdtContent>
        </w:sdt>
        <w:sdt>
          <w:sdtPr>
            <w:alias w:val="poskyris"/>
            <w:tag w:val="part_71373c308c7c4c1b9e20095b6258e38e"/>
            <w:lock w:val="sdtLocked"/>
            <w:richText/>
          </w:sdtPr>
          <w:sdtContent>
            <w:p>
              <w:pPr>
                <w:ind w:firstLine="720"/>
                <w:rPr>
                  <w:b/>
                  <w:szCs w:val="24"/>
                </w:rPr>
              </w:pPr>
              <w:sdt>
                <w:sdtPr>
                  <w:alias w:val="Pavadinimas"/>
                  <w:tag w:val="title_71373c308c7c4c1b9e20095b6258e38e"/>
                  <w:lock w:val="sdtLocked"/>
                  <w:richText/>
                </w:sdtPr>
                <w:sdtContent>
                  <w:r>
                    <w:rPr>
                      <w:b/>
                      <w:szCs w:val="24"/>
                    </w:rPr>
                    <w:t>Paramos maisto paketais gavėjų skaičius ir dalinimo dažnumai 2012─2016 m.</w:t>
                    <w:tab/>
                  </w:r>
                </w:sdtContent>
              </w:sdt>
            </w:p>
            <w:tbl>
              <w:tblPr>
                <w:tblW w:w="0" w:type="auto"/>
                <w:jc w:val="center"/>
                <w:tblInd w:w="-2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992"/>
                <w:gridCol w:w="1134"/>
                <w:gridCol w:w="1134"/>
                <w:gridCol w:w="992"/>
                <w:gridCol w:w="992"/>
              </w:tblGrid>
              <w:tr>
                <w:trPr>
                  <w:jc w:val="center"/>
                </w:trPr>
                <w:tc>
                  <w:tcPr>
                    <w:tcW w:w="4672" w:type="dxa"/>
                    <w:tcBorders>
                      <w:tl2br w:val="single" w:sz="4" w:space="0" w:color="auto"/>
                    </w:tcBorders>
                    <w:shd w:val="pct5" w:color="auto" w:fill="auto"/>
                    <w:vAlign w:val="center"/>
                  </w:tcPr>
                  <w:p>
                    <w:pPr>
                      <w:ind w:firstLine="720"/>
                      <w:jc w:val="right"/>
                      <w:rPr>
                        <w:b/>
                        <w:sz w:val="20"/>
                      </w:rPr>
                    </w:pPr>
                    <w:r>
                      <w:rPr>
                        <w:b/>
                        <w:sz w:val="20"/>
                      </w:rPr>
                      <w:t>Metai</w:t>
                    </w:r>
                  </w:p>
                  <w:p>
                    <w:pPr>
                      <w:rPr>
                        <w:b/>
                        <w:sz w:val="20"/>
                      </w:rPr>
                    </w:pPr>
                    <w:r>
                      <w:rPr>
                        <w:b/>
                        <w:sz w:val="20"/>
                      </w:rPr>
                      <w:t>Rodikliai</w:t>
                    </w:r>
                  </w:p>
                </w:tc>
                <w:tc>
                  <w:tcPr>
                    <w:tcW w:w="992" w:type="dxa"/>
                    <w:shd w:val="pct5" w:color="auto" w:fill="auto"/>
                    <w:vAlign w:val="center"/>
                  </w:tcPr>
                  <w:p>
                    <w:pPr>
                      <w:jc w:val="center"/>
                      <w:rPr>
                        <w:b/>
                        <w:sz w:val="20"/>
                      </w:rPr>
                    </w:pPr>
                    <w:r>
                      <w:rPr>
                        <w:b/>
                        <w:sz w:val="20"/>
                      </w:rPr>
                      <w:t>2012 m.</w:t>
                    </w:r>
                  </w:p>
                </w:tc>
                <w:tc>
                  <w:tcPr>
                    <w:tcW w:w="1134" w:type="dxa"/>
                    <w:shd w:val="pct5" w:color="auto" w:fill="auto"/>
                    <w:vAlign w:val="center"/>
                  </w:tcPr>
                  <w:p>
                    <w:pPr>
                      <w:jc w:val="center"/>
                      <w:rPr>
                        <w:b/>
                        <w:sz w:val="20"/>
                      </w:rPr>
                    </w:pPr>
                    <w:r>
                      <w:rPr>
                        <w:b/>
                        <w:sz w:val="20"/>
                      </w:rPr>
                      <w:t>2013 m.</w:t>
                    </w:r>
                  </w:p>
                </w:tc>
                <w:tc>
                  <w:tcPr>
                    <w:tcW w:w="1134" w:type="dxa"/>
                    <w:shd w:val="pct5" w:color="auto" w:fill="auto"/>
                    <w:vAlign w:val="center"/>
                  </w:tcPr>
                  <w:p>
                    <w:pPr>
                      <w:jc w:val="center"/>
                      <w:rPr>
                        <w:b/>
                        <w:sz w:val="20"/>
                      </w:rPr>
                    </w:pPr>
                    <w:r>
                      <w:rPr>
                        <w:b/>
                        <w:sz w:val="20"/>
                      </w:rPr>
                      <w:t>2014 m.</w:t>
                    </w:r>
                  </w:p>
                </w:tc>
                <w:tc>
                  <w:tcPr>
                    <w:tcW w:w="992" w:type="dxa"/>
                    <w:shd w:val="pct5" w:color="auto" w:fill="auto"/>
                    <w:vAlign w:val="center"/>
                  </w:tcPr>
                  <w:p>
                    <w:pPr>
                      <w:jc w:val="center"/>
                      <w:rPr>
                        <w:b/>
                        <w:sz w:val="20"/>
                      </w:rPr>
                    </w:pPr>
                    <w:r>
                      <w:rPr>
                        <w:b/>
                        <w:sz w:val="20"/>
                      </w:rPr>
                      <w:t>2015 m.</w:t>
                    </w:r>
                  </w:p>
                </w:tc>
                <w:tc>
                  <w:tcPr>
                    <w:tcW w:w="992" w:type="dxa"/>
                    <w:shd w:val="pct5" w:color="auto" w:fill="auto"/>
                    <w:vAlign w:val="center"/>
                  </w:tcPr>
                  <w:p>
                    <w:pPr>
                      <w:jc w:val="center"/>
                      <w:rPr>
                        <w:b/>
                        <w:sz w:val="20"/>
                      </w:rPr>
                    </w:pPr>
                    <w:r>
                      <w:rPr>
                        <w:b/>
                        <w:sz w:val="20"/>
                      </w:rPr>
                      <w:t>2016 m.</w:t>
                    </w:r>
                  </w:p>
                </w:tc>
              </w:tr>
              <w:tr>
                <w:trPr>
                  <w:jc w:val="center"/>
                </w:trPr>
                <w:tc>
                  <w:tcPr>
                    <w:tcW w:w="4672" w:type="dxa"/>
                    <w:vAlign w:val="center"/>
                  </w:tcPr>
                  <w:p>
                    <w:pPr>
                      <w:rPr>
                        <w:sz w:val="20"/>
                      </w:rPr>
                    </w:pPr>
                    <w:r>
                      <w:rPr>
                        <w:sz w:val="20"/>
                      </w:rPr>
                      <w:t>Paramos gavėjų skaičius</w:t>
                    </w:r>
                  </w:p>
                </w:tc>
                <w:tc>
                  <w:tcPr>
                    <w:tcW w:w="992" w:type="dxa"/>
                    <w:shd w:val="clear" w:color="auto" w:fill="auto"/>
                    <w:vAlign w:val="center"/>
                  </w:tcPr>
                  <w:p>
                    <w:pPr>
                      <w:jc w:val="center"/>
                      <w:rPr>
                        <w:sz w:val="20"/>
                      </w:rPr>
                    </w:pPr>
                    <w:r>
                      <w:rPr>
                        <w:sz w:val="20"/>
                      </w:rPr>
                      <w:t>8501</w:t>
                    </w:r>
                  </w:p>
                </w:tc>
                <w:tc>
                  <w:tcPr>
                    <w:tcW w:w="1134" w:type="dxa"/>
                    <w:shd w:val="clear" w:color="auto" w:fill="auto"/>
                    <w:vAlign w:val="center"/>
                  </w:tcPr>
                  <w:p>
                    <w:pPr>
                      <w:jc w:val="center"/>
                      <w:rPr>
                        <w:sz w:val="20"/>
                      </w:rPr>
                    </w:pPr>
                    <w:r>
                      <w:rPr>
                        <w:sz w:val="20"/>
                      </w:rPr>
                      <w:t>7686</w:t>
                    </w:r>
                  </w:p>
                </w:tc>
                <w:tc>
                  <w:tcPr>
                    <w:tcW w:w="1134" w:type="dxa"/>
                    <w:vAlign w:val="center"/>
                  </w:tcPr>
                  <w:p>
                    <w:pPr>
                      <w:jc w:val="center"/>
                      <w:rPr>
                        <w:sz w:val="20"/>
                      </w:rPr>
                    </w:pPr>
                    <w:r>
                      <w:rPr>
                        <w:sz w:val="20"/>
                      </w:rPr>
                      <w:t>5190</w:t>
                    </w:r>
                  </w:p>
                </w:tc>
                <w:tc>
                  <w:tcPr>
                    <w:tcW w:w="992" w:type="dxa"/>
                    <w:vAlign w:val="center"/>
                  </w:tcPr>
                  <w:p>
                    <w:pPr>
                      <w:jc w:val="center"/>
                      <w:rPr>
                        <w:sz w:val="20"/>
                      </w:rPr>
                    </w:pPr>
                    <w:r>
                      <w:rPr>
                        <w:sz w:val="20"/>
                      </w:rPr>
                      <w:t>4361</w:t>
                    </w:r>
                  </w:p>
                </w:tc>
                <w:tc>
                  <w:tcPr>
                    <w:tcW w:w="992" w:type="dxa"/>
                  </w:tcPr>
                  <w:p>
                    <w:pPr>
                      <w:jc w:val="center"/>
                      <w:rPr>
                        <w:sz w:val="20"/>
                      </w:rPr>
                    </w:pPr>
                    <w:r>
                      <w:rPr>
                        <w:sz w:val="20"/>
                      </w:rPr>
                      <w:t>3434</w:t>
                    </w:r>
                  </w:p>
                </w:tc>
              </w:tr>
              <w:tr>
                <w:trPr>
                  <w:jc w:val="center"/>
                </w:trPr>
                <w:tc>
                  <w:tcPr>
                    <w:tcW w:w="4672" w:type="dxa"/>
                    <w:vAlign w:val="center"/>
                  </w:tcPr>
                  <w:p>
                    <w:pPr>
                      <w:rPr>
                        <w:sz w:val="20"/>
                      </w:rPr>
                    </w:pPr>
                    <w:r>
                      <w:rPr>
                        <w:sz w:val="20"/>
                      </w:rPr>
                      <w:t>Paramos dalinimų skaičius (kartai per metus)</w:t>
                    </w:r>
                  </w:p>
                </w:tc>
                <w:tc>
                  <w:tcPr>
                    <w:tcW w:w="992" w:type="dxa"/>
                    <w:shd w:val="clear" w:color="auto" w:fill="auto"/>
                    <w:vAlign w:val="center"/>
                  </w:tcPr>
                  <w:p>
                    <w:pPr>
                      <w:jc w:val="center"/>
                      <w:rPr>
                        <w:sz w:val="20"/>
                      </w:rPr>
                    </w:pPr>
                    <w:r>
                      <w:rPr>
                        <w:sz w:val="20"/>
                      </w:rPr>
                      <w:t>5</w:t>
                    </w:r>
                  </w:p>
                </w:tc>
                <w:tc>
                  <w:tcPr>
                    <w:tcW w:w="1134" w:type="dxa"/>
                    <w:shd w:val="clear" w:color="auto" w:fill="auto"/>
                    <w:vAlign w:val="center"/>
                  </w:tcPr>
                  <w:p>
                    <w:pPr>
                      <w:jc w:val="center"/>
                      <w:rPr>
                        <w:sz w:val="20"/>
                      </w:rPr>
                    </w:pPr>
                    <w:r>
                      <w:rPr>
                        <w:sz w:val="20"/>
                      </w:rPr>
                      <w:t>5</w:t>
                    </w:r>
                  </w:p>
                </w:tc>
                <w:tc>
                  <w:tcPr>
                    <w:tcW w:w="1134" w:type="dxa"/>
                    <w:vAlign w:val="center"/>
                  </w:tcPr>
                  <w:p>
                    <w:pPr>
                      <w:jc w:val="center"/>
                      <w:rPr>
                        <w:sz w:val="20"/>
                      </w:rPr>
                    </w:pPr>
                    <w:r>
                      <w:rPr>
                        <w:sz w:val="20"/>
                      </w:rPr>
                      <w:t>3</w:t>
                    </w:r>
                  </w:p>
                </w:tc>
                <w:tc>
                  <w:tcPr>
                    <w:tcW w:w="992" w:type="dxa"/>
                    <w:vAlign w:val="center"/>
                  </w:tcPr>
                  <w:p>
                    <w:pPr>
                      <w:jc w:val="center"/>
                      <w:rPr>
                        <w:sz w:val="20"/>
                      </w:rPr>
                    </w:pPr>
                    <w:r>
                      <w:rPr>
                        <w:sz w:val="20"/>
                      </w:rPr>
                      <w:t>5</w:t>
                    </w:r>
                  </w:p>
                </w:tc>
                <w:tc>
                  <w:tcPr>
                    <w:tcW w:w="992" w:type="dxa"/>
                  </w:tcPr>
                  <w:p>
                    <w:pPr>
                      <w:jc w:val="center"/>
                      <w:rPr>
                        <w:sz w:val="20"/>
                      </w:rPr>
                    </w:pPr>
                    <w:r>
                      <w:rPr>
                        <w:sz w:val="20"/>
                      </w:rPr>
                      <w:t>6</w:t>
                    </w:r>
                  </w:p>
                </w:tc>
              </w:tr>
              <w:tr>
                <w:trPr>
                  <w:jc w:val="center"/>
                </w:trPr>
                <w:tc>
                  <w:tcPr>
                    <w:tcW w:w="4672" w:type="dxa"/>
                    <w:vAlign w:val="center"/>
                  </w:tcPr>
                  <w:p>
                    <w:pPr>
                      <w:rPr>
                        <w:sz w:val="20"/>
                      </w:rPr>
                    </w:pPr>
                    <w:r>
                      <w:rPr>
                        <w:sz w:val="20"/>
                      </w:rPr>
                      <w:t>Gautos administravimo lėšos 5 % projekto vertės (Eur)</w:t>
                    </w:r>
                  </w:p>
                </w:tc>
                <w:tc>
                  <w:tcPr>
                    <w:tcW w:w="992" w:type="dxa"/>
                    <w:shd w:val="clear" w:color="auto" w:fill="auto"/>
                    <w:vAlign w:val="center"/>
                  </w:tcPr>
                  <w:p>
                    <w:pPr>
                      <w:jc w:val="center"/>
                      <w:rPr>
                        <w:sz w:val="20"/>
                      </w:rPr>
                    </w:pPr>
                    <w:r>
                      <w:rPr>
                        <w:sz w:val="20"/>
                      </w:rPr>
                      <w:t>–</w:t>
                    </w:r>
                  </w:p>
                </w:tc>
                <w:tc>
                  <w:tcPr>
                    <w:tcW w:w="1134" w:type="dxa"/>
                    <w:shd w:val="clear" w:color="auto" w:fill="auto"/>
                    <w:vAlign w:val="center"/>
                  </w:tcPr>
                  <w:p>
                    <w:pPr>
                      <w:jc w:val="center"/>
                      <w:rPr>
                        <w:sz w:val="20"/>
                      </w:rPr>
                    </w:pPr>
                    <w:r>
                      <w:rPr>
                        <w:sz w:val="20"/>
                      </w:rPr>
                      <w:t>–</w:t>
                    </w:r>
                  </w:p>
                </w:tc>
                <w:tc>
                  <w:tcPr>
                    <w:tcW w:w="1134" w:type="dxa"/>
                    <w:vAlign w:val="center"/>
                  </w:tcPr>
                  <w:p>
                    <w:pPr>
                      <w:jc w:val="center"/>
                      <w:rPr>
                        <w:sz w:val="20"/>
                      </w:rPr>
                    </w:pPr>
                    <w:r>
                      <w:rPr>
                        <w:sz w:val="20"/>
                      </w:rPr>
                      <w:t>3117,96</w:t>
                    </w:r>
                  </w:p>
                </w:tc>
                <w:tc>
                  <w:tcPr>
                    <w:tcW w:w="992" w:type="dxa"/>
                    <w:vAlign w:val="center"/>
                  </w:tcPr>
                  <w:p>
                    <w:pPr>
                      <w:jc w:val="center"/>
                      <w:rPr>
                        <w:sz w:val="20"/>
                      </w:rPr>
                    </w:pPr>
                    <w:r>
                      <w:rPr>
                        <w:sz w:val="20"/>
                      </w:rPr>
                      <w:t xml:space="preserve">5949,33 </w:t>
                    </w:r>
                  </w:p>
                </w:tc>
                <w:tc>
                  <w:tcPr>
                    <w:tcW w:w="992" w:type="dxa"/>
                  </w:tcPr>
                  <w:p>
                    <w:pPr>
                      <w:jc w:val="center"/>
                      <w:rPr>
                        <w:sz w:val="20"/>
                      </w:rPr>
                    </w:pPr>
                    <w:r>
                      <w:rPr>
                        <w:sz w:val="20"/>
                      </w:rPr>
                      <w:t>8072,99</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sz w:val="18"/>
                  <w:szCs w:val="18"/>
                </w:rPr>
              </w:pPr>
            </w:p>
            <w:p>
              <w:pPr>
                <w:ind w:firstLine="720"/>
                <w:jc w:val="both"/>
                <w:rPr>
                  <w:szCs w:val="24"/>
                </w:rPr>
              </w:pPr>
              <w:r>
                <w:rPr>
                  <w:szCs w:val="24"/>
                </w:rPr>
                <w:t xml:space="preserve">Paramos gavėjų skaičiaus mažėjimui įtakos turi mažėjantis Telšių rajono gyventojų skaičius, LR piniginės socialinės paramos nepasiturinčioms šeimoms ir vieniems gyvenantiems asmenims įstatymo pakeitimai, sugriežtinti  reikalavimai paramos gavėjams, sugriežtinta bedarbių registravimo darbo biržoje tvarka, padidėjęs minimalus darbo užmokestis ir kiti veiksniai. </w:t>
              </w:r>
            </w:p>
            <w:p>
              <w:pPr>
                <w:ind w:firstLine="720"/>
                <w:rPr>
                  <w:b/>
                  <w:bCs/>
                  <w:szCs w:val="24"/>
                </w:rPr>
              </w:pPr>
            </w:p>
            <w:sdt>
              <w:sdtPr>
                <w:alias w:val="5 p."/>
                <w:tag w:val="part_548f57769ab049dc9dc90074d00cbfa0"/>
                <w:lock w:val="sdtLocked"/>
                <w:richText/>
              </w:sdtPr>
              <w:sdtContent>
                <w:p>
                  <w:pPr>
                    <w:widowControl w:val="0"/>
                    <w:suppressAutoHyphens/>
                    <w:ind w:left="540" w:firstLine="311"/>
                    <w:jc w:val="both"/>
                    <w:textAlignment w:val="baseline"/>
                    <w:rPr>
                      <w:b/>
                      <w:bCs/>
                      <w:szCs w:val="24"/>
                    </w:rPr>
                  </w:pPr>
                  <w:sdt>
                    <w:sdtPr>
                      <w:alias w:val="Numeris"/>
                      <w:tag w:val="nr_548f57769ab049dc9dc90074d00cbfa0"/>
                      <w:lock w:val="sdtLocked"/>
                      <w:richText/>
                    </w:sdtPr>
                    <w:sdtContent>
                      <w:r>
                        <w:rPr>
                          <w:b/>
                          <w:bCs/>
                          <w:szCs w:val="24"/>
                        </w:rPr>
                        <w:t>5</w:t>
                      </w:r>
                    </w:sdtContent>
                  </w:sdt>
                  <w:r>
                    <w:rPr>
                      <w:b/>
                      <w:bCs/>
                      <w:szCs w:val="24"/>
                    </w:rPr>
                    <w:t>.</w:t>
                    <w:tab/>
                    <w:t>Esamos socialinių paslaugų infrastruktūros Savivaldybėje analizė</w:t>
                  </w:r>
                </w:p>
                <w:p>
                  <w:pPr>
                    <w:tabs>
                      <w:tab w:val="left" w:pos="0"/>
                      <w:tab w:val="left" w:pos="851"/>
                    </w:tabs>
                    <w:ind w:firstLine="851"/>
                    <w:jc w:val="both"/>
                    <w:rPr>
                      <w:szCs w:val="24"/>
                    </w:rPr>
                  </w:pPr>
                  <w:r>
                    <w:rPr>
                      <w:b/>
                      <w:szCs w:val="24"/>
                    </w:rPr>
                    <w:t xml:space="preserve">Telšių rajono socialinių paslaugų infrastruktūrą </w:t>
                  </w:r>
                  <w:r>
                    <w:rPr>
                      <w:szCs w:val="24"/>
                    </w:rPr>
                    <w:t>sudaro:</w:t>
                  </w:r>
                </w:p>
                <w:p>
                  <w:pPr>
                    <w:tabs>
                      <w:tab w:val="left" w:pos="0"/>
                      <w:tab w:val="left" w:pos="993"/>
                    </w:tabs>
                    <w:ind w:left="720" w:hanging="11"/>
                    <w:jc w:val="both"/>
                    <w:rPr>
                      <w:szCs w:val="24"/>
                    </w:rPr>
                  </w:pPr>
                  <w:r>
                    <w:rPr>
                      <w:szCs w:val="24"/>
                    </w:rPr>
                    <w:t>–</w:t>
                    <w:tab/>
                    <w:t xml:space="preserve">koordinuojanti, kontroliuojanti institucija – Socialinės paramos ir rūpybos skyrius; </w:t>
                  </w:r>
                </w:p>
                <w:p>
                  <w:pPr>
                    <w:tabs>
                      <w:tab w:val="left" w:pos="0"/>
                      <w:tab w:val="left" w:pos="993"/>
                    </w:tabs>
                    <w:ind w:left="720" w:hanging="11"/>
                    <w:jc w:val="both"/>
                    <w:rPr>
                      <w:szCs w:val="24"/>
                    </w:rPr>
                  </w:pPr>
                  <w:r>
                    <w:rPr>
                      <w:szCs w:val="24"/>
                    </w:rPr>
                    <w:t>–</w:t>
                    <w:tab/>
                    <w:t>socialines paslaugas teikiančios biudžetinės įstaigos;</w:t>
                  </w:r>
                </w:p>
                <w:p>
                  <w:pPr>
                    <w:tabs>
                      <w:tab w:val="left" w:pos="0"/>
                      <w:tab w:val="left" w:pos="993"/>
                    </w:tabs>
                    <w:ind w:left="720" w:hanging="11"/>
                    <w:jc w:val="both"/>
                    <w:rPr>
                      <w:szCs w:val="24"/>
                    </w:rPr>
                  </w:pPr>
                  <w:r>
                    <w:rPr>
                      <w:szCs w:val="24"/>
                    </w:rPr>
                    <w:t>–</w:t>
                    <w:tab/>
                    <w:t>socialines paslaugas teikiančios viešosios įstaigos;</w:t>
                  </w:r>
                </w:p>
                <w:p>
                  <w:pPr>
                    <w:tabs>
                      <w:tab w:val="left" w:pos="0"/>
                      <w:tab w:val="left" w:pos="993"/>
                    </w:tabs>
                    <w:ind w:left="720" w:hanging="11"/>
                    <w:jc w:val="both"/>
                    <w:rPr>
                      <w:szCs w:val="24"/>
                    </w:rPr>
                  </w:pPr>
                  <w:r>
                    <w:rPr>
                      <w:szCs w:val="24"/>
                    </w:rPr>
                    <w:t>–</w:t>
                    <w:tab/>
                    <w:t>socialinę veiklą vykdančios NVO ir kitos organizacijos.</w:t>
                  </w:r>
                </w:p>
                <w:p>
                  <w:pPr>
                    <w:ind w:firstLine="900"/>
                    <w:rPr>
                      <w:szCs w:val="24"/>
                    </w:rPr>
                  </w:pPr>
                  <w:r>
                    <w:rPr>
                      <w:szCs w:val="24"/>
                    </w:rPr>
                    <w:t xml:space="preserve">Telšių rajono socialinių paslaugų 2016 m.  infrastruktūra pavaizduota žemiau lentelėje.</w:t>
                  </w:r>
                  <w:r>
                    <w:rPr>
                      <w:szCs w:val="24"/>
                      <w:vertAlign w:val="superscript"/>
                    </w:rPr>
                    <w:footnoteReference w:id="18"/>
                  </w:r>
                  <w:r>
                    <w:rPr>
                      <w:szCs w:val="24"/>
                    </w:rPr>
                    <w:t xml:space="preserve"> </w:t>
                  </w:r>
                </w:p>
              </w:sdtContent>
            </w:sdt>
          </w:sdtContent>
        </w:sdt>
        <w:sdt>
          <w:sdtPr>
            <w:alias w:val="poskyris"/>
            <w:tag w:val="part_a570aab9140e4ca6ba8a472119125d09"/>
            <w:lock w:val="sdtLocked"/>
            <w:richText/>
          </w:sdtPr>
          <w:sdtContent>
            <w:p>
              <w:pPr>
                <w:rPr>
                  <w:b/>
                  <w:szCs w:val="24"/>
                </w:rPr>
              </w:pPr>
              <w:sdt>
                <w:sdtPr>
                  <w:alias w:val="Pavadinimas"/>
                  <w:tag w:val="title_a570aab9140e4ca6ba8a472119125d09"/>
                  <w:lock w:val="sdtLocked"/>
                  <w:richText/>
                </w:sdtPr>
                <w:sdtContent>
                  <w:r>
                    <w:rPr>
                      <w:b/>
                      <w:szCs w:val="24"/>
                    </w:rPr>
                    <w:t>Įstaigos, kuriose 2016 m. buvo teikiamos socialinės paslaugos</w:t>
                  </w:r>
                </w:sdtContent>
              </w:sdt>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2154"/>
                <w:gridCol w:w="2693"/>
                <w:gridCol w:w="1417"/>
                <w:gridCol w:w="1276"/>
                <w:gridCol w:w="1559"/>
              </w:tblGrid>
              <w:tr>
                <w:trPr>
                  <w:trHeight w:val="424"/>
                  <w:tblHeader/>
                </w:trPr>
                <w:tc>
                  <w:tcPr>
                    <w:tcW w:w="648"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rPr>
                    </w:pPr>
                    <w:r>
                      <w:rPr>
                        <w:b/>
                        <w:sz w:val="20"/>
                      </w:rPr>
                      <w:t>Eil. Nr.</w:t>
                    </w:r>
                  </w:p>
                </w:tc>
                <w:tc>
                  <w:tcPr>
                    <w:tcW w:w="2154"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Socialinių paslaugų įstaigos tipas pagal žmonių socialines grupes</w:t>
                    </w:r>
                  </w:p>
                </w:tc>
                <w:tc>
                  <w:tcPr>
                    <w:tcW w:w="2693"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Socialinių paslaugų įstaigos pavadinimas</w:t>
                    </w:r>
                  </w:p>
                </w:tc>
                <w:tc>
                  <w:tcPr>
                    <w:tcW w:w="1417"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rPr>
                    </w:pPr>
                    <w:r>
                      <w:rPr>
                        <w:b/>
                        <w:sz w:val="20"/>
                      </w:rPr>
                      <w:t>Pavaldumas</w:t>
                    </w:r>
                  </w:p>
                </w:tc>
                <w:tc>
                  <w:tcPr>
                    <w:tcW w:w="2835" w:type="dxa"/>
                    <w:gridSpan w:val="2"/>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Vietų (gavėjų*) skaičius</w:t>
                    </w:r>
                  </w:p>
                </w:tc>
              </w:tr>
              <w:tr>
                <w:trPr>
                  <w:trHeight w:val="702"/>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1417"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rPr>
                    </w:pPr>
                  </w:p>
                </w:tc>
                <w:tc>
                  <w:tcPr>
                    <w:tcW w:w="1276"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Iš viso:</w:t>
                    </w:r>
                  </w:p>
                </w:tc>
                <w:tc>
                  <w:tcPr>
                    <w:tcW w:w="1559"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Iš jų finansuojamų savivaldybės</w:t>
                    </w:r>
                  </w:p>
                </w:tc>
              </w:tr>
              <w:tr>
                <w:trPr>
                  <w:trHeight w:val="544"/>
                  <w:tblHeader/>
                </w:trPr>
                <w:tc>
                  <w:tcPr>
                    <w:tcW w:w="648"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1.</w:t>
                    </w:r>
                  </w:p>
                </w:tc>
                <w:tc>
                  <w:tcPr>
                    <w:tcW w:w="2154"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Vaikų socialinės globos namai</w:t>
                    </w:r>
                  </w:p>
                </w:tc>
                <w:tc>
                  <w:tcPr>
                    <w:tcW w:w="2693" w:type="dxa"/>
                    <w:vAlign w:val="center"/>
                  </w:tcPr>
                  <w:p>
                    <w:pPr>
                      <w:rPr>
                        <w:sz w:val="20"/>
                      </w:rPr>
                    </w:pPr>
                    <w:r>
                      <w:rPr>
                        <w:sz w:val="20"/>
                      </w:rPr>
                      <w:t>Telšių vaikų globos namai</w:t>
                    </w:r>
                  </w:p>
                </w:tc>
                <w:tc>
                  <w:tcPr>
                    <w:tcW w:w="1417" w:type="dxa"/>
                    <w:vAlign w:val="center"/>
                  </w:tcPr>
                  <w:p>
                    <w:pPr>
                      <w:jc w:val="center"/>
                      <w:rPr>
                        <w:sz w:val="20"/>
                      </w:rPr>
                    </w:pPr>
                    <w:r>
                      <w:rPr>
                        <w:sz w:val="20"/>
                      </w:rPr>
                      <w:t>Telšių rajono savivaldybė</w:t>
                    </w:r>
                  </w:p>
                </w:tc>
                <w:tc>
                  <w:tcPr>
                    <w:tcW w:w="1276" w:type="dxa"/>
                    <w:vAlign w:val="center"/>
                  </w:tcPr>
                  <w:p>
                    <w:pPr>
                      <w:jc w:val="center"/>
                      <w:rPr>
                        <w:strike/>
                        <w:sz w:val="20"/>
                      </w:rPr>
                    </w:pPr>
                    <w:r>
                      <w:rPr>
                        <w:sz w:val="20"/>
                      </w:rPr>
                      <w:t>50</w:t>
                    </w:r>
                  </w:p>
                </w:tc>
                <w:tc>
                  <w:tcPr>
                    <w:tcW w:w="1559" w:type="dxa"/>
                    <w:vAlign w:val="center"/>
                  </w:tcPr>
                  <w:p>
                    <w:pPr>
                      <w:jc w:val="center"/>
                      <w:rPr>
                        <w:strike/>
                        <w:sz w:val="20"/>
                        <w:highlight w:val="yellow"/>
                      </w:rPr>
                    </w:pPr>
                    <w:r>
                      <w:rPr>
                        <w:sz w:val="20"/>
                      </w:rPr>
                      <w:t>50</w:t>
                    </w:r>
                  </w:p>
                </w:tc>
              </w:tr>
              <w:tr>
                <w:trPr>
                  <w:tblHeader/>
                </w:trPr>
                <w:tc>
                  <w:tcPr>
                    <w:tcW w:w="648"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2.</w:t>
                    </w:r>
                  </w:p>
                </w:tc>
                <w:tc>
                  <w:tcPr>
                    <w:tcW w:w="2154"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Senyvo amžiaus asmenų ir suaugusių asmenų su negalia socialinės globos namai</w:t>
                    </w:r>
                  </w:p>
                </w:tc>
                <w:tc>
                  <w:tcPr>
                    <w:tcW w:w="2693"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sz w:val="20"/>
                      </w:rPr>
                    </w:pPr>
                    <w:r>
                      <w:rPr>
                        <w:sz w:val="20"/>
                      </w:rPr>
                      <w:t>Dūseikių socialinės globos namai</w:t>
                    </w:r>
                  </w:p>
                </w:tc>
                <w:tc>
                  <w:tcPr>
                    <w:tcW w:w="1417"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rPr>
                    </w:pPr>
                    <w:r>
                      <w:rPr>
                        <w:sz w:val="20"/>
                      </w:rPr>
                      <w:t>LR SADM</w:t>
                    </w:r>
                  </w:p>
                </w:tc>
                <w:tc>
                  <w:tcPr>
                    <w:tcW w:w="1276"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245</w:t>
                    </w:r>
                  </w:p>
                </w:tc>
                <w:tc>
                  <w:tcPr>
                    <w:tcW w:w="1559"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15</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Telšių rajono senelių globos namai</w:t>
                    </w:r>
                  </w:p>
                </w:tc>
                <w:tc>
                  <w:tcPr>
                    <w:tcW w:w="1417" w:type="dxa"/>
                    <w:vMerge w:val="restart"/>
                    <w:vAlign w:val="center"/>
                  </w:tcPr>
                  <w:p>
                    <w:pPr>
                      <w:jc w:val="center"/>
                      <w:rPr>
                        <w:sz w:val="20"/>
                      </w:rPr>
                    </w:pPr>
                    <w:r>
                      <w:rPr>
                        <w:sz w:val="20"/>
                      </w:rPr>
                      <w:t>Telšių rajono savivaldybė</w:t>
                    </w:r>
                  </w:p>
                </w:tc>
                <w:tc>
                  <w:tcPr>
                    <w:tcW w:w="1276" w:type="dxa"/>
                    <w:vAlign w:val="center"/>
                  </w:tcPr>
                  <w:p>
                    <w:pPr>
                      <w:jc w:val="center"/>
                      <w:rPr>
                        <w:sz w:val="20"/>
                      </w:rPr>
                    </w:pPr>
                    <w:r>
                      <w:rPr>
                        <w:sz w:val="20"/>
                      </w:rPr>
                      <w:t>60</w:t>
                    </w:r>
                  </w:p>
                </w:tc>
                <w:tc>
                  <w:tcPr>
                    <w:tcW w:w="1559" w:type="dxa"/>
                    <w:vAlign w:val="center"/>
                  </w:tcPr>
                  <w:p>
                    <w:pPr>
                      <w:jc w:val="center"/>
                      <w:rPr>
                        <w:sz w:val="20"/>
                      </w:rPr>
                    </w:pPr>
                    <w:r>
                      <w:rPr>
                        <w:sz w:val="20"/>
                      </w:rPr>
                      <w:t>60</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VPSPC Palaikomojo gydymo ir slaugos ligoninės Slaugos (globos) skyrius</w:t>
                    </w:r>
                  </w:p>
                </w:tc>
                <w:tc>
                  <w:tcPr>
                    <w:tcW w:w="1417" w:type="dxa"/>
                    <w:vMerge/>
                    <w:vAlign w:val="center"/>
                  </w:tcPr>
                  <w:p>
                    <w:pPr>
                      <w:jc w:val="center"/>
                      <w:rPr>
                        <w:sz w:val="20"/>
                      </w:rPr>
                    </w:pPr>
                  </w:p>
                </w:tc>
                <w:tc>
                  <w:tcPr>
                    <w:tcW w:w="1276" w:type="dxa"/>
                    <w:vAlign w:val="center"/>
                  </w:tcPr>
                  <w:p>
                    <w:pPr>
                      <w:jc w:val="center"/>
                      <w:rPr>
                        <w:sz w:val="20"/>
                      </w:rPr>
                    </w:pPr>
                    <w:r>
                      <w:rPr>
                        <w:sz w:val="20"/>
                      </w:rPr>
                      <w:t>30</w:t>
                    </w:r>
                  </w:p>
                </w:tc>
                <w:tc>
                  <w:tcPr>
                    <w:tcW w:w="1559" w:type="dxa"/>
                    <w:vAlign w:val="center"/>
                  </w:tcPr>
                  <w:p>
                    <w:pPr>
                      <w:jc w:val="center"/>
                      <w:rPr>
                        <w:sz w:val="20"/>
                      </w:rPr>
                    </w:pPr>
                    <w:r>
                      <w:rPr>
                        <w:sz w:val="20"/>
                      </w:rPr>
                      <w:t>30</w:t>
                    </w:r>
                  </w:p>
                </w:tc>
              </w:tr>
              <w:tr>
                <w:trPr>
                  <w:tblHeader/>
                </w:trPr>
                <w:tc>
                  <w:tcPr>
                    <w:tcW w:w="648"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3.</w:t>
                    </w:r>
                  </w:p>
                </w:tc>
                <w:tc>
                  <w:tcPr>
                    <w:tcW w:w="2154"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Šeimynos</w:t>
                    </w:r>
                  </w:p>
                </w:tc>
                <w:tc>
                  <w:tcPr>
                    <w:tcW w:w="2693" w:type="dxa"/>
                    <w:vAlign w:val="center"/>
                  </w:tcPr>
                  <w:p>
                    <w:pPr>
                      <w:rPr>
                        <w:sz w:val="20"/>
                      </w:rPr>
                    </w:pPr>
                    <w:r>
                      <w:rPr>
                        <w:sz w:val="20"/>
                      </w:rPr>
                      <w:t>─</w:t>
                    </w:r>
                  </w:p>
                </w:tc>
                <w:tc>
                  <w:tcPr>
                    <w:tcW w:w="1417" w:type="dxa"/>
                    <w:vAlign w:val="center"/>
                  </w:tcPr>
                  <w:p>
                    <w:pPr>
                      <w:jc w:val="center"/>
                      <w:rPr>
                        <w:sz w:val="20"/>
                      </w:rPr>
                    </w:pPr>
                    <w:r>
                      <w:rPr>
                        <w:sz w:val="20"/>
                      </w:rPr>
                      <w:t>─</w:t>
                    </w:r>
                  </w:p>
                </w:tc>
                <w:tc>
                  <w:tcPr>
                    <w:tcW w:w="1276" w:type="dxa"/>
                    <w:vAlign w:val="center"/>
                  </w:tcPr>
                  <w:p>
                    <w:pPr>
                      <w:jc w:val="center"/>
                      <w:rPr>
                        <w:sz w:val="20"/>
                      </w:rPr>
                    </w:pPr>
                    <w:r>
                      <w:rPr>
                        <w:sz w:val="20"/>
                      </w:rPr>
                      <w:t>─</w:t>
                    </w:r>
                  </w:p>
                </w:tc>
                <w:tc>
                  <w:tcPr>
                    <w:tcW w:w="1559" w:type="dxa"/>
                    <w:vAlign w:val="center"/>
                  </w:tcPr>
                  <w:p>
                    <w:pPr>
                      <w:jc w:val="center"/>
                      <w:rPr>
                        <w:sz w:val="20"/>
                        <w:highlight w:val="yellow"/>
                      </w:rPr>
                    </w:pPr>
                    <w:r>
                      <w:rPr>
                        <w:sz w:val="20"/>
                      </w:rPr>
                      <w:t>─</w:t>
                    </w:r>
                  </w:p>
                </w:tc>
              </w:tr>
              <w:tr>
                <w:trPr>
                  <w:tblHeader/>
                </w:trPr>
                <w:tc>
                  <w:tcPr>
                    <w:tcW w:w="648"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4.</w:t>
                    </w:r>
                  </w:p>
                </w:tc>
                <w:tc>
                  <w:tcPr>
                    <w:tcW w:w="2154"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Dienos socialinės globos centrai</w:t>
                    </w:r>
                  </w:p>
                </w:tc>
                <w:tc>
                  <w:tcPr>
                    <w:tcW w:w="2693" w:type="dxa"/>
                    <w:vAlign w:val="center"/>
                  </w:tcPr>
                  <w:p>
                    <w:pPr>
                      <w:rPr>
                        <w:sz w:val="20"/>
                      </w:rPr>
                    </w:pPr>
                    <w:r>
                      <w:rPr>
                        <w:sz w:val="20"/>
                      </w:rPr>
                      <w:t>„Vilties“ mokyklos Dienos socialinės globos skyrius</w:t>
                    </w:r>
                  </w:p>
                </w:tc>
                <w:tc>
                  <w:tcPr>
                    <w:tcW w:w="1417" w:type="dxa"/>
                    <w:vMerge w:val="restart"/>
                    <w:vAlign w:val="center"/>
                  </w:tcPr>
                  <w:p>
                    <w:pPr>
                      <w:jc w:val="center"/>
                      <w:rPr>
                        <w:sz w:val="20"/>
                      </w:rPr>
                    </w:pPr>
                    <w:r>
                      <w:rPr>
                        <w:sz w:val="20"/>
                      </w:rPr>
                      <w:t>Telšių rajono savivaldybė</w:t>
                    </w:r>
                  </w:p>
                </w:tc>
                <w:tc>
                  <w:tcPr>
                    <w:tcW w:w="1276" w:type="dxa"/>
                    <w:vAlign w:val="center"/>
                  </w:tcPr>
                  <w:p>
                    <w:pPr>
                      <w:jc w:val="center"/>
                      <w:rPr>
                        <w:sz w:val="20"/>
                      </w:rPr>
                    </w:pPr>
                    <w:r>
                      <w:rPr>
                        <w:sz w:val="20"/>
                      </w:rPr>
                      <w:t>27</w:t>
                    </w:r>
                  </w:p>
                </w:tc>
                <w:tc>
                  <w:tcPr>
                    <w:tcW w:w="1559" w:type="dxa"/>
                    <w:vAlign w:val="center"/>
                  </w:tcPr>
                  <w:p>
                    <w:pPr>
                      <w:jc w:val="center"/>
                      <w:rPr>
                        <w:sz w:val="20"/>
                      </w:rPr>
                    </w:pPr>
                    <w:r>
                      <w:rPr>
                        <w:sz w:val="20"/>
                      </w:rPr>
                      <w:t>27</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sz w:val="20"/>
                      </w:rPr>
                    </w:pPr>
                  </w:p>
                </w:tc>
                <w:tc>
                  <w:tcPr>
                    <w:tcW w:w="2693" w:type="dxa"/>
                    <w:vAlign w:val="center"/>
                  </w:tcPr>
                  <w:p>
                    <w:pPr>
                      <w:rPr>
                        <w:sz w:val="20"/>
                      </w:rPr>
                    </w:pPr>
                    <w:r>
                      <w:rPr>
                        <w:sz w:val="20"/>
                      </w:rPr>
                      <w:t>Telšių senelių globos namų Gedrimų dienos centras</w:t>
                    </w:r>
                  </w:p>
                </w:tc>
                <w:tc>
                  <w:tcPr>
                    <w:tcW w:w="1417" w:type="dxa"/>
                    <w:vMerge/>
                    <w:vAlign w:val="center"/>
                  </w:tcPr>
                  <w:p>
                    <w:pPr>
                      <w:jc w:val="center"/>
                      <w:rPr>
                        <w:sz w:val="20"/>
                      </w:rPr>
                    </w:pPr>
                  </w:p>
                </w:tc>
                <w:tc>
                  <w:tcPr>
                    <w:tcW w:w="1276" w:type="dxa"/>
                    <w:vAlign w:val="center"/>
                  </w:tcPr>
                  <w:p>
                    <w:pPr>
                      <w:jc w:val="center"/>
                      <w:rPr>
                        <w:sz w:val="20"/>
                      </w:rPr>
                    </w:pPr>
                    <w:r>
                      <w:rPr>
                        <w:sz w:val="20"/>
                      </w:rPr>
                      <w:t>20</w:t>
                    </w:r>
                  </w:p>
                </w:tc>
                <w:tc>
                  <w:tcPr>
                    <w:tcW w:w="1559" w:type="dxa"/>
                    <w:vAlign w:val="center"/>
                  </w:tcPr>
                  <w:p>
                    <w:pPr>
                      <w:jc w:val="center"/>
                      <w:rPr>
                        <w:sz w:val="20"/>
                        <w:highlight w:val="yellow"/>
                      </w:rPr>
                    </w:pPr>
                    <w:r>
                      <w:rPr>
                        <w:sz w:val="20"/>
                      </w:rPr>
                      <w:t>20</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sz w:val="20"/>
                      </w:rPr>
                    </w:pPr>
                  </w:p>
                </w:tc>
                <w:tc>
                  <w:tcPr>
                    <w:tcW w:w="2693" w:type="dxa"/>
                    <w:vAlign w:val="center"/>
                  </w:tcPr>
                  <w:p>
                    <w:pPr>
                      <w:rPr>
                        <w:sz w:val="20"/>
                      </w:rPr>
                    </w:pPr>
                    <w:r>
                      <w:rPr>
                        <w:sz w:val="20"/>
                      </w:rPr>
                      <w:t>Telšių socialinių paslaugų centro Telšių dienos centras</w:t>
                    </w:r>
                  </w:p>
                </w:tc>
                <w:tc>
                  <w:tcPr>
                    <w:tcW w:w="1417" w:type="dxa"/>
                    <w:vMerge/>
                    <w:vAlign w:val="center"/>
                  </w:tcPr>
                  <w:p>
                    <w:pPr>
                      <w:jc w:val="center"/>
                      <w:rPr>
                        <w:sz w:val="20"/>
                      </w:rPr>
                    </w:pPr>
                  </w:p>
                </w:tc>
                <w:tc>
                  <w:tcPr>
                    <w:tcW w:w="1276" w:type="dxa"/>
                    <w:vAlign w:val="center"/>
                  </w:tcPr>
                  <w:p>
                    <w:pPr>
                      <w:jc w:val="center"/>
                      <w:rPr>
                        <w:sz w:val="20"/>
                      </w:rPr>
                    </w:pPr>
                    <w:r>
                      <w:rPr>
                        <w:sz w:val="20"/>
                      </w:rPr>
                      <w:t>13</w:t>
                    </w:r>
                  </w:p>
                </w:tc>
                <w:tc>
                  <w:tcPr>
                    <w:tcW w:w="1559" w:type="dxa"/>
                    <w:vAlign w:val="center"/>
                  </w:tcPr>
                  <w:p>
                    <w:pPr>
                      <w:jc w:val="center"/>
                      <w:rPr>
                        <w:sz w:val="20"/>
                      </w:rPr>
                    </w:pPr>
                    <w:r>
                      <w:rPr>
                        <w:sz w:val="20"/>
                      </w:rPr>
                      <w:t>—</w:t>
                    </w:r>
                  </w:p>
                </w:tc>
              </w:tr>
              <w:tr>
                <w:trPr>
                  <w:tblHeader/>
                </w:trPr>
                <w:tc>
                  <w:tcPr>
                    <w:tcW w:w="648"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5.</w:t>
                    </w:r>
                  </w:p>
                </w:tc>
                <w:tc>
                  <w:tcPr>
                    <w:tcW w:w="2154"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rFonts w:ascii="Courier New" w:hAnsi="Courier New"/>
                        <w:b/>
                        <w:sz w:val="20"/>
                      </w:rPr>
                    </w:pPr>
                    <w:r>
                      <w:rPr>
                        <w:b/>
                        <w:sz w:val="20"/>
                      </w:rPr>
                      <w:t>Senyvo amžiaus žmonių ir suaugusių asmenų su negalia savarankiško gyvenimo namai</w:t>
                    </w:r>
                  </w:p>
                </w:tc>
                <w:tc>
                  <w:tcPr>
                    <w:tcW w:w="2693" w:type="dxa"/>
                    <w:vAlign w:val="center"/>
                  </w:tcPr>
                  <w:p>
                    <w:pPr>
                      <w:rPr>
                        <w:sz w:val="20"/>
                      </w:rPr>
                    </w:pPr>
                    <w:r>
                      <w:rPr>
                        <w:sz w:val="20"/>
                      </w:rPr>
                      <w:t>Telšių socialinių paslaugų centro Savarankiško gyvenimo namai</w:t>
                    </w:r>
                  </w:p>
                </w:tc>
                <w:tc>
                  <w:tcPr>
                    <w:tcW w:w="1417"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1276"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11</w:t>
                    </w:r>
                  </w:p>
                </w:tc>
                <w:tc>
                  <w:tcPr>
                    <w:tcW w:w="1559"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32</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Telšių rajono senelių globos namų Gedrimų savarankiško gyvenimo namai</w:t>
                    </w:r>
                  </w:p>
                </w:tc>
                <w:tc>
                  <w:tcPr>
                    <w:tcW w:w="1417"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1276" w:type="dxa"/>
                    <w:vAlign w:val="center"/>
                  </w:tcPr>
                  <w:p>
                    <w:pPr>
                      <w:jc w:val="center"/>
                      <w:rPr>
                        <w:sz w:val="20"/>
                      </w:rPr>
                    </w:pPr>
                    <w:r>
                      <w:rPr>
                        <w:sz w:val="20"/>
                      </w:rPr>
                      <w:t>34</w:t>
                    </w:r>
                  </w:p>
                </w:tc>
                <w:tc>
                  <w:tcPr>
                    <w:tcW w:w="1559" w:type="dxa"/>
                    <w:vAlign w:val="center"/>
                  </w:tcPr>
                  <w:p>
                    <w:pPr>
                      <w:jc w:val="center"/>
                      <w:rPr>
                        <w:sz w:val="20"/>
                        <w:highlight w:val="yellow"/>
                      </w:rPr>
                    </w:pPr>
                    <w:r>
                      <w:rPr>
                        <w:sz w:val="20"/>
                      </w:rPr>
                      <w:t>34</w:t>
                    </w:r>
                  </w:p>
                </w:tc>
              </w:tr>
              <w:tr>
                <w:trPr>
                  <w:trHeight w:val="789"/>
                  <w:tblHeader/>
                </w:trPr>
                <w:tc>
                  <w:tcPr>
                    <w:tcW w:w="648"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6.</w:t>
                    </w:r>
                  </w:p>
                </w:tc>
                <w:tc>
                  <w:tcPr>
                    <w:tcW w:w="2154"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 xml:space="preserve">Socialinės rizikos šeimų savarankiško gyvenimo namai </w:t>
                    </w:r>
                  </w:p>
                </w:tc>
                <w:tc>
                  <w:tcPr>
                    <w:tcW w:w="2693" w:type="dxa"/>
                    <w:vAlign w:val="center"/>
                  </w:tcPr>
                  <w:p>
                    <w:pPr>
                      <w:rPr>
                        <w:sz w:val="20"/>
                      </w:rPr>
                    </w:pPr>
                    <w:r>
                      <w:rPr>
                        <w:sz w:val="20"/>
                      </w:rPr>
                      <w:t>Telšių vaikų globos namų Laikini šeimos namai</w:t>
                    </w:r>
                  </w:p>
                </w:tc>
                <w:tc>
                  <w:tcPr>
                    <w:tcW w:w="1417"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1276"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18</w:t>
                    </w:r>
                  </w:p>
                </w:tc>
                <w:tc>
                  <w:tcPr>
                    <w:tcW w:w="1559" w:type="dxa"/>
                    <w:vAlign w:val="center"/>
                  </w:tcPr>
                  <w:p>
                    <w:pPr>
                      <w:jc w:val="center"/>
                      <w:rPr>
                        <w:sz w:val="20"/>
                        <w:highlight w:val="yellow"/>
                      </w:rPr>
                    </w:pPr>
                    <w:r>
                      <w:rPr>
                        <w:sz w:val="20"/>
                      </w:rPr>
                      <w:t>18</w:t>
                    </w:r>
                  </w:p>
                </w:tc>
              </w:tr>
              <w:tr>
                <w:trPr>
                  <w:trHeight w:val="309"/>
                  <w:tblHeader/>
                </w:trPr>
                <w:tc>
                  <w:tcPr>
                    <w:tcW w:w="648"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7.</w:t>
                    </w:r>
                  </w:p>
                </w:tc>
                <w:tc>
                  <w:tcPr>
                    <w:tcW w:w="2154"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Socialinės priežiūros centrai</w:t>
                    </w:r>
                  </w:p>
                </w:tc>
                <w:tc>
                  <w:tcPr>
                    <w:tcW w:w="6945" w:type="dxa"/>
                    <w:gridSpan w:val="4"/>
                    <w:vAlign w:val="center"/>
                  </w:tcPr>
                  <w:p>
                    <w:pPr>
                      <w:jc w:val="center"/>
                      <w:rPr>
                        <w:sz w:val="20"/>
                      </w:rPr>
                    </w:pPr>
                    <w:r>
                      <w:rPr>
                        <w:sz w:val="20"/>
                      </w:rPr>
                      <w:t>Telšių socialinių paslaugų centro</w:t>
                    </w:r>
                  </w:p>
                </w:tc>
              </w:tr>
              <w:tr>
                <w:trPr>
                  <w:trHeight w:val="613"/>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Telšių dienos centras</w:t>
                    </w:r>
                  </w:p>
                </w:tc>
                <w:tc>
                  <w:tcPr>
                    <w:tcW w:w="1417" w:type="dxa"/>
                    <w:vMerge w:val="restart"/>
                    <w:vAlign w:val="center"/>
                  </w:tcPr>
                  <w:p>
                    <w:pPr>
                      <w:jc w:val="center"/>
                      <w:rPr>
                        <w:sz w:val="20"/>
                      </w:rPr>
                    </w:pPr>
                    <w:r>
                      <w:rPr>
                        <w:sz w:val="20"/>
                      </w:rPr>
                      <w:t>Telšių rajono savivaldybė</w:t>
                    </w:r>
                  </w:p>
                </w:tc>
                <w:tc>
                  <w:tcPr>
                    <w:tcW w:w="1276" w:type="dxa"/>
                    <w:vAlign w:val="center"/>
                  </w:tcPr>
                  <w:p>
                    <w:pPr>
                      <w:jc w:val="center"/>
                      <w:rPr>
                        <w:sz w:val="20"/>
                      </w:rPr>
                    </w:pPr>
                    <w:r>
                      <w:rPr>
                        <w:sz w:val="20"/>
                      </w:rPr>
                      <w:t>50</w:t>
                    </w:r>
                  </w:p>
                </w:tc>
                <w:tc>
                  <w:tcPr>
                    <w:tcW w:w="1559" w:type="dxa"/>
                    <w:vAlign w:val="center"/>
                  </w:tcPr>
                  <w:p>
                    <w:pPr>
                      <w:jc w:val="center"/>
                      <w:rPr>
                        <w:sz w:val="20"/>
                      </w:rPr>
                    </w:pPr>
                    <w:r>
                      <w:rPr>
                        <w:sz w:val="20"/>
                      </w:rPr>
                      <w:t>50</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Mitkaičių dienos centras</w:t>
                    </w:r>
                  </w:p>
                </w:tc>
                <w:tc>
                  <w:tcPr>
                    <w:tcW w:w="1417"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1276" w:type="dxa"/>
                    <w:vAlign w:val="center"/>
                  </w:tcPr>
                  <w:p>
                    <w:pPr>
                      <w:jc w:val="center"/>
                      <w:rPr>
                        <w:sz w:val="20"/>
                      </w:rPr>
                    </w:pPr>
                    <w:r>
                      <w:rPr>
                        <w:sz w:val="20"/>
                      </w:rPr>
                      <w:t>50</w:t>
                    </w:r>
                  </w:p>
                </w:tc>
                <w:tc>
                  <w:tcPr>
                    <w:tcW w:w="1559" w:type="dxa"/>
                    <w:vAlign w:val="center"/>
                  </w:tcPr>
                  <w:p>
                    <w:pPr>
                      <w:jc w:val="center"/>
                      <w:rPr>
                        <w:sz w:val="20"/>
                      </w:rPr>
                    </w:pPr>
                    <w:r>
                      <w:rPr>
                        <w:sz w:val="20"/>
                      </w:rPr>
                      <w:t>30</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Upynos dienos centras</w:t>
                    </w:r>
                  </w:p>
                </w:tc>
                <w:tc>
                  <w:tcPr>
                    <w:tcW w:w="1417"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1276" w:type="dxa"/>
                    <w:vAlign w:val="center"/>
                  </w:tcPr>
                  <w:p>
                    <w:pPr>
                      <w:jc w:val="center"/>
                      <w:rPr>
                        <w:sz w:val="20"/>
                      </w:rPr>
                    </w:pPr>
                    <w:r>
                      <w:rPr>
                        <w:sz w:val="20"/>
                      </w:rPr>
                      <w:t>55</w:t>
                    </w:r>
                  </w:p>
                </w:tc>
                <w:tc>
                  <w:tcPr>
                    <w:tcW w:w="1559" w:type="dxa"/>
                    <w:vAlign w:val="center"/>
                  </w:tcPr>
                  <w:p>
                    <w:pPr>
                      <w:jc w:val="center"/>
                      <w:rPr>
                        <w:sz w:val="20"/>
                      </w:rPr>
                    </w:pPr>
                    <w:r>
                      <w:rPr>
                        <w:sz w:val="20"/>
                      </w:rPr>
                      <w:t>55</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Žarėnų dienos centras</w:t>
                    </w:r>
                  </w:p>
                </w:tc>
                <w:tc>
                  <w:tcPr>
                    <w:tcW w:w="1417"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1276" w:type="dxa"/>
                    <w:vAlign w:val="center"/>
                  </w:tcPr>
                  <w:p>
                    <w:pPr>
                      <w:jc w:val="center"/>
                      <w:rPr>
                        <w:sz w:val="20"/>
                      </w:rPr>
                    </w:pPr>
                    <w:r>
                      <w:rPr>
                        <w:sz w:val="20"/>
                      </w:rPr>
                      <w:t>50</w:t>
                    </w:r>
                  </w:p>
                </w:tc>
                <w:tc>
                  <w:tcPr>
                    <w:tcW w:w="1559" w:type="dxa"/>
                    <w:vAlign w:val="center"/>
                  </w:tcPr>
                  <w:p>
                    <w:pPr>
                      <w:jc w:val="center"/>
                      <w:rPr>
                        <w:sz w:val="20"/>
                      </w:rPr>
                    </w:pPr>
                    <w:r>
                      <w:rPr>
                        <w:sz w:val="20"/>
                      </w:rPr>
                      <w:t>50</w:t>
                    </w:r>
                  </w:p>
                </w:tc>
              </w:tr>
              <w:tr>
                <w:trPr>
                  <w:tblHeader/>
                </w:trPr>
                <w:tc>
                  <w:tcPr>
                    <w:tcW w:w="648"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8.</w:t>
                    </w:r>
                  </w:p>
                </w:tc>
                <w:tc>
                  <w:tcPr>
                    <w:tcW w:w="2154"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sz w:val="20"/>
                      </w:rPr>
                    </w:pPr>
                    <w:r>
                      <w:rPr>
                        <w:b/>
                        <w:sz w:val="20"/>
                      </w:rPr>
                      <w:t>Nakvynės namai</w:t>
                    </w:r>
                  </w:p>
                </w:tc>
                <w:tc>
                  <w:tcPr>
                    <w:tcW w:w="2693" w:type="dxa"/>
                    <w:vAlign w:val="center"/>
                  </w:tcPr>
                  <w:p>
                    <w:pPr>
                      <w:rPr>
                        <w:sz w:val="20"/>
                      </w:rPr>
                    </w:pPr>
                    <w:r>
                      <w:rPr>
                        <w:sz w:val="20"/>
                      </w:rPr>
                      <w:t>Telšių socialinių paslaugų centro Nakvynės namai</w:t>
                    </w:r>
                  </w:p>
                </w:tc>
                <w:tc>
                  <w:tcPr>
                    <w:tcW w:w="1417" w:type="dxa"/>
                    <w:vMerge/>
                    <w:vAlign w:val="center"/>
                  </w:tcPr>
                  <w:p>
                    <w:pPr>
                      <w:jc w:val="center"/>
                      <w:rPr>
                        <w:sz w:val="20"/>
                      </w:rPr>
                    </w:pPr>
                  </w:p>
                </w:tc>
                <w:tc>
                  <w:tcPr>
                    <w:tcW w:w="1276" w:type="dxa"/>
                    <w:vAlign w:val="center"/>
                  </w:tcPr>
                  <w:p>
                    <w:pPr>
                      <w:jc w:val="center"/>
                      <w:rPr>
                        <w:sz w:val="20"/>
                      </w:rPr>
                    </w:pPr>
                    <w:r>
                      <w:rPr>
                        <w:sz w:val="20"/>
                      </w:rPr>
                      <w:t>18</w:t>
                    </w:r>
                  </w:p>
                </w:tc>
                <w:tc>
                  <w:tcPr>
                    <w:tcW w:w="1559" w:type="dxa"/>
                    <w:vAlign w:val="center"/>
                  </w:tcPr>
                  <w:p>
                    <w:pPr>
                      <w:jc w:val="center"/>
                      <w:rPr>
                        <w:sz w:val="20"/>
                      </w:rPr>
                    </w:pPr>
                    <w:r>
                      <w:rPr>
                        <w:sz w:val="20"/>
                      </w:rPr>
                      <w:t>18</w:t>
                    </w:r>
                  </w:p>
                </w:tc>
              </w:tr>
              <w:tr>
                <w:trPr>
                  <w:tblHeader/>
                </w:trPr>
                <w:tc>
                  <w:tcPr>
                    <w:tcW w:w="648"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9.</w:t>
                    </w:r>
                  </w:p>
                </w:tc>
                <w:tc>
                  <w:tcPr>
                    <w:tcW w:w="2154"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Krizių centrai</w:t>
                    </w:r>
                  </w:p>
                </w:tc>
                <w:tc>
                  <w:tcPr>
                    <w:tcW w:w="2693" w:type="dxa"/>
                    <w:vAlign w:val="center"/>
                  </w:tcPr>
                  <w:p>
                    <w:pPr>
                      <w:rPr>
                        <w:sz w:val="20"/>
                      </w:rPr>
                    </w:pPr>
                    <w:r>
                      <w:rPr>
                        <w:sz w:val="20"/>
                      </w:rPr>
                      <w:t>Telšių krizių centras</w:t>
                    </w:r>
                  </w:p>
                </w:tc>
                <w:tc>
                  <w:tcPr>
                    <w:tcW w:w="1417" w:type="dxa"/>
                    <w:vAlign w:val="center"/>
                  </w:tcPr>
                  <w:p>
                    <w:pPr>
                      <w:jc w:val="center"/>
                      <w:rPr>
                        <w:sz w:val="20"/>
                      </w:rPr>
                    </w:pPr>
                    <w:r>
                      <w:rPr>
                        <w:sz w:val="20"/>
                      </w:rPr>
                      <w:t>VšĮ</w:t>
                    </w:r>
                  </w:p>
                </w:tc>
                <w:tc>
                  <w:tcPr>
                    <w:tcW w:w="1276" w:type="dxa"/>
                    <w:vAlign w:val="center"/>
                  </w:tcPr>
                  <w:p>
                    <w:pPr>
                      <w:jc w:val="center"/>
                      <w:rPr>
                        <w:sz w:val="20"/>
                      </w:rPr>
                    </w:pPr>
                    <w:r>
                      <w:rPr>
                        <w:sz w:val="20"/>
                      </w:rPr>
                      <w:t>10</w:t>
                    </w:r>
                  </w:p>
                </w:tc>
                <w:tc>
                  <w:tcPr>
                    <w:tcW w:w="1559" w:type="dxa"/>
                    <w:vAlign w:val="center"/>
                  </w:tcPr>
                  <w:p>
                    <w:pPr>
                      <w:jc w:val="center"/>
                      <w:rPr>
                        <w:sz w:val="20"/>
                      </w:rPr>
                    </w:pPr>
                    <w:r>
                      <w:rPr>
                        <w:sz w:val="20"/>
                      </w:rPr>
                      <w:t>4</w:t>
                    </w:r>
                  </w:p>
                </w:tc>
              </w:tr>
              <w:tr>
                <w:trPr>
                  <w:tblHeader/>
                </w:trPr>
                <w:tc>
                  <w:tcPr>
                    <w:tcW w:w="648"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10.</w:t>
                    </w:r>
                  </w:p>
                </w:tc>
                <w:tc>
                  <w:tcPr>
                    <w:tcW w:w="2154"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Pagalbos namuose tarnybos</w:t>
                    </w:r>
                  </w:p>
                </w:tc>
                <w:tc>
                  <w:tcPr>
                    <w:tcW w:w="6945" w:type="dxa"/>
                    <w:gridSpan w:val="4"/>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rPr>
                    </w:pPr>
                    <w:r>
                      <w:rPr>
                        <w:sz w:val="20"/>
                      </w:rPr>
                      <w:t>Telšių socialinių paslaugų centras:</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Pagalbos į namus paslaugų teikimas</w:t>
                    </w:r>
                  </w:p>
                </w:tc>
                <w:tc>
                  <w:tcPr>
                    <w:tcW w:w="1417"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Telšių rajono savivaldybė</w:t>
                    </w:r>
                  </w:p>
                </w:tc>
                <w:tc>
                  <w:tcPr>
                    <w:tcW w:w="1276" w:type="dxa"/>
                    <w:vAlign w:val="center"/>
                  </w:tcPr>
                  <w:p>
                    <w:pPr>
                      <w:jc w:val="center"/>
                      <w:rPr>
                        <w:sz w:val="20"/>
                      </w:rPr>
                    </w:pPr>
                    <w:r>
                      <w:rPr>
                        <w:sz w:val="20"/>
                      </w:rPr>
                      <w:t>175</w:t>
                    </w:r>
                  </w:p>
                </w:tc>
                <w:tc>
                  <w:tcPr>
                    <w:tcW w:w="1559" w:type="dxa"/>
                    <w:vAlign w:val="center"/>
                  </w:tcPr>
                  <w:p>
                    <w:pPr>
                      <w:jc w:val="center"/>
                      <w:rPr>
                        <w:sz w:val="20"/>
                      </w:rPr>
                    </w:pPr>
                    <w:r>
                      <w:rPr>
                        <w:sz w:val="20"/>
                      </w:rPr>
                      <w:t>175</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Dienos globa namuose</w:t>
                    </w:r>
                  </w:p>
                </w:tc>
                <w:tc>
                  <w:tcPr>
                    <w:tcW w:w="1417" w:type="dxa"/>
                    <w:vMerge/>
                    <w:vAlign w:val="center"/>
                  </w:tcPr>
                  <w:p>
                    <w:pPr>
                      <w:jc w:val="center"/>
                      <w:rPr>
                        <w:sz w:val="20"/>
                      </w:rPr>
                    </w:pPr>
                  </w:p>
                </w:tc>
                <w:tc>
                  <w:tcPr>
                    <w:tcW w:w="1276" w:type="dxa"/>
                    <w:vAlign w:val="center"/>
                  </w:tcPr>
                  <w:p>
                    <w:pPr>
                      <w:jc w:val="center"/>
                      <w:rPr>
                        <w:sz w:val="20"/>
                      </w:rPr>
                    </w:pPr>
                    <w:r>
                      <w:rPr>
                        <w:sz w:val="20"/>
                      </w:rPr>
                      <w:t>71</w:t>
                    </w:r>
                  </w:p>
                </w:tc>
                <w:tc>
                  <w:tcPr>
                    <w:tcW w:w="1559" w:type="dxa"/>
                    <w:vAlign w:val="center"/>
                  </w:tcPr>
                  <w:p>
                    <w:pPr>
                      <w:jc w:val="center"/>
                      <w:rPr>
                        <w:sz w:val="20"/>
                      </w:rPr>
                    </w:pPr>
                    <w:r>
                      <w:rPr>
                        <w:sz w:val="20"/>
                      </w:rPr>
                      <w:t>71</w:t>
                    </w:r>
                  </w:p>
                </w:tc>
              </w:tr>
              <w:tr>
                <w:trPr>
                  <w:tblHeader/>
                </w:trPr>
                <w:tc>
                  <w:tcPr>
                    <w:tcW w:w="648"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11.</w:t>
                    </w:r>
                  </w:p>
                </w:tc>
                <w:tc>
                  <w:tcPr>
                    <w:tcW w:w="2154"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Socialinių paslaugų centrai</w:t>
                    </w:r>
                  </w:p>
                </w:tc>
                <w:tc>
                  <w:tcPr>
                    <w:tcW w:w="2693" w:type="dxa"/>
                    <w:vAlign w:val="center"/>
                  </w:tcPr>
                  <w:p>
                    <w:pPr>
                      <w:rPr>
                        <w:sz w:val="20"/>
                      </w:rPr>
                    </w:pPr>
                    <w:r>
                      <w:rPr>
                        <w:sz w:val="20"/>
                      </w:rPr>
                      <w:t>Telšių socialinių paslaugų centras</w:t>
                    </w:r>
                  </w:p>
                </w:tc>
                <w:tc>
                  <w:tcPr>
                    <w:tcW w:w="1417" w:type="dxa"/>
                    <w:vMerge/>
                    <w:vAlign w:val="center"/>
                  </w:tcPr>
                  <w:p>
                    <w:pPr>
                      <w:jc w:val="center"/>
                      <w:rPr>
                        <w:sz w:val="20"/>
                      </w:rPr>
                    </w:pPr>
                  </w:p>
                </w:tc>
                <w:tc>
                  <w:tcPr>
                    <w:tcW w:w="1276" w:type="dxa"/>
                    <w:vAlign w:val="center"/>
                  </w:tcPr>
                  <w:p>
                    <w:pPr>
                      <w:jc w:val="center"/>
                      <w:rPr>
                        <w:sz w:val="20"/>
                      </w:rPr>
                    </w:pPr>
                    <w:r>
                      <w:rPr>
                        <w:sz w:val="20"/>
                      </w:rPr>
                      <w:t>—</w:t>
                    </w:r>
                  </w:p>
                </w:tc>
                <w:tc>
                  <w:tcPr>
                    <w:tcW w:w="1559" w:type="dxa"/>
                    <w:vAlign w:val="center"/>
                  </w:tcPr>
                  <w:p>
                    <w:pPr>
                      <w:jc w:val="center"/>
                      <w:rPr>
                        <w:sz w:val="20"/>
                      </w:rPr>
                    </w:pPr>
                    <w:r>
                      <w:rPr>
                        <w:sz w:val="20"/>
                      </w:rPr>
                      <w:t>—</w:t>
                    </w:r>
                  </w:p>
                </w:tc>
              </w:tr>
              <w:tr>
                <w:trPr>
                  <w:trHeight w:val="519"/>
                  <w:tblHeader/>
                </w:trPr>
                <w:tc>
                  <w:tcPr>
                    <w:tcW w:w="648"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12.</w:t>
                    </w:r>
                  </w:p>
                </w:tc>
                <w:tc>
                  <w:tcPr>
                    <w:tcW w:w="2154" w:type="dxa"/>
                    <w:vMerge w:val="restart"/>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Bendruomeninės įstaigos</w:t>
                    </w:r>
                  </w:p>
                </w:tc>
                <w:tc>
                  <w:tcPr>
                    <w:tcW w:w="2693" w:type="dxa"/>
                    <w:vAlign w:val="center"/>
                  </w:tcPr>
                  <w:p>
                    <w:pPr>
                      <w:rPr>
                        <w:sz w:val="20"/>
                      </w:rPr>
                    </w:pPr>
                    <w:r>
                      <w:rPr>
                        <w:sz w:val="20"/>
                      </w:rPr>
                      <w:t>Telšių vyskupijos Šeimos centro vaikų dienos centras</w:t>
                    </w:r>
                  </w:p>
                  <w:p>
                    <w:pPr>
                      <w:rPr>
                        <w:sz w:val="20"/>
                      </w:rPr>
                    </w:pPr>
                    <w:r>
                      <w:rPr>
                        <w:sz w:val="20"/>
                      </w:rPr>
                      <w:t>„Židinėlis“</w:t>
                    </w:r>
                  </w:p>
                </w:tc>
                <w:tc>
                  <w:tcPr>
                    <w:tcW w:w="1417" w:type="dxa"/>
                    <w:vMerge w:val="restart"/>
                    <w:vAlign w:val="center"/>
                  </w:tcPr>
                  <w:p>
                    <w:pPr>
                      <w:widowControl w:val="0"/>
                      <w:suppressAutoHyphens/>
                      <w:jc w:val="center"/>
                      <w:textAlignment w:val="baseline"/>
                      <w:rPr>
                        <w:sz w:val="20"/>
                        <w:lang w:eastAsia="ar-SA"/>
                      </w:rPr>
                    </w:pPr>
                    <w:r>
                      <w:rPr>
                        <w:sz w:val="20"/>
                        <w:lang w:eastAsia="ar-SA"/>
                      </w:rPr>
                      <w:t>Vyskupo dekretu registruota religinė bendruomenė, bendrija</w:t>
                    </w:r>
                  </w:p>
                </w:tc>
                <w:tc>
                  <w:tcPr>
                    <w:tcW w:w="1276" w:type="dxa"/>
                    <w:vAlign w:val="center"/>
                  </w:tcPr>
                  <w:p>
                    <w:pPr>
                      <w:jc w:val="center"/>
                      <w:rPr>
                        <w:sz w:val="20"/>
                      </w:rPr>
                    </w:pPr>
                    <w:r>
                      <w:rPr>
                        <w:sz w:val="20"/>
                      </w:rPr>
                      <w:t>60</w:t>
                    </w:r>
                  </w:p>
                </w:tc>
                <w:tc>
                  <w:tcPr>
                    <w:tcW w:w="1559" w:type="dxa"/>
                    <w:vAlign w:val="center"/>
                  </w:tcPr>
                  <w:p>
                    <w:pPr>
                      <w:jc w:val="center"/>
                      <w:rPr>
                        <w:sz w:val="20"/>
                      </w:rPr>
                    </w:pPr>
                    <w:r>
                      <w:rPr>
                        <w:sz w:val="20"/>
                      </w:rPr>
                      <w:t>7</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Telšių vyskupijos „Caritas”, labdaros valgykla</w:t>
                    </w:r>
                  </w:p>
                </w:tc>
                <w:tc>
                  <w:tcPr>
                    <w:tcW w:w="1417" w:type="dxa"/>
                    <w:vMerge/>
                    <w:vAlign w:val="center"/>
                  </w:tcPr>
                  <w:p>
                    <w:pPr>
                      <w:jc w:val="center"/>
                      <w:rPr>
                        <w:sz w:val="20"/>
                      </w:rPr>
                    </w:pPr>
                  </w:p>
                </w:tc>
                <w:tc>
                  <w:tcPr>
                    <w:tcW w:w="1276" w:type="dxa"/>
                    <w:vAlign w:val="center"/>
                  </w:tcPr>
                  <w:p>
                    <w:pPr>
                      <w:jc w:val="center"/>
                      <w:rPr>
                        <w:sz w:val="20"/>
                      </w:rPr>
                    </w:pPr>
                    <w:r>
                      <w:rPr>
                        <w:sz w:val="20"/>
                      </w:rPr>
                      <w:t>50</w:t>
                    </w:r>
                  </w:p>
                </w:tc>
                <w:tc>
                  <w:tcPr>
                    <w:tcW w:w="1559" w:type="dxa"/>
                    <w:vAlign w:val="center"/>
                  </w:tcPr>
                  <w:p>
                    <w:pPr>
                      <w:jc w:val="center"/>
                      <w:rPr>
                        <w:sz w:val="20"/>
                      </w:rPr>
                    </w:pPr>
                    <w:r>
                      <w:rPr>
                        <w:sz w:val="20"/>
                      </w:rPr>
                      <w:t>71</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Lietuvos aklųjų ir silpnaregių sąjungos Telšių rajono filialas</w:t>
                    </w:r>
                  </w:p>
                </w:tc>
                <w:tc>
                  <w:tcPr>
                    <w:tcW w:w="1417" w:type="dxa"/>
                    <w:vMerge w:val="restart"/>
                    <w:vAlign w:val="center"/>
                  </w:tcPr>
                  <w:p>
                    <w:pPr>
                      <w:jc w:val="center"/>
                      <w:rPr>
                        <w:sz w:val="20"/>
                      </w:rPr>
                    </w:pPr>
                    <w:r>
                      <w:rPr>
                        <w:sz w:val="20"/>
                      </w:rPr>
                      <w:t>NVO</w:t>
                    </w:r>
                  </w:p>
                </w:tc>
                <w:tc>
                  <w:tcPr>
                    <w:tcW w:w="1276" w:type="dxa"/>
                    <w:vAlign w:val="center"/>
                  </w:tcPr>
                  <w:p>
                    <w:pPr>
                      <w:jc w:val="center"/>
                      <w:rPr>
                        <w:sz w:val="20"/>
                      </w:rPr>
                    </w:pPr>
                    <w:r>
                      <w:rPr>
                        <w:sz w:val="20"/>
                      </w:rPr>
                      <w:t>—</w:t>
                    </w:r>
                  </w:p>
                </w:tc>
                <w:tc>
                  <w:tcPr>
                    <w:tcW w:w="1559" w:type="dxa"/>
                    <w:vAlign w:val="center"/>
                  </w:tcPr>
                  <w:p>
                    <w:pPr>
                      <w:jc w:val="center"/>
                      <w:rPr>
                        <w:sz w:val="20"/>
                      </w:rPr>
                    </w:pPr>
                    <w:r>
                      <w:rPr>
                        <w:sz w:val="20"/>
                      </w:rPr>
                      <w:t>111</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ind w:right="-874"/>
                      <w:rPr>
                        <w:sz w:val="20"/>
                      </w:rPr>
                    </w:pPr>
                    <w:r>
                      <w:rPr>
                        <w:sz w:val="20"/>
                      </w:rPr>
                      <w:t>Lietuvos Raudonojo</w:t>
                    </w:r>
                  </w:p>
                  <w:p>
                    <w:pPr>
                      <w:rPr>
                        <w:sz w:val="20"/>
                      </w:rPr>
                    </w:pPr>
                    <w:r>
                      <w:rPr>
                        <w:sz w:val="20"/>
                      </w:rPr>
                      <w:t>Telšių rajono komitetas</w:t>
                    </w:r>
                  </w:p>
                </w:tc>
                <w:tc>
                  <w:tcPr>
                    <w:tcW w:w="1417" w:type="dxa"/>
                    <w:vMerge/>
                    <w:vAlign w:val="center"/>
                  </w:tcPr>
                  <w:p>
                    <w:pPr>
                      <w:jc w:val="center"/>
                      <w:rPr>
                        <w:sz w:val="20"/>
                      </w:rPr>
                    </w:pPr>
                  </w:p>
                </w:tc>
                <w:tc>
                  <w:tcPr>
                    <w:tcW w:w="1276" w:type="dxa"/>
                    <w:vAlign w:val="center"/>
                  </w:tcPr>
                  <w:p>
                    <w:pPr>
                      <w:jc w:val="center"/>
                      <w:rPr>
                        <w:sz w:val="20"/>
                      </w:rPr>
                    </w:pPr>
                    <w:r>
                      <w:rPr>
                        <w:sz w:val="20"/>
                      </w:rPr>
                      <w:t>—</w:t>
                    </w:r>
                  </w:p>
                </w:tc>
                <w:tc>
                  <w:tcPr>
                    <w:tcW w:w="1559" w:type="dxa"/>
                    <w:vAlign w:val="center"/>
                  </w:tcPr>
                  <w:p>
                    <w:pPr>
                      <w:jc w:val="center"/>
                      <w:rPr>
                        <w:sz w:val="20"/>
                      </w:rPr>
                    </w:pPr>
                    <w:r>
                      <w:rPr>
                        <w:sz w:val="20"/>
                      </w:rPr>
                      <w:t>125</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Telšių sutrikusios psichikos žmonių globos bendrija</w:t>
                    </w:r>
                  </w:p>
                </w:tc>
                <w:tc>
                  <w:tcPr>
                    <w:tcW w:w="1417" w:type="dxa"/>
                    <w:vMerge/>
                    <w:vAlign w:val="center"/>
                  </w:tcPr>
                  <w:p>
                    <w:pPr>
                      <w:jc w:val="center"/>
                      <w:rPr>
                        <w:sz w:val="20"/>
                      </w:rPr>
                    </w:pPr>
                  </w:p>
                </w:tc>
                <w:tc>
                  <w:tcPr>
                    <w:tcW w:w="1276" w:type="dxa"/>
                    <w:vAlign w:val="center"/>
                  </w:tcPr>
                  <w:p>
                    <w:pPr>
                      <w:jc w:val="center"/>
                      <w:rPr>
                        <w:szCs w:val="24"/>
                      </w:rPr>
                    </w:pPr>
                    <w:r>
                      <w:rPr>
                        <w:sz w:val="20"/>
                      </w:rPr>
                      <w:t>—</w:t>
                    </w:r>
                  </w:p>
                </w:tc>
                <w:tc>
                  <w:tcPr>
                    <w:tcW w:w="1559" w:type="dxa"/>
                    <w:vAlign w:val="center"/>
                  </w:tcPr>
                  <w:p>
                    <w:pPr>
                      <w:jc w:val="center"/>
                      <w:rPr>
                        <w:sz w:val="20"/>
                      </w:rPr>
                    </w:pPr>
                    <w:r>
                      <w:rPr>
                        <w:sz w:val="20"/>
                      </w:rPr>
                      <w:t>58</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Telšių kurčiųjų ir neprigirdinčiųjų draugija</w:t>
                    </w:r>
                  </w:p>
                </w:tc>
                <w:tc>
                  <w:tcPr>
                    <w:tcW w:w="1417" w:type="dxa"/>
                    <w:vMerge/>
                    <w:vAlign w:val="center"/>
                  </w:tcPr>
                  <w:p>
                    <w:pPr>
                      <w:jc w:val="center"/>
                      <w:rPr>
                        <w:sz w:val="20"/>
                      </w:rPr>
                    </w:pPr>
                  </w:p>
                </w:tc>
                <w:tc>
                  <w:tcPr>
                    <w:tcW w:w="1276" w:type="dxa"/>
                    <w:vAlign w:val="center"/>
                  </w:tcPr>
                  <w:p>
                    <w:pPr>
                      <w:jc w:val="center"/>
                      <w:rPr>
                        <w:szCs w:val="24"/>
                      </w:rPr>
                    </w:pPr>
                    <w:r>
                      <w:rPr>
                        <w:sz w:val="20"/>
                      </w:rPr>
                      <w:t>—</w:t>
                    </w:r>
                  </w:p>
                </w:tc>
                <w:tc>
                  <w:tcPr>
                    <w:tcW w:w="1559" w:type="dxa"/>
                    <w:vAlign w:val="center"/>
                  </w:tcPr>
                  <w:p>
                    <w:pPr>
                      <w:jc w:val="center"/>
                      <w:rPr>
                        <w:sz w:val="20"/>
                      </w:rPr>
                    </w:pPr>
                    <w:r>
                      <w:rPr>
                        <w:sz w:val="20"/>
                      </w:rPr>
                      <w:t>120</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ind w:right="-874"/>
                      <w:rPr>
                        <w:sz w:val="20"/>
                      </w:rPr>
                    </w:pPr>
                    <w:r>
                      <w:rPr>
                        <w:sz w:val="20"/>
                      </w:rPr>
                      <w:t xml:space="preserve">Telšių rajono neįgaliųjų </w:t>
                    </w:r>
                  </w:p>
                  <w:p>
                    <w:pPr>
                      <w:rPr>
                        <w:sz w:val="20"/>
                      </w:rPr>
                    </w:pPr>
                    <w:r>
                      <w:rPr>
                        <w:sz w:val="20"/>
                      </w:rPr>
                      <w:t>draugija</w:t>
                    </w:r>
                  </w:p>
                </w:tc>
                <w:tc>
                  <w:tcPr>
                    <w:tcW w:w="1417" w:type="dxa"/>
                    <w:vMerge/>
                    <w:vAlign w:val="center"/>
                  </w:tcPr>
                  <w:p>
                    <w:pPr>
                      <w:jc w:val="center"/>
                      <w:rPr>
                        <w:sz w:val="20"/>
                      </w:rPr>
                    </w:pPr>
                  </w:p>
                </w:tc>
                <w:tc>
                  <w:tcPr>
                    <w:tcW w:w="1276" w:type="dxa"/>
                    <w:vAlign w:val="center"/>
                  </w:tcPr>
                  <w:p>
                    <w:pPr>
                      <w:jc w:val="center"/>
                      <w:rPr>
                        <w:szCs w:val="24"/>
                      </w:rPr>
                    </w:pPr>
                    <w:r>
                      <w:rPr>
                        <w:sz w:val="20"/>
                      </w:rPr>
                      <w:t>—</w:t>
                    </w:r>
                  </w:p>
                </w:tc>
                <w:tc>
                  <w:tcPr>
                    <w:tcW w:w="1559" w:type="dxa"/>
                    <w:vAlign w:val="center"/>
                  </w:tcPr>
                  <w:p>
                    <w:pPr>
                      <w:jc w:val="center"/>
                      <w:rPr>
                        <w:sz w:val="20"/>
                      </w:rPr>
                    </w:pPr>
                    <w:r>
                      <w:rPr>
                        <w:sz w:val="20"/>
                      </w:rPr>
                      <w:t>112</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ind w:right="-874"/>
                      <w:rPr>
                        <w:sz w:val="20"/>
                      </w:rPr>
                    </w:pPr>
                    <w:r>
                      <w:rPr>
                        <w:sz w:val="20"/>
                      </w:rPr>
                      <w:t>Telšių neįgaliųjų ir neįgalių</w:t>
                    </w:r>
                  </w:p>
                  <w:p>
                    <w:pPr>
                      <w:ind w:right="-874" w:firstLine="53"/>
                      <w:rPr>
                        <w:sz w:val="20"/>
                      </w:rPr>
                    </w:pPr>
                    <w:r>
                      <w:rPr>
                        <w:sz w:val="20"/>
                      </w:rPr>
                      <w:t>pensininkų draugija</w:t>
                    </w:r>
                  </w:p>
                </w:tc>
                <w:tc>
                  <w:tcPr>
                    <w:tcW w:w="1417" w:type="dxa"/>
                    <w:vMerge/>
                    <w:vAlign w:val="center"/>
                  </w:tcPr>
                  <w:p>
                    <w:pPr>
                      <w:jc w:val="center"/>
                      <w:rPr>
                        <w:sz w:val="20"/>
                      </w:rPr>
                    </w:pPr>
                  </w:p>
                </w:tc>
                <w:tc>
                  <w:tcPr>
                    <w:tcW w:w="1276" w:type="dxa"/>
                    <w:vAlign w:val="center"/>
                  </w:tcPr>
                  <w:p>
                    <w:pPr>
                      <w:jc w:val="center"/>
                      <w:rPr>
                        <w:szCs w:val="24"/>
                      </w:rPr>
                    </w:pPr>
                    <w:r>
                      <w:rPr>
                        <w:sz w:val="20"/>
                      </w:rPr>
                      <w:t>—</w:t>
                    </w:r>
                  </w:p>
                </w:tc>
                <w:tc>
                  <w:tcPr>
                    <w:tcW w:w="1559" w:type="dxa"/>
                    <w:vAlign w:val="center"/>
                  </w:tcPr>
                  <w:p>
                    <w:pPr>
                      <w:jc w:val="center"/>
                      <w:rPr>
                        <w:sz w:val="20"/>
                      </w:rPr>
                    </w:pPr>
                    <w:r>
                      <w:rPr>
                        <w:sz w:val="20"/>
                      </w:rPr>
                      <w:t>170</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Lietuvos neįgaliųjų ir pensininkų bendrija</w:t>
                    </w:r>
                  </w:p>
                </w:tc>
                <w:tc>
                  <w:tcPr>
                    <w:tcW w:w="1417" w:type="dxa"/>
                    <w:vMerge/>
                    <w:vAlign w:val="center"/>
                  </w:tcPr>
                  <w:p>
                    <w:pPr>
                      <w:jc w:val="center"/>
                      <w:rPr>
                        <w:sz w:val="20"/>
                      </w:rPr>
                    </w:pPr>
                  </w:p>
                </w:tc>
                <w:tc>
                  <w:tcPr>
                    <w:tcW w:w="1276" w:type="dxa"/>
                    <w:vAlign w:val="center"/>
                  </w:tcPr>
                  <w:p>
                    <w:pPr>
                      <w:jc w:val="center"/>
                      <w:rPr>
                        <w:szCs w:val="24"/>
                      </w:rPr>
                    </w:pPr>
                    <w:r>
                      <w:rPr>
                        <w:sz w:val="20"/>
                      </w:rPr>
                      <w:t>—</w:t>
                    </w:r>
                  </w:p>
                </w:tc>
                <w:tc>
                  <w:tcPr>
                    <w:tcW w:w="1559" w:type="dxa"/>
                    <w:vAlign w:val="center"/>
                  </w:tcPr>
                  <w:p>
                    <w:pPr>
                      <w:jc w:val="center"/>
                      <w:rPr>
                        <w:sz w:val="20"/>
                      </w:rPr>
                    </w:pPr>
                    <w:r>
                      <w:rPr>
                        <w:sz w:val="20"/>
                      </w:rPr>
                      <w:t>96</w:t>
                    </w:r>
                  </w:p>
                </w:tc>
              </w:tr>
              <w:tr>
                <w:trPr>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lang w:eastAsia="lt-LT"/>
                      </w:rPr>
                      <w:t>Žemaitijos psichikos negalią turinčių žmonių klubas „Telšių atjauta“</w:t>
                    </w:r>
                  </w:p>
                </w:tc>
                <w:tc>
                  <w:tcPr>
                    <w:tcW w:w="1417" w:type="dxa"/>
                    <w:vMerge/>
                    <w:vAlign w:val="center"/>
                  </w:tcPr>
                  <w:p>
                    <w:pPr>
                      <w:jc w:val="center"/>
                      <w:rPr>
                        <w:sz w:val="20"/>
                      </w:rPr>
                    </w:pPr>
                  </w:p>
                </w:tc>
                <w:tc>
                  <w:tcPr>
                    <w:tcW w:w="1276" w:type="dxa"/>
                    <w:vAlign w:val="center"/>
                  </w:tcPr>
                  <w:p>
                    <w:pPr>
                      <w:jc w:val="center"/>
                      <w:rPr>
                        <w:sz w:val="20"/>
                      </w:rPr>
                    </w:pPr>
                    <w:r>
                      <w:rPr>
                        <w:sz w:val="20"/>
                      </w:rPr>
                      <w:t>—</w:t>
                    </w:r>
                  </w:p>
                </w:tc>
                <w:tc>
                  <w:tcPr>
                    <w:tcW w:w="1559" w:type="dxa"/>
                    <w:vAlign w:val="center"/>
                  </w:tcPr>
                  <w:p>
                    <w:pPr>
                      <w:jc w:val="center"/>
                      <w:rPr>
                        <w:sz w:val="20"/>
                      </w:rPr>
                    </w:pPr>
                    <w:r>
                      <w:rPr>
                        <w:sz w:val="20"/>
                      </w:rPr>
                      <w:t>66</w:t>
                    </w:r>
                  </w:p>
                </w:tc>
              </w:tr>
              <w:tr>
                <w:trPr>
                  <w:trHeight w:val="412"/>
                  <w:tblHeader/>
                </w:trPr>
                <w:tc>
                  <w:tcPr>
                    <w:tcW w:w="648"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p>
                </w:tc>
                <w:tc>
                  <w:tcPr>
                    <w:tcW w:w="2154" w:type="dxa"/>
                    <w:vMerge/>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p>
                </w:tc>
                <w:tc>
                  <w:tcPr>
                    <w:tcW w:w="2693" w:type="dxa"/>
                    <w:vAlign w:val="center"/>
                  </w:tcPr>
                  <w:p>
                    <w:pPr>
                      <w:rPr>
                        <w:sz w:val="20"/>
                      </w:rPr>
                    </w:pPr>
                    <w:r>
                      <w:rPr>
                        <w:sz w:val="20"/>
                      </w:rPr>
                      <w:t>Telšių diabetikų bendrija „DIA TELŠIAI“</w:t>
                    </w:r>
                  </w:p>
                </w:tc>
                <w:tc>
                  <w:tcPr>
                    <w:tcW w:w="1417" w:type="dxa"/>
                    <w:vMerge/>
                    <w:vAlign w:val="center"/>
                  </w:tcPr>
                  <w:p>
                    <w:pPr>
                      <w:jc w:val="center"/>
                      <w:rPr>
                        <w:sz w:val="20"/>
                      </w:rPr>
                    </w:pPr>
                  </w:p>
                </w:tc>
                <w:tc>
                  <w:tcPr>
                    <w:tcW w:w="1276" w:type="dxa"/>
                    <w:vAlign w:val="center"/>
                  </w:tcPr>
                  <w:p>
                    <w:pPr>
                      <w:jc w:val="center"/>
                      <w:rPr>
                        <w:szCs w:val="24"/>
                      </w:rPr>
                    </w:pPr>
                    <w:r>
                      <w:rPr>
                        <w:sz w:val="20"/>
                      </w:rPr>
                      <w:t>—</w:t>
                    </w:r>
                  </w:p>
                </w:tc>
                <w:tc>
                  <w:tcPr>
                    <w:tcW w:w="1559" w:type="dxa"/>
                    <w:vAlign w:val="center"/>
                  </w:tcPr>
                  <w:p>
                    <w:pPr>
                      <w:jc w:val="center"/>
                      <w:rPr>
                        <w:sz w:val="20"/>
                      </w:rPr>
                    </w:pPr>
                    <w:r>
                      <w:rPr>
                        <w:sz w:val="20"/>
                      </w:rPr>
                      <w:t>—</w:t>
                    </w:r>
                  </w:p>
                </w:tc>
              </w:tr>
              <w:tr>
                <w:trPr>
                  <w:tblHeader/>
                </w:trPr>
                <w:tc>
                  <w:tcPr>
                    <w:tcW w:w="648"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13.</w:t>
                    </w:r>
                  </w:p>
                </w:tc>
                <w:tc>
                  <w:tcPr>
                    <w:tcW w:w="2154" w:type="dxa"/>
                    <w:vAlign w:val="center"/>
                  </w:tcPr>
                  <w:p>
                    <w:pPr>
                      <w:rPr>
                        <w:sz w:val="4"/>
                        <w:szCs w:val="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b/>
                        <w:sz w:val="20"/>
                      </w:rPr>
                    </w:pPr>
                    <w:r>
                      <w:rPr>
                        <w:b/>
                        <w:sz w:val="20"/>
                      </w:rPr>
                      <w:t>Viešosios įstaigos</w:t>
                    </w:r>
                  </w:p>
                </w:tc>
                <w:tc>
                  <w:tcPr>
                    <w:tcW w:w="2693" w:type="dxa"/>
                    <w:vAlign w:val="center"/>
                  </w:tcPr>
                  <w:p>
                    <w:pPr>
                      <w:rPr>
                        <w:sz w:val="20"/>
                      </w:rPr>
                    </w:pPr>
                    <w:r>
                      <w:rPr>
                        <w:sz w:val="20"/>
                      </w:rPr>
                      <w:t>„Soneima“</w:t>
                    </w:r>
                  </w:p>
                </w:tc>
                <w:tc>
                  <w:tcPr>
                    <w:tcW w:w="1417" w:type="dxa"/>
                    <w:vAlign w:val="center"/>
                  </w:tcPr>
                  <w:p>
                    <w:pPr>
                      <w:jc w:val="center"/>
                      <w:rPr>
                        <w:sz w:val="20"/>
                      </w:rPr>
                    </w:pPr>
                    <w:r>
                      <w:rPr>
                        <w:sz w:val="20"/>
                      </w:rPr>
                      <w:t>VšĮ</w:t>
                    </w:r>
                  </w:p>
                </w:tc>
                <w:tc>
                  <w:tcPr>
                    <w:tcW w:w="1276" w:type="dxa"/>
                    <w:vAlign w:val="center"/>
                  </w:tcPr>
                  <w:p>
                    <w:pPr>
                      <w:jc w:val="center"/>
                      <w:rPr>
                        <w:szCs w:val="24"/>
                      </w:rPr>
                    </w:pPr>
                    <w:r>
                      <w:rPr>
                        <w:sz w:val="20"/>
                      </w:rPr>
                      <w:t>—</w:t>
                    </w:r>
                  </w:p>
                </w:tc>
                <w:tc>
                  <w:tcPr>
                    <w:tcW w:w="1559" w:type="dxa"/>
                    <w:vAlign w:val="center"/>
                  </w:tcPr>
                  <w:p>
                    <w:pPr>
                      <w:jc w:val="center"/>
                      <w:rPr>
                        <w:szCs w:val="24"/>
                      </w:rPr>
                    </w:pPr>
                    <w:r>
                      <w:rPr>
                        <w:sz w:val="20"/>
                      </w:rPr>
                      <w:t>—</w:t>
                    </w:r>
                  </w:p>
                </w:tc>
              </w:tr>
            </w:tbl>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both"/>
                <w:textAlignment w:val="baseline"/>
                <w:rPr>
                  <w:sz w:val="20"/>
                  <w:lang w:eastAsia="ar-SA"/>
                </w:rPr>
              </w:pPr>
              <w:r>
                <w:rPr>
                  <w:b/>
                  <w:szCs w:val="24"/>
                  <w:lang w:eastAsia="ar-SA"/>
                </w:rPr>
                <w:t>*</w:t>
              </w:r>
              <w:r>
                <w:rPr>
                  <w:sz w:val="20"/>
                  <w:lang w:eastAsia="ar-SA"/>
                </w:rPr>
                <w:t>Maksimalus lankytojų skaičius per dieną</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sdt>
              <w:sdtPr>
                <w:alias w:val="5.1 pp."/>
                <w:tag w:val="part_dd078e08c1ba4d21ad528cc64a7565b6"/>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sdt>
                    <w:sdtPr>
                      <w:alias w:val="Numeris"/>
                      <w:tag w:val="nr_dd078e08c1ba4d21ad528cc64a7565b6"/>
                      <w:lock w:val="sdtLocked"/>
                      <w:richText/>
                    </w:sdtPr>
                    <w:sdtContent>
                      <w:r>
                        <w:rPr>
                          <w:b/>
                          <w:szCs w:val="24"/>
                          <w:lang w:eastAsia="ar-SA"/>
                        </w:rPr>
                        <w:t>5.1</w:t>
                      </w:r>
                    </w:sdtContent>
                  </w:sdt>
                  <w:r>
                    <w:rPr>
                      <w:b/>
                      <w:szCs w:val="24"/>
                      <w:lang w:eastAsia="ar-SA"/>
                    </w:rPr>
                    <w:t>. Socialinių paslaugų infrastruktūros išsidėstymas ir socialinių paslaugų teikimo savivaldybėje (seniūnijose) pakankamumo lygis</w:t>
                  </w:r>
                </w:p>
                <w:p>
                  <w:pPr>
                    <w:tabs>
                      <w:tab w:val="left" w:pos="0"/>
                      <w:tab w:val="left" w:pos="851"/>
                    </w:tabs>
                    <w:ind w:firstLine="851"/>
                    <w:jc w:val="both"/>
                    <w:rPr>
                      <w:szCs w:val="24"/>
                    </w:rPr>
                  </w:pPr>
                  <w:r>
                    <w:rPr>
                      <w:szCs w:val="24"/>
                    </w:rPr>
                    <w:t xml:space="preserve">Telšių rajone socialinių paslaugų tinklas plėtojamas funkciniu ir teritoriniu principu. Siekiant užtikrinti kokybiškų bei efektyvių socialinių paslaugų teikimą atskiroms asmenų grupėms, dalis socialinių paslaugų sutelkta Telšių mieste, tačiau šios paslaugos prieinamos visiems Telšių rajono gyventojams. Telšių mieste teikiamos šios socialinės paslaugos: savarankiško gyvenimo ─ Laikinuose šeimos namuose, laikino apnakvindinimo ir vienos nakties bei apgyvendinimo paslaugos ─ Telšių nakvynės namuose; ilgalaikė ir trumpalaikė socialinė globa ─ Telšių rajono senelių globos namuose; specialaus ugdymo ir dienos socialinės globos paslaugos neįgaliems vaikams ─ Telšių „Vilties“ mokykloje; nemokamas rizikos asmenų maitinimas ─ „Carito“ valgykloje. </w:t>
                  </w:r>
                  <w:r>
                    <w:rPr>
                      <w:szCs w:val="24"/>
                      <w:lang w:eastAsia="lt-LT"/>
                    </w:rPr>
                    <w:t>Telšių mieste veikia NVO organizacijos, turinčios savo filialus seniūnijose.</w:t>
                  </w:r>
                </w:p>
                <w:p>
                  <w:pPr>
                    <w:tabs>
                      <w:tab w:val="left" w:pos="900"/>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szCs w:val="24"/>
                      <w:lang w:eastAsia="lt-LT"/>
                    </w:rPr>
                  </w:pPr>
                  <w:r>
                    <w:rPr>
                      <w:szCs w:val="24"/>
                      <w:lang w:eastAsia="lt-LT"/>
                    </w:rPr>
                    <w:t xml:space="preserve">Teritoriniu-administraciniu požiūriu Telšių rajono savivaldybė suskirstyta į 11 seniūnijų, </w:t>
                  </w:r>
                </w:p>
                <w:p>
                  <w:pPr>
                    <w:jc w:val="both"/>
                    <w:rPr>
                      <w:szCs w:val="24"/>
                      <w:lang w:eastAsia="lt-LT"/>
                    </w:rPr>
                  </w:pPr>
                  <w:r>
                    <w:rPr>
                      <w:szCs w:val="24"/>
                      <w:lang w:eastAsia="lt-LT"/>
                    </w:rPr>
                    <w:t xml:space="preserve">kuriose yra teikiamos socialinės paslaugos: </w:t>
                  </w:r>
                  <w:r>
                    <w:rPr>
                      <w:szCs w:val="24"/>
                    </w:rPr>
                    <w:t xml:space="preserve">informavimas, konsultavimas, tarpininkavimas ir atstovavimas; transporto, sociokultūrinės, asmeninės higienos ir socialinės priežiūros paslaugos, dirbama su socialinės rizikos ir socialinių įgūdžių stokojančiomis šeimomis; organizuojama pagalba į namus, dienos socialinė globa asmens namuose; teikiama parama maisto produktais. </w:t>
                  </w:r>
                </w:p>
                <w:p>
                  <w:pPr>
                    <w:ind w:left="851"/>
                    <w:jc w:val="both"/>
                    <w:rPr>
                      <w:szCs w:val="24"/>
                      <w:lang w:eastAsia="lt-LT"/>
                    </w:rPr>
                  </w:pPr>
                  <w:r>
                    <w:rPr>
                      <w:szCs w:val="24"/>
                      <w:lang w:eastAsia="lt-LT"/>
                    </w:rPr>
                    <w:t xml:space="preserve">Kai kuriose seniūnijose yra įsikūrusios socialinės įstaigos ar jų padaliniai, kuriuose </w:t>
                  </w:r>
                </w:p>
                <w:p>
                  <w:pPr>
                    <w:jc w:val="both"/>
                    <w:rPr>
                      <w:szCs w:val="24"/>
                      <w:lang w:eastAsia="lt-LT"/>
                    </w:rPr>
                  </w:pPr>
                  <w:r>
                    <w:rPr>
                      <w:szCs w:val="24"/>
                      <w:lang w:eastAsia="lt-LT"/>
                    </w:rPr>
                    <w:t>paslaugos teikiamos viso rajono gyventojams pagal poreikį. Gadūnavo seniūnijoje įkurti Telšių rajono senelių globos namų struktūriniai padaliniai: Gedrimų dienos centras ir Gedrimų savarankiško gyvenimo namai; Nevarėnų seniūnijoje ─ Telšių socialinių paslaugų centro struktūrinis padalinys – Mitkaičių dienos centras; Tryškių seniūnijoje veikia valstybiniai socialinės globos namai – Dūseikių socialinės globos namai; Upynos seniūnijoje ─ Telšių socialinių paslaugų centro struktūrinis padalinys – Upynos dienos centras; Varnių seniūnijoje ─ VPSPC; Žarėnų seniūnijoje ─ Telšių socialinių paslaugų centro struktūrinis padalinys – Žarėnų dienos centras.</w:t>
                  </w:r>
                </w:p>
                <w:p>
                  <w:pPr>
                    <w:ind w:firstLine="913"/>
                    <w:jc w:val="both"/>
                    <w:rPr>
                      <w:szCs w:val="24"/>
                    </w:rPr>
                  </w:pPr>
                  <w:r>
                    <w:rPr>
                      <w:szCs w:val="24"/>
                    </w:rPr>
                    <w:t xml:space="preserve">Žemiau pavaizduotame Telšių rajono žemėlapyje matomas socialinių paslaugų įstaigų ir organizacijų pasiskirstymas pagal seniūnijas. </w:t>
                  </w:r>
                </w:p>
                <w:p>
                  <w:pPr>
                    <w:ind w:firstLine="851"/>
                    <w:rPr>
                      <w:szCs w:val="24"/>
                    </w:rPr>
                  </w:pP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jc w:val="both"/>
                    <w:textAlignment w:val="baseline"/>
                    <w:rPr>
                      <w:szCs w:val="24"/>
                      <w:lang w:eastAsia="ar-SA"/>
                    </w:rPr>
                  </w:pPr>
                  <w:r>
                    <w:rPr>
                      <w:rFonts w:ascii="Courier New" w:hAnsi="Courier New" w:cs="Courier New"/>
                      <w:sz w:val="20"/>
                      <w:lang w:val="en-US"/>
                    </w:rPr>
                    <w:drawing>
                      <wp:inline distT="0" distB="0" distL="0" distR="0" wp14:anchorId="26FDBAC3" wp14:editId="6EF29624">
                        <wp:extent cx="6100445" cy="4441190"/>
                        <wp:effectExtent l="19050" t="1905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l="13158" r="12868"/>
                                <a:stretch>
                                  <a:fillRect/>
                                </a:stretch>
                              </pic:blipFill>
                              <pic:spPr bwMode="auto">
                                <a:xfrm>
                                  <a:off x="0" y="0"/>
                                  <a:ext cx="6100445" cy="4441190"/>
                                </a:xfrm>
                                <a:prstGeom prst="rect">
                                  <a:avLst/>
                                </a:prstGeom>
                                <a:noFill/>
                                <a:ln w="6350" cmpd="sng">
                                  <a:solidFill>
                                    <a:srgbClr val="000000"/>
                                  </a:solidFill>
                                  <a:miter lim="800000"/>
                                  <a:headEnd/>
                                  <a:tailEnd/>
                                </a:ln>
                                <a:effectLst/>
                              </pic:spPr>
                            </pic:pic>
                          </a:graphicData>
                        </a:graphic>
                      </wp:inline>
                    </w:drawing>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rPr>
                  </w:pPr>
                  <w:r>
                    <w:rPr>
                      <w:szCs w:val="24"/>
                    </w:rPr>
                    <w:t>Telšių socialinių paslaugų centro struktūra sudaryta taip, kad būtų tinkamai teikiamos paslaugos visos Savivaldybės teritorijoje. Įstaigoje 2015 m. sausio 1 d. maksimalus etatų skaičius buvo 70 etatų (dirbo 78 etatiniai darbuotojai), metų pabaigoje įsteigta 11,5 sveikatos priežiūros specialistų etato, o nuo 2016 m. sausio 1 d. ─ 2 socialinio darbuotojo padėjėjo ir 1 socialinio darbuotojo su socialinės rizikos šeimomis etatas. Patvirtintas maksimalus 84,5 etato skaičius. Iš savivaldybės biudžeto yra išlaikomi 53,43 etato; iš specialių tikslinių dotacijų asmenims su sunkia negalia globai teikti – 5,57, iš specialių tikslinių dotacijų darbui su rizikos šeimomis – 11. Pagalbos į namus ir dienos socialinės globos (namuose) paslaugas Telšių rajone teikia 37 socialinio darbuotojo padėjėjai (31,9 etato). Mieste socialines paslaugas teikia 20 darbuotojų (19,4 etato), kaimiškose seniūnijose 17 socialinio darbuotojo padėjėjų (12,5 etato). Pagalbos į namus ir dienos socialinės globos padalinyje paslaugas organizuoja socialinio darbo organizatorius (1 etatas), socialines paslaugas teikia 2 socialinio darbuotojo padėjėjai (2 etatai). Įgyvendinant integralios slaugos projektą įsteigta 11,5 etato (15 darbuotojų).</w:t>
                  </w:r>
                </w:p>
                <w:p>
                  <w:pPr>
                    <w:tabs>
                      <w:tab w:val="left" w:pos="810"/>
                    </w:tabs>
                    <w:ind w:firstLine="810"/>
                    <w:jc w:val="both"/>
                    <w:rPr>
                      <w:szCs w:val="24"/>
                    </w:rPr>
                  </w:pPr>
                  <w:r>
                    <w:rPr>
                      <w:szCs w:val="24"/>
                    </w:rPr>
                    <w:t xml:space="preserve">Telšių rajono senelių globos namuose 2016 m. buvo patvirtinti 46,0 etatai, iš jų 14 padaliniuose. Dirbo 47 darbuotojai, iš jų 2 ne visu darbo krūviu. Pagal Viešųjų darbų programą 2016 m. 6 asmenys dirbo vidutiniškai po 2 mėn. </w:t>
                  </w:r>
                  <w:r>
                    <w:rPr>
                      <w:szCs w:val="24"/>
                      <w:lang w:eastAsia="lt-LT"/>
                    </w:rPr>
                    <w:t>Telšių senelių globos namuose ir jo padaliniuose užtikrinamos socialinės globos normos, nepakankamas yra tik darbuotojų skaičius. T</w:t>
                  </w:r>
                  <w:r>
                    <w:rPr>
                      <w:szCs w:val="24"/>
                      <w:shd w:val="clear" w:color="auto" w:fill="FFFFFF"/>
                    </w:rPr>
                    <w:t>rūksta 1,0 socialinio darbuotojo etato, 0,5 ─ užimtumo specialisto, 1 ─ psichologo.</w:t>
                  </w: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ind w:firstLine="851"/>
                    <w:jc w:val="both"/>
                    <w:textAlignment w:val="baseline"/>
                    <w:rPr>
                      <w:szCs w:val="24"/>
                      <w:lang w:eastAsia="ar-SA"/>
                    </w:rPr>
                  </w:pPr>
                  <w:r>
                    <w:rPr>
                      <w:szCs w:val="24"/>
                      <w:lang w:eastAsia="ar-SA"/>
                    </w:rPr>
                    <w:t xml:space="preserve">Telšių vaikų  globos namuose 2015 m. buvo patvirtinti 58,75 etato.  </w:t>
                  </w: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ind w:firstLine="851"/>
                    <w:jc w:val="both"/>
                    <w:textAlignment w:val="baseline"/>
                    <w:rPr>
                      <w:szCs w:val="24"/>
                      <w:lang w:eastAsia="ar-SA"/>
                    </w:rPr>
                  </w:pPr>
                  <w:r>
                    <w:rPr>
                      <w:szCs w:val="24"/>
                      <w:lang w:eastAsia="ar-SA"/>
                    </w:rPr>
                    <w:t>Krizių centre 2016 m. iš Savivaldybės biudžeto skiriamų asignavimų buvo išlaikoma 4,25 darbuotojo etato: direktoriaus, 0,5 finansininko, 1,75 et. psichologo, 1 socialinio darbuotojo. Iš Darbo biržos subsidijų išlaikomas 1etatas, iš Socialinės apsaugos ir darbo ministerijos projektams vykdyti skirtų lėšų: 4 darbuotojai dirbo projekte „Vilties linija“ (po 105 val./mėn.), 5 − Specializuoto pagalbos smurto aukoms centre (vidutiniškai po 29 val./mėn.), 4 ─ projekte „Padėk sau – padėsi savo vaikui“ (vidutiniškai po 3 val./mėn.), 6 ─ „Telšių krizių centro pagalba Žemaitijos vaikams 2013─2015 m.“ (vidutiniškai po 13 val./mėn.).</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Content>
            </w:sdt>
            <w:sdt>
              <w:sdtPr>
                <w:alias w:val="6 p."/>
                <w:tag w:val="part_b8937da303054b4f99e7a69a2cc93cdd"/>
                <w:lock w:val="sdtLocked"/>
                <w:richText/>
              </w:sdtPr>
              <w:sdtContent>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hanging="540"/>
                    <w:jc w:val="center"/>
                    <w:textAlignment w:val="baseline"/>
                    <w:rPr>
                      <w:b/>
                      <w:bCs/>
                      <w:szCs w:val="24"/>
                    </w:rPr>
                  </w:pPr>
                  <w:sdt>
                    <w:sdtPr>
                      <w:alias w:val="Numeris"/>
                      <w:tag w:val="nr_b8937da303054b4f99e7a69a2cc93cdd"/>
                      <w:lock w:val="sdtLocked"/>
                      <w:richText/>
                    </w:sdtPr>
                    <w:sdtContent>
                      <w:r>
                        <w:rPr>
                          <w:b/>
                          <w:bCs/>
                          <w:szCs w:val="24"/>
                        </w:rPr>
                        <w:t>6</w:t>
                      </w:r>
                    </w:sdtContent>
                  </w:sdt>
                  <w:r>
                    <w:rPr>
                      <w:b/>
                      <w:bCs/>
                      <w:szCs w:val="24"/>
                    </w:rPr>
                    <w:t>.</w:t>
                    <w:tab/>
                    <w:t>Savivaldybės galimybių teikti socialines paslaugas ir socialinių paslaugų poreikio įvertinimas</w:t>
                  </w:r>
                </w:p>
                <w:p>
                  <w:pPr>
                    <w:rPr>
                      <w:szCs w:val="24"/>
                    </w:rPr>
                  </w:pPr>
                </w:p>
                <w:p>
                  <w:pPr>
                    <w:ind w:firstLine="720"/>
                    <w:jc w:val="both"/>
                    <w:rPr>
                      <w:iCs/>
                      <w:szCs w:val="24"/>
                    </w:rPr>
                  </w:pPr>
                  <w:r>
                    <w:rPr>
                      <w:iCs/>
                      <w:szCs w:val="24"/>
                    </w:rPr>
                    <w:t xml:space="preserve">Telšių rajono savivaldybės socialinių paslaugų infrastruktūra plėtojama siekiant užtikrinti tinkamų socialinių paslaugų teikimą Telšių rajono gyventojams. Dalis gyventojams būtinų paslaugų yra perkamos. </w:t>
                  </w:r>
                </w:p>
                <w:p>
                  <w:pPr>
                    <w:rPr>
                      <w:szCs w:val="24"/>
                    </w:rPr>
                  </w:pPr>
                </w:p>
              </w:sdtContent>
            </w:sdt>
          </w:sdtContent>
        </w:sdt>
        <w:sdt>
          <w:sdtPr>
            <w:alias w:val="poskyris"/>
            <w:tag w:val="part_e70c160972c2448391b6e725a6b05adc"/>
            <w:lock w:val="sdtLocked"/>
            <w:richText/>
          </w:sdtPr>
          <w:sdtContent>
            <w:p>
              <w:pPr>
                <w:jc w:val="both"/>
                <w:rPr>
                  <w:szCs w:val="24"/>
                  <w:vertAlign w:val="superscript"/>
                  <w:lang w:eastAsia="ar-SA"/>
                </w:rPr>
              </w:pPr>
              <w:sdt>
                <w:sdtPr>
                  <w:alias w:val="Pavadinimas"/>
                  <w:tag w:val="title_e70c160972c2448391b6e725a6b05adc"/>
                  <w:lock w:val="sdtLocked"/>
                  <w:richText/>
                </w:sdtPr>
                <w:sdtContent>
                  <w:r>
                    <w:rPr>
                      <w:b/>
                      <w:bCs/>
                      <w:iCs/>
                      <w:szCs w:val="24"/>
                    </w:rPr>
                    <w:t>Galimybių teikti socialines paslaugas ir socialinių paslaugų poreikio įvertinimas 2016 m.</w:t>
                  </w:r>
                  <w:r>
                    <w:rPr>
                      <w:szCs w:val="24"/>
                      <w:vertAlign w:val="superscript"/>
                      <w:lang w:eastAsia="ar-SA"/>
                    </w:rPr>
                    <w:t xml:space="preserve"> </w:t>
                  </w:r>
                </w:sdtContent>
              </w:sdt>
              <w:r>
                <w:rPr>
                  <w:szCs w:val="24"/>
                  <w:vertAlign w:val="superscript"/>
                  <w:lang w:eastAsia="ar-SA"/>
                </w:rPr>
                <w:footnoteReference w:id="19"/>
              </w:r>
            </w:p>
            <w:p>
              <w:pPr>
                <w:rPr>
                  <w:sz w:val="10"/>
                  <w:szCs w:val="10"/>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3358"/>
                <w:gridCol w:w="1559"/>
                <w:gridCol w:w="1701"/>
                <w:gridCol w:w="1134"/>
                <w:gridCol w:w="1417"/>
              </w:tblGrid>
              <w:tr>
                <w:trPr>
                  <w:trHeight w:val="790"/>
                </w:trPr>
                <w:tc>
                  <w:tcPr>
                    <w:tcW w:w="578" w:type="dxa"/>
                    <w:vMerge w:val="restart"/>
                    <w:tcBorders>
                      <w:top w:val="single" w:sz="4" w:space="0" w:color="auto"/>
                      <w:left w:val="single" w:sz="4" w:space="0" w:color="auto"/>
                      <w:bottom w:val="single" w:sz="4" w:space="0" w:color="auto"/>
                      <w:right w:val="single" w:sz="4" w:space="0" w:color="auto"/>
                    </w:tcBorders>
                    <w:shd w:val="pct10" w:color="auto" w:fill="auto"/>
                    <w:vAlign w:val="center"/>
                    <w:hideMark/>
                  </w:tcPr>
                  <w:p>
                    <w:pPr>
                      <w:jc w:val="center"/>
                      <w:rPr>
                        <w:b/>
                        <w:iCs/>
                        <w:sz w:val="20"/>
                      </w:rPr>
                    </w:pPr>
                    <w:r>
                      <w:rPr>
                        <w:b/>
                        <w:iCs/>
                        <w:sz w:val="20"/>
                      </w:rPr>
                      <w:t>Eil. Nr.</w:t>
                    </w:r>
                  </w:p>
                </w:tc>
                <w:tc>
                  <w:tcPr>
                    <w:tcW w:w="3358" w:type="dxa"/>
                    <w:vMerge w:val="restart"/>
                    <w:tcBorders>
                      <w:top w:val="single" w:sz="4" w:space="0" w:color="auto"/>
                      <w:left w:val="single" w:sz="4" w:space="0" w:color="auto"/>
                      <w:bottom w:val="single" w:sz="4" w:space="0" w:color="auto"/>
                      <w:right w:val="single" w:sz="4" w:space="0" w:color="auto"/>
                    </w:tcBorders>
                    <w:shd w:val="pct10" w:color="auto" w:fill="auto"/>
                    <w:vAlign w:val="center"/>
                    <w:hideMark/>
                  </w:tcPr>
                  <w:p>
                    <w:pPr>
                      <w:jc w:val="center"/>
                      <w:rPr>
                        <w:b/>
                        <w:iCs/>
                        <w:sz w:val="20"/>
                      </w:rPr>
                    </w:pPr>
                    <w:r>
                      <w:rPr>
                        <w:b/>
                        <w:iCs/>
                        <w:sz w:val="20"/>
                      </w:rPr>
                      <w:t>Socialinių paslaugų rūšys pagal žmonių socialines grupes</w:t>
                    </w:r>
                  </w:p>
                </w:tc>
                <w:tc>
                  <w:tcPr>
                    <w:tcW w:w="3260" w:type="dxa"/>
                    <w:gridSpan w:val="2"/>
                    <w:tcBorders>
                      <w:top w:val="single" w:sz="4" w:space="0" w:color="auto"/>
                      <w:left w:val="single" w:sz="4" w:space="0" w:color="auto"/>
                      <w:bottom w:val="single" w:sz="4" w:space="0" w:color="auto"/>
                      <w:right w:val="single" w:sz="4" w:space="0" w:color="auto"/>
                    </w:tcBorders>
                    <w:shd w:val="pct10" w:color="auto" w:fill="auto"/>
                    <w:vAlign w:val="center"/>
                    <w:hideMark/>
                  </w:tcPr>
                  <w:p>
                    <w:pPr>
                      <w:jc w:val="center"/>
                      <w:rPr>
                        <w:iCs/>
                        <w:sz w:val="20"/>
                      </w:rPr>
                    </w:pPr>
                    <w:r>
                      <w:rPr>
                        <w:b/>
                        <w:iCs/>
                        <w:sz w:val="20"/>
                      </w:rPr>
                      <w:t>Asmenų (šeimų) skaičius, kuriems socialinių paslaugų poreikis</w:t>
                    </w:r>
                  </w:p>
                </w:tc>
                <w:tc>
                  <w:tcPr>
                    <w:tcW w:w="1134" w:type="dxa"/>
                    <w:vMerge w:val="restart"/>
                    <w:tcBorders>
                      <w:top w:val="single" w:sz="4" w:space="0" w:color="auto"/>
                      <w:left w:val="single" w:sz="4" w:space="0" w:color="auto"/>
                      <w:right w:val="single" w:sz="4" w:space="0" w:color="auto"/>
                    </w:tcBorders>
                    <w:shd w:val="pct10" w:color="auto" w:fill="auto"/>
                    <w:vAlign w:val="center"/>
                    <w:hideMark/>
                  </w:tcPr>
                  <w:p>
                    <w:pPr>
                      <w:jc w:val="center"/>
                      <w:rPr>
                        <w:b/>
                        <w:iCs/>
                        <w:sz w:val="20"/>
                      </w:rPr>
                    </w:pPr>
                    <w:r>
                      <w:rPr>
                        <w:b/>
                        <w:iCs/>
                        <w:sz w:val="20"/>
                      </w:rPr>
                      <w:t>1000 gyventojų tenka vietų</w:t>
                    </w:r>
                  </w:p>
                  <w:p>
                    <w:pPr>
                      <w:ind w:firstLine="53"/>
                      <w:jc w:val="center"/>
                      <w:rPr>
                        <w:b/>
                        <w:iCs/>
                        <w:sz w:val="20"/>
                      </w:rPr>
                    </w:pPr>
                  </w:p>
                </w:tc>
                <w:tc>
                  <w:tcPr>
                    <w:tcW w:w="1417" w:type="dxa"/>
                    <w:vMerge w:val="restart"/>
                    <w:tcBorders>
                      <w:top w:val="single" w:sz="4" w:space="0" w:color="auto"/>
                      <w:left w:val="single" w:sz="4" w:space="0" w:color="auto"/>
                      <w:right w:val="single" w:sz="4" w:space="0" w:color="auto"/>
                    </w:tcBorders>
                    <w:shd w:val="pct10" w:color="auto" w:fill="auto"/>
                    <w:vAlign w:val="center"/>
                    <w:hideMark/>
                  </w:tcPr>
                  <w:p>
                    <w:pPr>
                      <w:jc w:val="center"/>
                      <w:rPr>
                        <w:b/>
                        <w:iCs/>
                        <w:sz w:val="20"/>
                      </w:rPr>
                    </w:pPr>
                    <w:r>
                      <w:rPr>
                        <w:b/>
                        <w:iCs/>
                        <w:sz w:val="20"/>
                      </w:rPr>
                      <w:t>Iš jų finansuoja Savivaldybė</w:t>
                    </w:r>
                  </w:p>
                  <w:p>
                    <w:pPr>
                      <w:jc w:val="center"/>
                      <w:rPr>
                        <w:b/>
                        <w:iCs/>
                        <w:sz w:val="20"/>
                      </w:rPr>
                    </w:pPr>
                    <w:r>
                      <w:rPr>
                        <w:b/>
                        <w:iCs/>
                        <w:sz w:val="20"/>
                      </w:rPr>
                      <w:t>(įskaitant tikslinę dotaciją)</w:t>
                    </w:r>
                  </w:p>
                </w:tc>
              </w:tr>
              <w:tr>
                <w:tc>
                  <w:tcPr>
                    <w:tcW w:w="578" w:type="dxa"/>
                    <w:vMerge/>
                    <w:tcBorders>
                      <w:top w:val="single" w:sz="4" w:space="0" w:color="auto"/>
                      <w:left w:val="single" w:sz="4" w:space="0" w:color="auto"/>
                      <w:bottom w:val="single" w:sz="4" w:space="0" w:color="auto"/>
                      <w:right w:val="single" w:sz="4" w:space="0" w:color="auto"/>
                    </w:tcBorders>
                    <w:vAlign w:val="center"/>
                    <w:hideMark/>
                  </w:tcPr>
                  <w:p>
                    <w:pPr>
                      <w:rPr>
                        <w:b/>
                        <w:iCs/>
                        <w:sz w:val="20"/>
                      </w:rPr>
                    </w:pPr>
                  </w:p>
                </w:tc>
                <w:tc>
                  <w:tcPr>
                    <w:tcW w:w="3358" w:type="dxa"/>
                    <w:vMerge/>
                    <w:tcBorders>
                      <w:top w:val="single" w:sz="4" w:space="0" w:color="auto"/>
                      <w:left w:val="single" w:sz="4" w:space="0" w:color="auto"/>
                      <w:bottom w:val="single" w:sz="4" w:space="0" w:color="auto"/>
                      <w:right w:val="single" w:sz="4" w:space="0" w:color="auto"/>
                    </w:tcBorders>
                    <w:vAlign w:val="center"/>
                    <w:hideMark/>
                  </w:tcPr>
                  <w:p>
                    <w:pPr>
                      <w:rPr>
                        <w:b/>
                        <w:iCs/>
                        <w:sz w:val="20"/>
                      </w:rPr>
                    </w:pPr>
                  </w:p>
                </w:tc>
                <w:tc>
                  <w:tcPr>
                    <w:tcW w:w="1559" w:type="dxa"/>
                    <w:tcBorders>
                      <w:top w:val="single" w:sz="4" w:space="0" w:color="auto"/>
                      <w:left w:val="single" w:sz="4" w:space="0" w:color="auto"/>
                      <w:bottom w:val="single" w:sz="4" w:space="0" w:color="auto"/>
                      <w:right w:val="single" w:sz="4" w:space="0" w:color="auto"/>
                    </w:tcBorders>
                    <w:shd w:val="pct10" w:color="auto" w:fill="auto"/>
                    <w:vAlign w:val="center"/>
                    <w:hideMark/>
                  </w:tcPr>
                  <w:p>
                    <w:pPr>
                      <w:jc w:val="center"/>
                      <w:rPr>
                        <w:b/>
                        <w:iCs/>
                        <w:sz w:val="20"/>
                      </w:rPr>
                    </w:pPr>
                    <w:r>
                      <w:rPr>
                        <w:b/>
                        <w:iCs/>
                        <w:sz w:val="20"/>
                      </w:rPr>
                      <w:t>įvertintas</w:t>
                    </w:r>
                  </w:p>
                </w:tc>
                <w:tc>
                  <w:tcPr>
                    <w:tcW w:w="1701" w:type="dxa"/>
                    <w:tcBorders>
                      <w:top w:val="single" w:sz="4" w:space="0" w:color="auto"/>
                      <w:left w:val="single" w:sz="4" w:space="0" w:color="auto"/>
                      <w:bottom w:val="single" w:sz="4" w:space="0" w:color="auto"/>
                      <w:right w:val="single" w:sz="4" w:space="0" w:color="auto"/>
                    </w:tcBorders>
                    <w:shd w:val="pct10" w:color="auto" w:fill="auto"/>
                    <w:vAlign w:val="center"/>
                    <w:hideMark/>
                  </w:tcPr>
                  <w:p>
                    <w:pPr>
                      <w:jc w:val="center"/>
                      <w:rPr>
                        <w:b/>
                        <w:iCs/>
                        <w:sz w:val="20"/>
                      </w:rPr>
                    </w:pPr>
                    <w:r>
                      <w:rPr>
                        <w:b/>
                        <w:iCs/>
                        <w:sz w:val="20"/>
                      </w:rPr>
                      <w:t>nepatenkintas</w:t>
                    </w:r>
                  </w:p>
                </w:tc>
                <w:tc>
                  <w:tcPr>
                    <w:tcW w:w="1134" w:type="dxa"/>
                    <w:vMerge/>
                    <w:tcBorders>
                      <w:left w:val="single" w:sz="4" w:space="0" w:color="auto"/>
                      <w:bottom w:val="single" w:sz="4" w:space="0" w:color="auto"/>
                      <w:right w:val="single" w:sz="4" w:space="0" w:color="auto"/>
                    </w:tcBorders>
                    <w:vAlign w:val="center"/>
                    <w:hideMark/>
                  </w:tcPr>
                  <w:p>
                    <w:pPr>
                      <w:rPr>
                        <w:b/>
                        <w:iCs/>
                        <w:sz w:val="20"/>
                      </w:rPr>
                    </w:pPr>
                  </w:p>
                </w:tc>
                <w:tc>
                  <w:tcPr>
                    <w:tcW w:w="1417" w:type="dxa"/>
                    <w:vMerge/>
                    <w:tcBorders>
                      <w:left w:val="single" w:sz="4" w:space="0" w:color="auto"/>
                      <w:bottom w:val="single" w:sz="4" w:space="0" w:color="auto"/>
                      <w:right w:val="single" w:sz="4" w:space="0" w:color="auto"/>
                    </w:tcBorders>
                    <w:vAlign w:val="center"/>
                    <w:hideMark/>
                  </w:tcPr>
                  <w:p>
                    <w:pPr>
                      <w:rPr>
                        <w:b/>
                        <w:iCs/>
                        <w:sz w:val="20"/>
                      </w:rPr>
                    </w:pPr>
                  </w:p>
                </w:tc>
              </w:tr>
              <w:tr>
                <w:trPr>
                  <w:trHeight w:val="1128"/>
                </w:trP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Ilgalaikė socialinė globa seniems ir neįgaliems asmenims (Telšių rajono senelių globos namuose)</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89</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17</w:t>
                    </w: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2,0</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60</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2.</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Ilgalaikė socialinė globa seniems ir neįgaliems asmenims valstybiniuose socialinės globos namuose (Dūseikių, Stonaičių, Jurdaičių, Padvarių ir kt.)</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52</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iCs/>
                        <w:sz w:val="20"/>
                      </w:rPr>
                    </w:pPr>
                  </w:p>
                  <w:p>
                    <w:pPr>
                      <w:jc w:val="center"/>
                      <w:rPr>
                        <w:iCs/>
                        <w:sz w:val="20"/>
                      </w:rPr>
                    </w:pPr>
                    <w:r>
                      <w:rPr>
                        <w:iCs/>
                        <w:sz w:val="20"/>
                      </w:rPr>
                      <w:t>2</w:t>
                    </w:r>
                  </w:p>
                  <w:p>
                    <w:pPr>
                      <w:jc w:val="center"/>
                      <w:rPr>
                        <w:iCs/>
                        <w:sz w:val="20"/>
                      </w:rPr>
                    </w:pP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1,21</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41</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3.</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Trumpalaikė / ilgalaikė socialinė globa senyvo amžiaus ir neįgaliems asmenims (VšĮ Varnių PSPC ligoninės slaugos (globos) skyrius)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54</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w:t>
                    </w: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1,25</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25</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4.</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Ilgalaikė socialinė globa neįgaliems vaikams ir jaunuoliams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3</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0,06</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2</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5.</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 xml:space="preserve">Trumpalaikė ir ilgalaikė  socialinė globa vaikams, netekusiems tėvų globos (Telšių vaikų globos namai)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24</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4</w:t>
                    </w: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0,56</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50</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6.</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Vaikų globa šeimynoje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iCs/>
                        <w:sz w:val="20"/>
                      </w:rPr>
                    </w:pP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iCs/>
                        <w:sz w:val="20"/>
                      </w:rPr>
                    </w:pP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7.</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Dienos socialinė globa neįgaliesiems institucijose („Vilties“ m-kla, dienos socialinės globos skyrius, Telšių dienos centras) ir Gedrimų dienos socialinės globos centras</w:t>
                    </w:r>
                  </w:p>
                </w:tc>
                <w:tc>
                  <w:tcPr>
                    <w:tcW w:w="155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sz w:val="20"/>
                        <w:lang w:eastAsia="ar-SA"/>
                      </w:rPr>
                    </w:pPr>
                    <w:r>
                      <w:rPr>
                        <w:iCs/>
                        <w:sz w:val="20"/>
                        <w:lang w:eastAsia="ar-SA"/>
                      </w:rPr>
                      <w:t>39</w:t>
                    </w:r>
                  </w:p>
                </w:tc>
                <w:tc>
                  <w:tcPr>
                    <w:tcW w:w="1701"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sz w:val="20"/>
                        <w:lang w:eastAsia="ar-SA"/>
                      </w:rPr>
                    </w:pPr>
                    <w:r>
                      <w:rPr>
                        <w:iCs/>
                        <w:sz w:val="20"/>
                        <w:lang w:eastAsia="ar-SA"/>
                      </w:rPr>
                      <w:t>-</w:t>
                    </w: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iCs/>
                        <w:sz w:val="20"/>
                      </w:rPr>
                    </w:pPr>
                    <w:r>
                      <w:rPr>
                        <w:iCs/>
                        <w:sz w:val="20"/>
                      </w:rPr>
                      <w:t>0,91</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iCs/>
                        <w:sz w:val="20"/>
                      </w:rPr>
                    </w:pPr>
                    <w:r>
                      <w:rPr>
                        <w:iCs/>
                        <w:sz w:val="20"/>
                      </w:rPr>
                      <w:t>50</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8.</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Dienos socialinė globa asmens namuose</w:t>
                    </w:r>
                  </w:p>
                </w:tc>
                <w:tc>
                  <w:tcPr>
                    <w:tcW w:w="155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sz w:val="20"/>
                        <w:lang w:eastAsia="ar-SA"/>
                      </w:rPr>
                    </w:pPr>
                    <w:r>
                      <w:rPr>
                        <w:sz w:val="20"/>
                        <w:lang w:eastAsia="ar-SA"/>
                      </w:rPr>
                      <w:t>72</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1,67</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44</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9.</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Apgyvendinimas savarankiško gyvenimo namuose (Gedrimai)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47</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1,09</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40</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10.</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Pagalba į namus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180</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5</w:t>
                    </w: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4,18</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160</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11.</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Pagalbos pinigai</w:t>
                    </w:r>
                  </w:p>
                </w:tc>
                <w:tc>
                  <w:tcPr>
                    <w:tcW w:w="1559" w:type="dxa"/>
                    <w:tcBorders>
                      <w:top w:val="single" w:sz="4" w:space="0" w:color="auto"/>
                      <w:left w:val="single" w:sz="4" w:space="0" w:color="auto"/>
                      <w:bottom w:val="single" w:sz="4" w:space="0" w:color="auto"/>
                      <w:right w:val="single" w:sz="4" w:space="0" w:color="auto"/>
                    </w:tcBorders>
                    <w:hideMark/>
                  </w:tcPr>
                  <w:p>
                    <w:pPr>
                      <w:widowControl w:val="0"/>
                      <w:suppressAutoHyphens/>
                      <w:jc w:val="center"/>
                      <w:rPr>
                        <w:sz w:val="20"/>
                        <w:lang w:eastAsia="ar-SA"/>
                      </w:rPr>
                    </w:pPr>
                    <w:r>
                      <w:rPr>
                        <w:iCs/>
                        <w:sz w:val="20"/>
                        <w:lang w:eastAsia="ar-SA"/>
                      </w:rPr>
                      <w:t>─</w:t>
                    </w:r>
                  </w:p>
                </w:tc>
                <w:tc>
                  <w:tcPr>
                    <w:tcW w:w="1701" w:type="dxa"/>
                    <w:tcBorders>
                      <w:top w:val="single" w:sz="4" w:space="0" w:color="auto"/>
                      <w:left w:val="single" w:sz="4" w:space="0" w:color="auto"/>
                      <w:bottom w:val="single" w:sz="4" w:space="0" w:color="auto"/>
                      <w:right w:val="single" w:sz="4" w:space="0" w:color="auto"/>
                    </w:tcBorders>
                    <w:hideMark/>
                  </w:tcPr>
                  <w:p>
                    <w:pPr>
                      <w:widowControl w:val="0"/>
                      <w:suppressAutoHyphens/>
                      <w:jc w:val="center"/>
                      <w:rPr>
                        <w:sz w:val="20"/>
                        <w:lang w:eastAsia="ar-SA"/>
                      </w:rPr>
                    </w:pPr>
                    <w:r>
                      <w:rPr>
                        <w:iCs/>
                        <w:sz w:val="20"/>
                        <w:lang w:eastAsia="ar-SA"/>
                      </w:rPr>
                      <w:t>─</w:t>
                    </w:r>
                  </w:p>
                </w:tc>
                <w:tc>
                  <w:tcPr>
                    <w:tcW w:w="1134" w:type="dxa"/>
                    <w:tcBorders>
                      <w:top w:val="single" w:sz="4" w:space="0" w:color="auto"/>
                      <w:left w:val="single" w:sz="4" w:space="0" w:color="auto"/>
                      <w:bottom w:val="single" w:sz="4" w:space="0" w:color="auto"/>
                      <w:right w:val="single" w:sz="4" w:space="0" w:color="auto"/>
                    </w:tcBorders>
                    <w:hideMark/>
                  </w:tcPr>
                  <w:p>
                    <w:pPr>
                      <w:widowControl w:val="0"/>
                      <w:suppressAutoHyphens/>
                      <w:jc w:val="center"/>
                      <w:rPr>
                        <w:sz w:val="20"/>
                        <w:lang w:eastAsia="ar-SA"/>
                      </w:rPr>
                    </w:pPr>
                    <w:r>
                      <w:rPr>
                        <w:iCs/>
                        <w:sz w:val="20"/>
                        <w:lang w:eastAsia="ar-SA"/>
                      </w:rPr>
                      <w:t>─</w:t>
                    </w:r>
                  </w:p>
                </w:tc>
                <w:tc>
                  <w:tcPr>
                    <w:tcW w:w="1417" w:type="dxa"/>
                    <w:tcBorders>
                      <w:top w:val="single" w:sz="4" w:space="0" w:color="auto"/>
                      <w:left w:val="single" w:sz="4" w:space="0" w:color="auto"/>
                      <w:bottom w:val="single" w:sz="4" w:space="0" w:color="auto"/>
                      <w:right w:val="single" w:sz="4" w:space="0" w:color="auto"/>
                    </w:tcBorders>
                    <w:hideMark/>
                  </w:tcPr>
                  <w:p>
                    <w:pPr>
                      <w:widowControl w:val="0"/>
                      <w:suppressAutoHyphens/>
                      <w:jc w:val="center"/>
                      <w:rPr>
                        <w:sz w:val="20"/>
                        <w:lang w:eastAsia="ar-SA"/>
                      </w:rPr>
                    </w:pPr>
                    <w:r>
                      <w:rPr>
                        <w:iCs/>
                        <w:sz w:val="20"/>
                        <w:lang w:eastAsia="ar-SA"/>
                      </w:rPr>
                      <w:t>─</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12.</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 xml:space="preserve">Socialinių įgūdžių ugdymas ir palaikymas institucijose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58</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iCs/>
                        <w:sz w:val="20"/>
                        <w:highlight w:val="yellow"/>
                      </w:rPr>
                    </w:pP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highlight w:val="yellow"/>
                      </w:rPr>
                    </w:pPr>
                    <w:r>
                      <w:rPr>
                        <w:iCs/>
                        <w:sz w:val="20"/>
                      </w:rPr>
                      <w:t>1,35</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58</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13.</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Socialinių įgūdžių ugdymas ir palaikymas asmens (šeimos) namuose</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190</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iCs/>
                        <w:sz w:val="20"/>
                        <w:highlight w:val="yellow"/>
                      </w:rPr>
                    </w:pPr>
                    <w:r>
                      <w:rPr>
                        <w:iCs/>
                        <w:sz w:val="20"/>
                      </w:rPr>
                      <w:t>–</w:t>
                    </w: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highlight w:val="yellow"/>
                      </w:rPr>
                    </w:pPr>
                    <w:r>
                      <w:rPr>
                        <w:iCs/>
                        <w:sz w:val="20"/>
                      </w:rPr>
                      <w:t>4,41</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45</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14.</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Laikinas apnakvindinimas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25</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lang w:eastAsia="ar-SA"/>
                      </w:rPr>
                      <w:t>─</w:t>
                    </w: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0,58</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18</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15.</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Apgyvendinimas savarankiško gyvenimo namuose (Nakvynės namai)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36</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w:t>
                    </w: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0,83</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18</w:t>
                    </w:r>
                  </w:p>
                </w:tc>
              </w:tr>
              <w:tr>
                <w:trPr>
                  <w:trHeight w:val="443"/>
                </w:trPr>
                <w:tc>
                  <w:tcPr>
                    <w:tcW w:w="57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16.</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Kitos socialinės priežiūros paslaugos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w:t>
                    </w: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w:t>
                    </w:r>
                  </w:p>
                </w:tc>
              </w:tr>
              <w:tr>
                <w:tc>
                  <w:tcPr>
                    <w:tcW w:w="578"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17.</w:t>
                    </w:r>
                  </w:p>
                </w:tc>
                <w:tc>
                  <w:tcPr>
                    <w:tcW w:w="3358" w:type="dxa"/>
                    <w:tcBorders>
                      <w:top w:val="single" w:sz="4" w:space="0" w:color="auto"/>
                      <w:left w:val="single" w:sz="4" w:space="0" w:color="auto"/>
                      <w:bottom w:val="single" w:sz="4" w:space="0" w:color="auto"/>
                      <w:right w:val="single" w:sz="4" w:space="0" w:color="auto"/>
                    </w:tcBorders>
                    <w:vAlign w:val="center"/>
                    <w:hideMark/>
                  </w:tcPr>
                  <w:p>
                    <w:pPr>
                      <w:rPr>
                        <w:iCs/>
                        <w:sz w:val="20"/>
                      </w:rPr>
                    </w:pPr>
                    <w:r>
                      <w:rPr>
                        <w:iCs/>
                        <w:sz w:val="20"/>
                      </w:rPr>
                      <w:t>Bendrosios socialinės paslaugos (informavimas, konsultavimas, tarpininkavimas)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iCs/>
                        <w:sz w:val="20"/>
                      </w:rPr>
                    </w:pP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iCs/>
                        <w:sz w:val="20"/>
                      </w:rPr>
                    </w:pP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iCs/>
                        <w:sz w:val="20"/>
                      </w:rPr>
                    </w:pPr>
                    <w:r>
                      <w:rPr>
                        <w:iCs/>
                        <w:sz w:val="20"/>
                      </w:rPr>
                      <w:t>patenkinama</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iCs/>
                        <w:sz w:val="20"/>
                      </w:rPr>
                    </w:pPr>
                  </w:p>
                </w:tc>
              </w:tr>
            </w:tbl>
            <w:p>
              <w:pPr>
                <w:rPr>
                  <w:szCs w:val="24"/>
                </w:rPr>
              </w:pPr>
            </w:p>
            <w:p>
              <w:pPr>
                <w:tabs>
                  <w:tab w:val="left" w:pos="6804"/>
                </w:tabs>
                <w:jc w:val="both"/>
                <w:rPr>
                  <w:b/>
                  <w:bCs/>
                  <w:iCs/>
                  <w:szCs w:val="24"/>
                </w:rPr>
              </w:pPr>
            </w:p>
            <w:p>
              <w:pPr>
                <w:rPr>
                  <w:sz w:val="10"/>
                  <w:szCs w:val="10"/>
                </w:rPr>
              </w:pPr>
            </w:p>
            <w:sdt>
              <w:sdtPr>
                <w:alias w:val="6.1 pp."/>
                <w:tag w:val="part_ba16cf2d028d4e28adf7d5f91e078bb3"/>
                <w:lock w:val="sdtLocked"/>
                <w:richText/>
              </w:sdtPr>
              <w:sdtContent>
                <w:p>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textAlignment w:val="baseline"/>
                    <w:rPr>
                      <w:b/>
                      <w:bCs/>
                      <w:szCs w:val="24"/>
                    </w:rPr>
                  </w:pPr>
                  <w:sdt>
                    <w:sdtPr>
                      <w:alias w:val="Numeris"/>
                      <w:tag w:val="nr_ba16cf2d028d4e28adf7d5f91e078bb3"/>
                      <w:lock w:val="sdtLocked"/>
                      <w:richText/>
                    </w:sdtPr>
                    <w:sdtContent>
                      <w:r>
                        <w:rPr>
                          <w:b/>
                          <w:bCs/>
                          <w:szCs w:val="24"/>
                        </w:rPr>
                        <w:t>6.1</w:t>
                      </w:r>
                    </w:sdtContent>
                  </w:sdt>
                  <w:r>
                    <w:rPr>
                      <w:b/>
                      <w:bCs/>
                      <w:szCs w:val="24"/>
                    </w:rPr>
                    <w:t>.</w:t>
                    <w:tab/>
                    <w:t>Savivaldybės organizuojamų socialinių paslaugų analizė pagal socialines grupes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color w:val="FF0000"/>
                      <w:szCs w:val="24"/>
                    </w:rPr>
                  </w:pPr>
                </w:p>
                <w:sdt>
                  <w:sdtPr>
                    <w:alias w:val="6.1.1 pp."/>
                    <w:tag w:val="part_9c1ff244977f49e2a641ddbce890ef4f"/>
                    <w:lock w:val="sdtLocked"/>
                    <w:richText/>
                  </w:sdtPr>
                  <w:sdtContent>
                    <w:p>
                      <w:pPr>
                        <w:widowControl w:val="0"/>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589"/>
                        <w:jc w:val="both"/>
                        <w:textAlignment w:val="baseline"/>
                        <w:rPr>
                          <w:b/>
                          <w:szCs w:val="24"/>
                        </w:rPr>
                      </w:pPr>
                      <w:sdt>
                        <w:sdtPr>
                          <w:alias w:val="Numeris"/>
                          <w:tag w:val="nr_9c1ff244977f49e2a641ddbce890ef4f"/>
                          <w:lock w:val="sdtLocked"/>
                          <w:richText/>
                        </w:sdtPr>
                        <w:sdtContent>
                          <w:r>
                            <w:rPr>
                              <w:b/>
                              <w:szCs w:val="24"/>
                            </w:rPr>
                            <w:t>6.1.1</w:t>
                          </w:r>
                        </w:sdtContent>
                      </w:sdt>
                      <w:r>
                        <w:rPr>
                          <w:b/>
                          <w:szCs w:val="24"/>
                        </w:rPr>
                        <w:t>.</w:t>
                        <w:tab/>
                        <w:t>Vaikai ir šeimos</w:t>
                      </w:r>
                    </w:p>
                    <w:p>
                      <w:p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rPr>
                          <w:b/>
                          <w:szCs w:val="24"/>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szCs w:val="24"/>
                          <w:lang w:eastAsia="lt-LT"/>
                        </w:rPr>
                      </w:pPr>
                      <w:r>
                        <w:rPr>
                          <w:szCs w:val="24"/>
                          <w:lang w:eastAsia="lt-LT"/>
                        </w:rPr>
                        <w:t xml:space="preserve">Telšių rajono savivaldybėje šeimai ir vaikui yra teikiamos bendrosios ir specialiosios socialinės paslaugos. Bendrąsias socialines paslaugas: informavimo, konsultavimo, tarpininkavimo, atstovavimo, specialaus transporto organizavimo, sociokultūrines, teikia </w:t>
                      </w:r>
                      <w:r>
                        <w:rPr>
                          <w:szCs w:val="24"/>
                          <w:lang w:eastAsia="ar-SA"/>
                        </w:rPr>
                        <w:t xml:space="preserve">Telšių socialinių paslaugų centras. </w:t>
                      </w:r>
                      <w:r>
                        <w:rPr>
                          <w:szCs w:val="24"/>
                          <w:lang w:eastAsia="lt-LT"/>
                        </w:rPr>
                        <w:t xml:space="preserve">Specialiąsias: socialinių įgūdžių ugdymo ir palaikymo, laikino apnakvindinimo Krizių centre, intensyvios krizės įveikimo, apgyvendinimo Laikinuose šeimos namuose, ilgalaikės socialinės globos, pagalbos globėjams (rūpintojams) ir įtėviams, teikia keli subjektai. </w:t>
                      </w: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szCs w:val="24"/>
                          <w:lang w:eastAsia="ar-SA"/>
                        </w:rPr>
                      </w:pPr>
                      <w:r>
                        <w:rPr>
                          <w:szCs w:val="24"/>
                          <w:lang w:eastAsia="lt-LT"/>
                        </w:rPr>
                        <w:t xml:space="preserve">Darbą su socialinės rizikos asmenimis vykdo Telšių socialinių paslaugų centras. </w:t>
                      </w:r>
                      <w:r>
                        <w:rPr>
                          <w:szCs w:val="24"/>
                          <w:lang w:eastAsia="ar-SA"/>
                        </w:rPr>
                        <w:t xml:space="preserve">Telšių vaikų globos namuose teikiama trumpalaikė ir ilgalaikė socialinė globa tėvų globos netekusiems vaikams. Juose veikia Laikini šeimos namai, kuriuose paslaugos teikiamos socialinės rizikos mamoms, auginančioms vaikus. Krizių centre teikiama psichologinė, intensyvios krizių įveikimo pagalba, dirbama savižudžių prevencijos ir postvencijos srityje, organizuojama psichologinė pagalba „Vilties linija“ telefonu. </w:t>
                      </w:r>
                      <w:r>
                        <w:rPr>
                          <w:bCs/>
                          <w:iCs/>
                          <w:szCs w:val="24"/>
                          <w:lang w:eastAsia="ar-SA"/>
                        </w:rPr>
                        <w:t xml:space="preserve">Viešoji įmonė </w:t>
                      </w:r>
                      <w:r>
                        <w:rPr>
                          <w:szCs w:val="24"/>
                          <w:lang w:eastAsia="ar-SA"/>
                        </w:rPr>
                        <w:t>„Soneima“ yra sukaupusi nemažą patirtį organizuojant įtėvių ir globėjų (rūpintojų) kursus.</w:t>
                      </w:r>
                    </w:p>
                    <w:p>
                      <w:pPr>
                        <w:tabs>
                          <w:tab w:val="left" w:pos="851"/>
                          <w:tab w:val="left" w:pos="9540"/>
                        </w:tabs>
                        <w:ind w:firstLine="851"/>
                        <w:jc w:val="both"/>
                        <w:rPr>
                          <w:szCs w:val="24"/>
                        </w:rPr>
                      </w:pPr>
                      <w:r>
                        <w:rPr>
                          <w:b/>
                          <w:szCs w:val="24"/>
                        </w:rPr>
                        <w:t xml:space="preserve">Sociokultūrinės paslaugos </w:t>
                      </w:r>
                      <w:r>
                        <w:rPr>
                          <w:szCs w:val="24"/>
                        </w:rPr>
                        <w:t xml:space="preserve">organizuojamos ne tik socialinės rizikos šeimoms ir jų vaikams, bet ir kitoms toje teritorijoje gyvenančioms šeimoms bei jų vaikams, siekiant spręsti socialines problemas (prevenciniais tikslais), mažinant socialinę atskirtį, skatinant bendruomenę. Sociokultūrinės paslaugos teikiamos Telšių socialinių paslaugų centro struktūriniuose padaliniuose – Telšių, Mitkaičių, Upynos ir Žarėnų dienos centruose, Telšių Šv. Antano Paduviečio katedros vaikų dienos centre „Židinėlis“. Gavėjų statistika pateikiama žemiau lentelėje.  </w:t>
                      </w:r>
                    </w:p>
                    <w:p>
                      <w:pPr>
                        <w:ind w:firstLine="2160"/>
                        <w:rPr>
                          <w:color w:val="0070C0"/>
                          <w:szCs w:val="24"/>
                        </w:rPr>
                      </w:pPr>
                    </w:p>
                  </w:sdtContent>
                </w:sdt>
              </w:sdtContent>
            </w:sdt>
          </w:sdtContent>
        </w:sdt>
        <w:sdt>
          <w:sdtPr>
            <w:alias w:val="poskyris"/>
            <w:tag w:val="part_307431d193c0431abe843b63efc0efcd"/>
            <w:lock w:val="sdtLocked"/>
            <w:richText/>
          </w:sdtPr>
          <w:sdtContent>
            <w:p>
              <w:pPr>
                <w:jc w:val="center"/>
                <w:rPr>
                  <w:b/>
                  <w:szCs w:val="24"/>
                </w:rPr>
              </w:pPr>
              <w:sdt>
                <w:sdtPr>
                  <w:alias w:val="Pavadinimas"/>
                  <w:tag w:val="title_307431d193c0431abe843b63efc0efcd"/>
                  <w:lock w:val="sdtLocked"/>
                  <w:richText/>
                </w:sdtPr>
                <w:sdtContent>
                  <w:r>
                    <w:rPr>
                      <w:b/>
                      <w:szCs w:val="24"/>
                    </w:rPr>
                    <w:t>Sociokultūrinių paslaugų vaikų dienos centruose gavėjų dinamika 2014 – 2016 m.</w:t>
                  </w:r>
                  <w:r>
                    <w:rPr>
                      <w:b/>
                      <w:szCs w:val="24"/>
                      <w:vertAlign w:val="superscript"/>
                    </w:rPr>
                    <w:t xml:space="preserve"> </w:t>
                  </w:r>
                  <w:r>
                    <w:rPr>
                      <w:szCs w:val="24"/>
                      <w:vertAlign w:val="superscript"/>
                    </w:rPr>
                    <w:footnoteReference w:id="20"/>
                  </w:r>
                  <w:r>
                    <w:rPr>
                      <w:b/>
                      <w:szCs w:val="24"/>
                    </w:rPr>
                    <w:t xml:space="preserve"> </w:t>
                  </w:r>
                </w:sdtContent>
              </w:sdt>
            </w:p>
            <w:tbl>
              <w:tblPr>
                <w:tblW w:w="9093" w:type="dxa"/>
                <w:jc w:val="center"/>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0"/>
                <w:gridCol w:w="2977"/>
                <w:gridCol w:w="1123"/>
                <w:gridCol w:w="1227"/>
                <w:gridCol w:w="1134"/>
                <w:gridCol w:w="1852"/>
              </w:tblGrid>
              <w:tr>
                <w:trPr>
                  <w:jc w:val="center"/>
                </w:trPr>
                <w:tc>
                  <w:tcPr>
                    <w:tcW w:w="780" w:type="dxa"/>
                    <w:tcBorders>
                      <w:bottom w:val="single" w:sz="4" w:space="0" w:color="auto"/>
                      <w:right w:val="single" w:sz="4" w:space="0" w:color="auto"/>
                    </w:tcBorders>
                    <w:shd w:val="clear" w:color="auto" w:fill="D9D9D9"/>
                    <w:vAlign w:val="center"/>
                  </w:tcPr>
                  <w:p>
                    <w:pPr>
                      <w:jc w:val="center"/>
                      <w:rPr>
                        <w:b/>
                        <w:sz w:val="20"/>
                      </w:rPr>
                    </w:pPr>
                    <w:r>
                      <w:rPr>
                        <w:b/>
                        <w:sz w:val="20"/>
                      </w:rPr>
                      <w:t>Eil. Nr.</w:t>
                    </w:r>
                  </w:p>
                </w:tc>
                <w:tc>
                  <w:tcPr>
                    <w:tcW w:w="2977" w:type="dxa"/>
                    <w:tcBorders>
                      <w:top w:val="single" w:sz="4" w:space="0" w:color="auto"/>
                      <w:left w:val="single" w:sz="4" w:space="0" w:color="auto"/>
                      <w:bottom w:val="single" w:sz="4" w:space="0" w:color="auto"/>
                      <w:right w:val="single" w:sz="4" w:space="0" w:color="auto"/>
                      <w:tl2br w:val="nil"/>
                    </w:tcBorders>
                    <w:shd w:val="clear" w:color="auto" w:fill="D9D9D9"/>
                    <w:vAlign w:val="center"/>
                  </w:tcPr>
                  <w:p>
                    <w:pPr>
                      <w:jc w:val="center"/>
                      <w:rPr>
                        <w:b/>
                        <w:sz w:val="20"/>
                      </w:rPr>
                    </w:pPr>
                    <w:r>
                      <w:rPr>
                        <w:b/>
                        <w:sz w:val="20"/>
                      </w:rPr>
                      <w:t>Organizacijos</w:t>
                    </w:r>
                  </w:p>
                </w:tc>
                <w:tc>
                  <w:tcPr>
                    <w:tcW w:w="1123" w:type="dxa"/>
                    <w:tcBorders>
                      <w:bottom w:val="single" w:sz="4" w:space="0" w:color="auto"/>
                    </w:tcBorders>
                    <w:shd w:val="clear" w:color="auto" w:fill="D9D9D9"/>
                    <w:vAlign w:val="center"/>
                  </w:tcPr>
                  <w:p>
                    <w:pPr>
                      <w:jc w:val="center"/>
                      <w:rPr>
                        <w:b/>
                        <w:sz w:val="20"/>
                      </w:rPr>
                    </w:pPr>
                    <w:r>
                      <w:rPr>
                        <w:b/>
                        <w:sz w:val="20"/>
                      </w:rPr>
                      <w:t>2014 m.</w:t>
                    </w:r>
                  </w:p>
                </w:tc>
                <w:tc>
                  <w:tcPr>
                    <w:tcW w:w="1227" w:type="dxa"/>
                    <w:tcBorders>
                      <w:bottom w:val="single" w:sz="4" w:space="0" w:color="auto"/>
                    </w:tcBorders>
                    <w:shd w:val="clear" w:color="auto" w:fill="D9D9D9"/>
                    <w:vAlign w:val="center"/>
                  </w:tcPr>
                  <w:p>
                    <w:pPr>
                      <w:jc w:val="center"/>
                      <w:rPr>
                        <w:b/>
                        <w:sz w:val="20"/>
                      </w:rPr>
                    </w:pPr>
                    <w:r>
                      <w:rPr>
                        <w:b/>
                        <w:sz w:val="20"/>
                      </w:rPr>
                      <w:t>2015m.</w:t>
                    </w:r>
                  </w:p>
                </w:tc>
                <w:tc>
                  <w:tcPr>
                    <w:tcW w:w="1134" w:type="dxa"/>
                    <w:tcBorders>
                      <w:bottom w:val="single" w:sz="4" w:space="0" w:color="auto"/>
                    </w:tcBorders>
                    <w:shd w:val="clear" w:color="auto" w:fill="D9D9D9"/>
                    <w:vAlign w:val="center"/>
                  </w:tcPr>
                  <w:p>
                    <w:pPr>
                      <w:jc w:val="center"/>
                      <w:rPr>
                        <w:b/>
                        <w:sz w:val="20"/>
                      </w:rPr>
                    </w:pPr>
                    <w:r>
                      <w:rPr>
                        <w:b/>
                        <w:sz w:val="20"/>
                      </w:rPr>
                      <w:t>2016 m.</w:t>
                    </w:r>
                  </w:p>
                </w:tc>
                <w:tc>
                  <w:tcPr>
                    <w:tcW w:w="1852" w:type="dxa"/>
                    <w:tcBorders>
                      <w:bottom w:val="single" w:sz="4" w:space="0" w:color="auto"/>
                    </w:tcBorders>
                    <w:shd w:val="clear" w:color="auto" w:fill="D9D9D9"/>
                  </w:tcPr>
                  <w:p>
                    <w:pPr>
                      <w:jc w:val="center"/>
                      <w:rPr>
                        <w:b/>
                        <w:sz w:val="20"/>
                      </w:rPr>
                    </w:pPr>
                    <w:r>
                      <w:rPr>
                        <w:b/>
                        <w:sz w:val="20"/>
                      </w:rPr>
                      <w:t>Planuojama</w:t>
                    </w:r>
                  </w:p>
                  <w:p>
                    <w:pPr>
                      <w:jc w:val="center"/>
                      <w:rPr>
                        <w:b/>
                        <w:sz w:val="20"/>
                      </w:rPr>
                    </w:pPr>
                    <w:r>
                      <w:rPr>
                        <w:b/>
                        <w:sz w:val="20"/>
                      </w:rPr>
                      <w:t>2017 m.</w:t>
                    </w:r>
                  </w:p>
                </w:tc>
              </w:tr>
              <w:tr>
                <w:trPr>
                  <w:jc w:val="center"/>
                </w:trPr>
                <w:tc>
                  <w:tcPr>
                    <w:tcW w:w="780" w:type="dxa"/>
                    <w:shd w:val="clear" w:color="auto" w:fill="FFFFFF"/>
                    <w:vAlign w:val="center"/>
                  </w:tcPr>
                  <w:p>
                    <w:pPr>
                      <w:jc w:val="center"/>
                      <w:rPr>
                        <w:sz w:val="20"/>
                      </w:rPr>
                    </w:pPr>
                    <w:r>
                      <w:rPr>
                        <w:sz w:val="20"/>
                      </w:rPr>
                      <w:t>1.</w:t>
                    </w:r>
                  </w:p>
                </w:tc>
                <w:tc>
                  <w:tcPr>
                    <w:tcW w:w="2977" w:type="dxa"/>
                    <w:tcBorders>
                      <w:top w:val="single" w:sz="4" w:space="0" w:color="auto"/>
                    </w:tcBorders>
                    <w:shd w:val="clear" w:color="auto" w:fill="FFFFFF"/>
                    <w:vAlign w:val="center"/>
                  </w:tcPr>
                  <w:p>
                    <w:pPr>
                      <w:rPr>
                        <w:sz w:val="20"/>
                      </w:rPr>
                    </w:pPr>
                    <w:r>
                      <w:rPr>
                        <w:sz w:val="20"/>
                      </w:rPr>
                      <w:t>Telšių socialinių paslaugų centras</w:t>
                    </w:r>
                  </w:p>
                </w:tc>
                <w:tc>
                  <w:tcPr>
                    <w:tcW w:w="1123" w:type="dxa"/>
                    <w:shd w:val="clear" w:color="auto" w:fill="FFFFFF"/>
                    <w:vAlign w:val="center"/>
                  </w:tcPr>
                  <w:p>
                    <w:pPr>
                      <w:jc w:val="center"/>
                      <w:rPr>
                        <w:sz w:val="20"/>
                      </w:rPr>
                    </w:pPr>
                    <w:r>
                      <w:rPr>
                        <w:sz w:val="20"/>
                      </w:rPr>
                      <w:t>339</w:t>
                    </w:r>
                  </w:p>
                </w:tc>
                <w:tc>
                  <w:tcPr>
                    <w:tcW w:w="1227" w:type="dxa"/>
                    <w:shd w:val="clear" w:color="auto" w:fill="FFFFFF"/>
                    <w:vAlign w:val="center"/>
                  </w:tcPr>
                  <w:p>
                    <w:pPr>
                      <w:jc w:val="center"/>
                      <w:rPr>
                        <w:sz w:val="20"/>
                      </w:rPr>
                    </w:pPr>
                    <w:r>
                      <w:rPr>
                        <w:sz w:val="20"/>
                      </w:rPr>
                      <w:t>316</w:t>
                    </w:r>
                  </w:p>
                </w:tc>
                <w:tc>
                  <w:tcPr>
                    <w:tcW w:w="1134" w:type="dxa"/>
                    <w:shd w:val="clear" w:color="auto" w:fill="FFFFFF"/>
                    <w:vAlign w:val="center"/>
                  </w:tcPr>
                  <w:p>
                    <w:pPr>
                      <w:jc w:val="center"/>
                      <w:rPr>
                        <w:sz w:val="20"/>
                      </w:rPr>
                    </w:pPr>
                    <w:r>
                      <w:rPr>
                        <w:sz w:val="20"/>
                      </w:rPr>
                      <w:t>187</w:t>
                    </w:r>
                  </w:p>
                </w:tc>
                <w:tc>
                  <w:tcPr>
                    <w:tcW w:w="1852" w:type="dxa"/>
                    <w:shd w:val="clear" w:color="auto" w:fill="FFFFFF"/>
                  </w:tcPr>
                  <w:p>
                    <w:pPr>
                      <w:jc w:val="center"/>
                      <w:rPr>
                        <w:sz w:val="20"/>
                      </w:rPr>
                    </w:pPr>
                    <w:r>
                      <w:rPr>
                        <w:sz w:val="20"/>
                      </w:rPr>
                      <w:t>210</w:t>
                    </w:r>
                  </w:p>
                </w:tc>
              </w:tr>
              <w:tr>
                <w:trPr>
                  <w:jc w:val="center"/>
                </w:trPr>
                <w:tc>
                  <w:tcPr>
                    <w:tcW w:w="780" w:type="dxa"/>
                    <w:shd w:val="clear" w:color="auto" w:fill="FFFFFF"/>
                    <w:vAlign w:val="center"/>
                  </w:tcPr>
                  <w:p>
                    <w:pPr>
                      <w:jc w:val="center"/>
                      <w:rPr>
                        <w:sz w:val="20"/>
                      </w:rPr>
                    </w:pPr>
                    <w:r>
                      <w:rPr>
                        <w:sz w:val="20"/>
                      </w:rPr>
                      <w:t>1.1.</w:t>
                    </w:r>
                  </w:p>
                </w:tc>
                <w:tc>
                  <w:tcPr>
                    <w:tcW w:w="2977" w:type="dxa"/>
                    <w:shd w:val="clear" w:color="auto" w:fill="FFFFFF"/>
                    <w:vAlign w:val="center"/>
                  </w:tcPr>
                  <w:p>
                    <w:pPr>
                      <w:rPr>
                        <w:sz w:val="20"/>
                      </w:rPr>
                    </w:pPr>
                    <w:r>
                      <w:rPr>
                        <w:sz w:val="20"/>
                      </w:rPr>
                      <w:t>Telšių dienos centras</w:t>
                    </w:r>
                  </w:p>
                </w:tc>
                <w:tc>
                  <w:tcPr>
                    <w:tcW w:w="1123" w:type="dxa"/>
                    <w:shd w:val="clear" w:color="auto" w:fill="FFFFFF"/>
                    <w:vAlign w:val="center"/>
                  </w:tcPr>
                  <w:p>
                    <w:pPr>
                      <w:jc w:val="center"/>
                      <w:rPr>
                        <w:sz w:val="20"/>
                      </w:rPr>
                    </w:pPr>
                    <w:r>
                      <w:rPr>
                        <w:sz w:val="20"/>
                      </w:rPr>
                      <w:t>87</w:t>
                    </w:r>
                  </w:p>
                </w:tc>
                <w:tc>
                  <w:tcPr>
                    <w:tcW w:w="1227" w:type="dxa"/>
                    <w:shd w:val="clear" w:color="auto" w:fill="FFFFFF"/>
                    <w:vAlign w:val="center"/>
                  </w:tcPr>
                  <w:p>
                    <w:pPr>
                      <w:jc w:val="center"/>
                      <w:rPr>
                        <w:sz w:val="20"/>
                      </w:rPr>
                    </w:pPr>
                    <w:r>
                      <w:rPr>
                        <w:sz w:val="20"/>
                      </w:rPr>
                      <w:t>117</w:t>
                    </w:r>
                  </w:p>
                </w:tc>
                <w:tc>
                  <w:tcPr>
                    <w:tcW w:w="1134" w:type="dxa"/>
                    <w:shd w:val="clear" w:color="auto" w:fill="FFFFFF"/>
                    <w:vAlign w:val="center"/>
                  </w:tcPr>
                  <w:p>
                    <w:pPr>
                      <w:jc w:val="center"/>
                      <w:rPr>
                        <w:sz w:val="20"/>
                        <w:highlight w:val="yellow"/>
                      </w:rPr>
                    </w:pPr>
                    <w:r>
                      <w:rPr>
                        <w:sz w:val="20"/>
                      </w:rPr>
                      <w:t>65</w:t>
                    </w:r>
                  </w:p>
                </w:tc>
                <w:tc>
                  <w:tcPr>
                    <w:tcW w:w="1852" w:type="dxa"/>
                    <w:shd w:val="clear" w:color="auto" w:fill="FFFFFF"/>
                  </w:tcPr>
                  <w:p>
                    <w:pPr>
                      <w:jc w:val="center"/>
                      <w:rPr>
                        <w:sz w:val="20"/>
                      </w:rPr>
                    </w:pPr>
                    <w:r>
                      <w:rPr>
                        <w:sz w:val="20"/>
                      </w:rPr>
                      <w:t>70</w:t>
                    </w:r>
                  </w:p>
                </w:tc>
              </w:tr>
              <w:tr>
                <w:trPr>
                  <w:jc w:val="center"/>
                </w:trPr>
                <w:tc>
                  <w:tcPr>
                    <w:tcW w:w="780" w:type="dxa"/>
                    <w:shd w:val="clear" w:color="auto" w:fill="FFFFFF"/>
                    <w:vAlign w:val="center"/>
                  </w:tcPr>
                  <w:p>
                    <w:pPr>
                      <w:jc w:val="center"/>
                      <w:rPr>
                        <w:sz w:val="20"/>
                      </w:rPr>
                    </w:pPr>
                    <w:r>
                      <w:rPr>
                        <w:sz w:val="20"/>
                      </w:rPr>
                      <w:t>1.2.</w:t>
                    </w:r>
                  </w:p>
                </w:tc>
                <w:tc>
                  <w:tcPr>
                    <w:tcW w:w="2977" w:type="dxa"/>
                    <w:shd w:val="clear" w:color="auto" w:fill="FFFFFF"/>
                    <w:vAlign w:val="center"/>
                  </w:tcPr>
                  <w:p>
                    <w:pPr>
                      <w:rPr>
                        <w:sz w:val="20"/>
                      </w:rPr>
                    </w:pPr>
                    <w:r>
                      <w:rPr>
                        <w:sz w:val="20"/>
                      </w:rPr>
                      <w:t>Mitkaičių dienos centras</w:t>
                    </w:r>
                  </w:p>
                </w:tc>
                <w:tc>
                  <w:tcPr>
                    <w:tcW w:w="1123" w:type="dxa"/>
                    <w:shd w:val="clear" w:color="auto" w:fill="FFFFFF"/>
                  </w:tcPr>
                  <w:p>
                    <w:pPr>
                      <w:jc w:val="center"/>
                      <w:rPr>
                        <w:sz w:val="20"/>
                      </w:rPr>
                    </w:pPr>
                    <w:r>
                      <w:rPr>
                        <w:sz w:val="20"/>
                      </w:rPr>
                      <w:t>118</w:t>
                    </w:r>
                  </w:p>
                </w:tc>
                <w:tc>
                  <w:tcPr>
                    <w:tcW w:w="1227" w:type="dxa"/>
                    <w:shd w:val="clear" w:color="auto" w:fill="FFFFFF"/>
                  </w:tcPr>
                  <w:p>
                    <w:pPr>
                      <w:jc w:val="center"/>
                      <w:rPr>
                        <w:sz w:val="20"/>
                      </w:rPr>
                    </w:pPr>
                    <w:r>
                      <w:rPr>
                        <w:sz w:val="20"/>
                      </w:rPr>
                      <w:t>67</w:t>
                    </w:r>
                  </w:p>
                </w:tc>
                <w:tc>
                  <w:tcPr>
                    <w:tcW w:w="1134" w:type="dxa"/>
                    <w:shd w:val="clear" w:color="auto" w:fill="FFFFFF"/>
                    <w:vAlign w:val="center"/>
                  </w:tcPr>
                  <w:p>
                    <w:pPr>
                      <w:jc w:val="center"/>
                      <w:rPr>
                        <w:sz w:val="20"/>
                      </w:rPr>
                    </w:pPr>
                    <w:r>
                      <w:rPr>
                        <w:sz w:val="20"/>
                      </w:rPr>
                      <w:t>35</w:t>
                    </w:r>
                  </w:p>
                </w:tc>
                <w:tc>
                  <w:tcPr>
                    <w:tcW w:w="1852" w:type="dxa"/>
                    <w:shd w:val="clear" w:color="auto" w:fill="FFFFFF"/>
                  </w:tcPr>
                  <w:p>
                    <w:pPr>
                      <w:jc w:val="center"/>
                      <w:rPr>
                        <w:sz w:val="20"/>
                      </w:rPr>
                    </w:pPr>
                    <w:r>
                      <w:rPr>
                        <w:sz w:val="20"/>
                      </w:rPr>
                      <w:t>40</w:t>
                    </w:r>
                  </w:p>
                </w:tc>
              </w:tr>
              <w:tr>
                <w:trPr>
                  <w:jc w:val="center"/>
                </w:trPr>
                <w:tc>
                  <w:tcPr>
                    <w:tcW w:w="780" w:type="dxa"/>
                    <w:shd w:val="clear" w:color="auto" w:fill="FFFFFF"/>
                    <w:vAlign w:val="center"/>
                  </w:tcPr>
                  <w:p>
                    <w:pPr>
                      <w:jc w:val="center"/>
                      <w:rPr>
                        <w:sz w:val="20"/>
                      </w:rPr>
                    </w:pPr>
                    <w:r>
                      <w:rPr>
                        <w:sz w:val="20"/>
                      </w:rPr>
                      <w:t>1.3.</w:t>
                    </w:r>
                  </w:p>
                </w:tc>
                <w:tc>
                  <w:tcPr>
                    <w:tcW w:w="2977" w:type="dxa"/>
                    <w:shd w:val="clear" w:color="auto" w:fill="FFFFFF"/>
                    <w:vAlign w:val="center"/>
                  </w:tcPr>
                  <w:p>
                    <w:pPr>
                      <w:rPr>
                        <w:sz w:val="20"/>
                      </w:rPr>
                    </w:pPr>
                    <w:r>
                      <w:rPr>
                        <w:sz w:val="20"/>
                      </w:rPr>
                      <w:t>Upynos dienos centras</w:t>
                    </w:r>
                  </w:p>
                </w:tc>
                <w:tc>
                  <w:tcPr>
                    <w:tcW w:w="1123" w:type="dxa"/>
                    <w:shd w:val="clear" w:color="auto" w:fill="FFFFFF"/>
                  </w:tcPr>
                  <w:p>
                    <w:pPr>
                      <w:jc w:val="center"/>
                      <w:rPr>
                        <w:sz w:val="20"/>
                      </w:rPr>
                    </w:pPr>
                    <w:r>
                      <w:rPr>
                        <w:sz w:val="20"/>
                      </w:rPr>
                      <w:t>52</w:t>
                    </w:r>
                  </w:p>
                </w:tc>
                <w:tc>
                  <w:tcPr>
                    <w:tcW w:w="1227" w:type="dxa"/>
                    <w:shd w:val="clear" w:color="auto" w:fill="FFFFFF"/>
                  </w:tcPr>
                  <w:p>
                    <w:pPr>
                      <w:jc w:val="center"/>
                      <w:rPr>
                        <w:sz w:val="20"/>
                      </w:rPr>
                    </w:pPr>
                    <w:r>
                      <w:rPr>
                        <w:sz w:val="20"/>
                      </w:rPr>
                      <w:t>77</w:t>
                    </w:r>
                  </w:p>
                </w:tc>
                <w:tc>
                  <w:tcPr>
                    <w:tcW w:w="1134" w:type="dxa"/>
                    <w:shd w:val="clear" w:color="auto" w:fill="FFFFFF"/>
                    <w:vAlign w:val="center"/>
                  </w:tcPr>
                  <w:p>
                    <w:pPr>
                      <w:jc w:val="center"/>
                      <w:rPr>
                        <w:sz w:val="20"/>
                      </w:rPr>
                    </w:pPr>
                    <w:r>
                      <w:rPr>
                        <w:sz w:val="20"/>
                      </w:rPr>
                      <w:t>38</w:t>
                    </w:r>
                  </w:p>
                </w:tc>
                <w:tc>
                  <w:tcPr>
                    <w:tcW w:w="1852" w:type="dxa"/>
                    <w:shd w:val="clear" w:color="auto" w:fill="FFFFFF"/>
                  </w:tcPr>
                  <w:p>
                    <w:pPr>
                      <w:jc w:val="center"/>
                      <w:rPr>
                        <w:sz w:val="20"/>
                      </w:rPr>
                    </w:pPr>
                    <w:r>
                      <w:rPr>
                        <w:sz w:val="20"/>
                      </w:rPr>
                      <w:t>45</w:t>
                    </w:r>
                  </w:p>
                </w:tc>
              </w:tr>
              <w:tr>
                <w:trPr>
                  <w:jc w:val="center"/>
                </w:trPr>
                <w:tc>
                  <w:tcPr>
                    <w:tcW w:w="780" w:type="dxa"/>
                    <w:shd w:val="clear" w:color="auto" w:fill="FFFFFF"/>
                    <w:vAlign w:val="center"/>
                  </w:tcPr>
                  <w:p>
                    <w:pPr>
                      <w:jc w:val="center"/>
                      <w:rPr>
                        <w:sz w:val="20"/>
                      </w:rPr>
                    </w:pPr>
                    <w:r>
                      <w:rPr>
                        <w:sz w:val="20"/>
                      </w:rPr>
                      <w:t>1.4.</w:t>
                    </w:r>
                  </w:p>
                </w:tc>
                <w:tc>
                  <w:tcPr>
                    <w:tcW w:w="2977" w:type="dxa"/>
                    <w:shd w:val="clear" w:color="auto" w:fill="FFFFFF"/>
                    <w:vAlign w:val="center"/>
                  </w:tcPr>
                  <w:p>
                    <w:pPr>
                      <w:rPr>
                        <w:sz w:val="20"/>
                      </w:rPr>
                    </w:pPr>
                    <w:r>
                      <w:rPr>
                        <w:sz w:val="20"/>
                      </w:rPr>
                      <w:t>Žarėnų dienos centras</w:t>
                    </w:r>
                  </w:p>
                </w:tc>
                <w:tc>
                  <w:tcPr>
                    <w:tcW w:w="1123" w:type="dxa"/>
                    <w:shd w:val="clear" w:color="auto" w:fill="FFFFFF"/>
                  </w:tcPr>
                  <w:p>
                    <w:pPr>
                      <w:jc w:val="center"/>
                      <w:rPr>
                        <w:sz w:val="20"/>
                      </w:rPr>
                    </w:pPr>
                    <w:r>
                      <w:rPr>
                        <w:sz w:val="20"/>
                      </w:rPr>
                      <w:t>82</w:t>
                    </w:r>
                  </w:p>
                </w:tc>
                <w:tc>
                  <w:tcPr>
                    <w:tcW w:w="1227" w:type="dxa"/>
                    <w:shd w:val="clear" w:color="auto" w:fill="FFFFFF"/>
                  </w:tcPr>
                  <w:p>
                    <w:pPr>
                      <w:jc w:val="center"/>
                      <w:rPr>
                        <w:sz w:val="20"/>
                      </w:rPr>
                    </w:pPr>
                    <w:r>
                      <w:rPr>
                        <w:sz w:val="20"/>
                      </w:rPr>
                      <w:t>55</w:t>
                    </w:r>
                  </w:p>
                </w:tc>
                <w:tc>
                  <w:tcPr>
                    <w:tcW w:w="1134" w:type="dxa"/>
                    <w:shd w:val="clear" w:color="auto" w:fill="FFFFFF"/>
                    <w:vAlign w:val="center"/>
                  </w:tcPr>
                  <w:p>
                    <w:pPr>
                      <w:jc w:val="center"/>
                      <w:rPr>
                        <w:sz w:val="20"/>
                      </w:rPr>
                    </w:pPr>
                    <w:r>
                      <w:rPr>
                        <w:sz w:val="20"/>
                      </w:rPr>
                      <w:t>49</w:t>
                    </w:r>
                  </w:p>
                </w:tc>
                <w:tc>
                  <w:tcPr>
                    <w:tcW w:w="1852" w:type="dxa"/>
                    <w:shd w:val="clear" w:color="auto" w:fill="FFFFFF"/>
                  </w:tcPr>
                  <w:p>
                    <w:pPr>
                      <w:jc w:val="center"/>
                      <w:rPr>
                        <w:sz w:val="20"/>
                      </w:rPr>
                    </w:pPr>
                    <w:r>
                      <w:rPr>
                        <w:sz w:val="20"/>
                      </w:rPr>
                      <w:t>55</w:t>
                    </w:r>
                  </w:p>
                </w:tc>
              </w:tr>
              <w:tr>
                <w:trPr>
                  <w:jc w:val="center"/>
                </w:trPr>
                <w:tc>
                  <w:tcPr>
                    <w:tcW w:w="780" w:type="dxa"/>
                    <w:shd w:val="clear" w:color="auto" w:fill="FFFFFF"/>
                  </w:tcPr>
                  <w:p>
                    <w:pPr>
                      <w:jc w:val="center"/>
                      <w:rPr>
                        <w:sz w:val="20"/>
                      </w:rPr>
                    </w:pPr>
                    <w:r>
                      <w:rPr>
                        <w:sz w:val="20"/>
                      </w:rPr>
                      <w:t>2.</w:t>
                    </w:r>
                  </w:p>
                </w:tc>
                <w:tc>
                  <w:tcPr>
                    <w:tcW w:w="2977" w:type="dxa"/>
                    <w:shd w:val="clear" w:color="auto" w:fill="FFFFFF"/>
                    <w:vAlign w:val="center"/>
                  </w:tcPr>
                  <w:p>
                    <w:pPr>
                      <w:rPr>
                        <w:sz w:val="20"/>
                      </w:rPr>
                    </w:pPr>
                    <w:r>
                      <w:rPr>
                        <w:sz w:val="20"/>
                      </w:rPr>
                      <w:t>Dienos centras „Židinėlis“</w:t>
                    </w:r>
                  </w:p>
                </w:tc>
                <w:tc>
                  <w:tcPr>
                    <w:tcW w:w="1123" w:type="dxa"/>
                    <w:shd w:val="clear" w:color="auto" w:fill="FFFFFF"/>
                    <w:vAlign w:val="center"/>
                  </w:tcPr>
                  <w:p>
                    <w:pPr>
                      <w:jc w:val="center"/>
                      <w:rPr>
                        <w:sz w:val="20"/>
                      </w:rPr>
                    </w:pPr>
                    <w:r>
                      <w:rPr>
                        <w:sz w:val="20"/>
                      </w:rPr>
                      <w:t>60</w:t>
                    </w:r>
                  </w:p>
                </w:tc>
                <w:tc>
                  <w:tcPr>
                    <w:tcW w:w="1227" w:type="dxa"/>
                    <w:shd w:val="clear" w:color="auto" w:fill="FFFFFF"/>
                    <w:vAlign w:val="center"/>
                  </w:tcPr>
                  <w:p>
                    <w:pPr>
                      <w:jc w:val="center"/>
                      <w:rPr>
                        <w:sz w:val="20"/>
                      </w:rPr>
                    </w:pPr>
                    <w:r>
                      <w:rPr>
                        <w:sz w:val="20"/>
                      </w:rPr>
                      <w:t>60</w:t>
                    </w:r>
                  </w:p>
                </w:tc>
                <w:tc>
                  <w:tcPr>
                    <w:tcW w:w="1134" w:type="dxa"/>
                    <w:shd w:val="clear" w:color="auto" w:fill="FFFFFF"/>
                    <w:vAlign w:val="center"/>
                  </w:tcPr>
                  <w:p>
                    <w:pPr>
                      <w:jc w:val="center"/>
                      <w:rPr>
                        <w:sz w:val="20"/>
                      </w:rPr>
                    </w:pPr>
                    <w:r>
                      <w:rPr>
                        <w:sz w:val="20"/>
                      </w:rPr>
                      <w:t>37</w:t>
                    </w:r>
                  </w:p>
                </w:tc>
                <w:tc>
                  <w:tcPr>
                    <w:tcW w:w="1852" w:type="dxa"/>
                    <w:shd w:val="clear" w:color="auto" w:fill="FFFFFF"/>
                  </w:tcPr>
                  <w:p>
                    <w:pPr>
                      <w:jc w:val="center"/>
                      <w:rPr>
                        <w:sz w:val="20"/>
                      </w:rPr>
                    </w:pPr>
                    <w:r>
                      <w:rPr>
                        <w:sz w:val="20"/>
                      </w:rPr>
                      <w:t>-</w:t>
                    </w:r>
                  </w:p>
                </w:tc>
              </w:tr>
              <w:tr>
                <w:trPr>
                  <w:jc w:val="center"/>
                </w:trPr>
                <w:tc>
                  <w:tcPr>
                    <w:tcW w:w="780" w:type="dxa"/>
                    <w:shd w:val="clear" w:color="auto" w:fill="D9D9D9"/>
                  </w:tcPr>
                  <w:p>
                    <w:pPr>
                      <w:jc w:val="center"/>
                      <w:rPr>
                        <w:b/>
                        <w:sz w:val="20"/>
                      </w:rPr>
                    </w:pPr>
                    <w:r>
                      <w:rPr>
                        <w:b/>
                        <w:sz w:val="20"/>
                      </w:rPr>
                      <w:t>3.</w:t>
                    </w:r>
                  </w:p>
                </w:tc>
                <w:tc>
                  <w:tcPr>
                    <w:tcW w:w="2977" w:type="dxa"/>
                    <w:shd w:val="clear" w:color="auto" w:fill="D9D9D9"/>
                    <w:vAlign w:val="center"/>
                  </w:tcPr>
                  <w:p>
                    <w:pPr>
                      <w:rPr>
                        <w:b/>
                        <w:sz w:val="20"/>
                      </w:rPr>
                    </w:pPr>
                    <w:r>
                      <w:rPr>
                        <w:b/>
                        <w:sz w:val="20"/>
                      </w:rPr>
                      <w:t>Iš viso</w:t>
                    </w:r>
                  </w:p>
                </w:tc>
                <w:tc>
                  <w:tcPr>
                    <w:tcW w:w="1123" w:type="dxa"/>
                    <w:shd w:val="clear" w:color="auto" w:fill="D9D9D9"/>
                    <w:vAlign w:val="center"/>
                  </w:tcPr>
                  <w:p>
                    <w:pPr>
                      <w:jc w:val="center"/>
                      <w:rPr>
                        <w:b/>
                        <w:sz w:val="20"/>
                      </w:rPr>
                    </w:pPr>
                    <w:r>
                      <w:rPr>
                        <w:b/>
                        <w:sz w:val="20"/>
                      </w:rPr>
                      <w:t>399</w:t>
                    </w:r>
                  </w:p>
                </w:tc>
                <w:tc>
                  <w:tcPr>
                    <w:tcW w:w="1227" w:type="dxa"/>
                    <w:shd w:val="clear" w:color="auto" w:fill="D9D9D9"/>
                    <w:vAlign w:val="center"/>
                  </w:tcPr>
                  <w:p>
                    <w:pPr>
                      <w:jc w:val="center"/>
                      <w:rPr>
                        <w:b/>
                        <w:sz w:val="20"/>
                      </w:rPr>
                    </w:pPr>
                    <w:r>
                      <w:rPr>
                        <w:b/>
                        <w:sz w:val="20"/>
                      </w:rPr>
                      <w:t>376</w:t>
                    </w:r>
                  </w:p>
                </w:tc>
                <w:tc>
                  <w:tcPr>
                    <w:tcW w:w="1134" w:type="dxa"/>
                    <w:shd w:val="clear" w:color="auto" w:fill="D9D9D9"/>
                    <w:vAlign w:val="center"/>
                  </w:tcPr>
                  <w:p>
                    <w:pPr>
                      <w:jc w:val="center"/>
                      <w:rPr>
                        <w:b/>
                        <w:sz w:val="20"/>
                      </w:rPr>
                    </w:pPr>
                    <w:r>
                      <w:rPr>
                        <w:b/>
                        <w:sz w:val="20"/>
                      </w:rPr>
                      <w:t>224</w:t>
                    </w:r>
                  </w:p>
                </w:tc>
                <w:tc>
                  <w:tcPr>
                    <w:tcW w:w="1852" w:type="dxa"/>
                    <w:shd w:val="clear" w:color="auto" w:fill="D9D9D9"/>
                  </w:tcPr>
                  <w:p>
                    <w:pPr>
                      <w:jc w:val="center"/>
                      <w:rPr>
                        <w:b/>
                        <w:sz w:val="20"/>
                      </w:rPr>
                    </w:pPr>
                    <w:r>
                      <w:rPr>
                        <w:b/>
                        <w:sz w:val="20"/>
                      </w:rPr>
                      <w:t>210</w:t>
                    </w:r>
                  </w:p>
                </w:tc>
              </w:tr>
            </w:tbl>
            <w:p>
              <w:pPr>
                <w:rPr>
                  <w:color w:val="0070C0"/>
                  <w:sz w:val="22"/>
                  <w:szCs w:val="24"/>
                  <w:lang w:eastAsia="lt-LT"/>
                </w:rPr>
              </w:pPr>
            </w:p>
            <w:p>
              <w:pPr>
                <w:ind w:firstLine="851"/>
                <w:jc w:val="both"/>
                <w:rPr>
                  <w:szCs w:val="24"/>
                </w:rPr>
              </w:pPr>
              <w:r>
                <w:rPr>
                  <w:szCs w:val="24"/>
                </w:rPr>
                <w:t xml:space="preserve">Dienos centrų steigimas seniūnijose yra ypač aktualus. Taip pat aktualu steigti tokius centrus ir miesto atskirose teritorijose. Tačiau dėl ribotų finansinių galimybių ir dėl to, jog nuo 2010 m. nebuvo tęsiami infrastruktūros plėtros projektai, finansuojami iš Socialinės apsaugos ir darbo ministerijos asignavimų, neįgyvendinama Telšių rajono savivaldybės strategija – įsteigti po vieną dienos centrą kiekvienoje seniūnijoje. Dienos centrus steigti būtina dėl to, jog juose užimami vaikai,  ugdomi jų socialiniai įgūdžiai, šeimos ir jose augantys vaikai mokomi bendruomeniškumo, patenkinami būtiniausi socialiniai poreikiai (maitinimas, higienos paslaugos).</w:t>
              </w:r>
            </w:p>
            <w:p>
              <w:pPr>
                <w:tabs>
                  <w:tab w:val="left" w:pos="851"/>
                  <w:tab w:val="left" w:pos="9540"/>
                </w:tabs>
                <w:ind w:firstLine="851"/>
                <w:jc w:val="both"/>
                <w:rPr>
                  <w:szCs w:val="24"/>
                </w:rPr>
              </w:pPr>
              <w:r>
                <w:rPr>
                  <w:b/>
                  <w:szCs w:val="24"/>
                </w:rPr>
                <w:t xml:space="preserve">Socialinių įgūdžių ugdymo ir palaikymo paslaugas socialinės rizikos šeimose </w:t>
              </w:r>
              <w:r>
                <w:rPr>
                  <w:szCs w:val="24"/>
                </w:rPr>
                <w:t>organizuoja ir teikia</w:t>
              </w:r>
              <w:r>
                <w:rPr>
                  <w:b/>
                  <w:szCs w:val="24"/>
                </w:rPr>
                <w:t xml:space="preserve"> </w:t>
              </w:r>
              <w:r>
                <w:rPr>
                  <w:szCs w:val="24"/>
                </w:rPr>
                <w:t>Telšių socialinių paslaugų centras. Ši paslauga yra kompleksinė ir susideda iš informavimo, konsultavimo, tarpininkavimo, atstovavimo, bendravimo, maitinimo organizavimo, kasdienio gyvenimo įgūdžių ugdymo ir palaikymo (namų ruošoje, tvarkant pinigų apskaitą, apsiperkant ir mokant mokesčius, planuojant ir atliekant namų ruošos darbus ir t.t.), darbinių įgūdžių ugdymo ir kitų paslaugų.</w:t>
              </w:r>
            </w:p>
            <w:p>
              <w:pPr>
                <w:tabs>
                  <w:tab w:val="left" w:pos="851"/>
                  <w:tab w:val="left" w:pos="9540"/>
                </w:tabs>
                <w:ind w:firstLine="851"/>
                <w:jc w:val="both"/>
                <w:rPr>
                  <w:szCs w:val="24"/>
                </w:rPr>
              </w:pPr>
              <w:r>
                <w:rPr>
                  <w:szCs w:val="24"/>
                </w:rPr>
                <w:t>Socialinės rizikos šeimų, auginančių nepilnamečius vaikus, skaičius per metus nuolat kinta. Žemiau pateikiama informacija apie Telšių rajone socialines paslaugas gavusių socialinės rizikos šeimų, jose augančių nepilnamečių vaikų, socialinių darbuotojų, dirbančių su šeimomis, pasiskirstymą pagal seniūnijas.</w:t>
              </w:r>
            </w:p>
            <w:p>
              <w:pPr>
                <w:tabs>
                  <w:tab w:val="left" w:pos="851"/>
                  <w:tab w:val="left" w:pos="9540"/>
                </w:tabs>
                <w:ind w:left="567" w:firstLine="851"/>
                <w:jc w:val="right"/>
                <w:rPr>
                  <w:szCs w:val="24"/>
                </w:rPr>
              </w:pPr>
            </w:p>
          </w:sdtContent>
        </w:sdt>
        <w:sdt>
          <w:sdtPr>
            <w:alias w:val="poskyris"/>
            <w:tag w:val="part_186872b262524b6190917b710874a1c3"/>
            <w:lock w:val="sdtLocked"/>
            <w:richText/>
          </w:sdtPr>
          <w:sdtContent>
            <w:p>
              <w:pPr>
                <w:tabs>
                  <w:tab w:val="left" w:pos="851"/>
                  <w:tab w:val="left" w:pos="9540"/>
                </w:tabs>
                <w:ind w:left="567"/>
                <w:jc w:val="center"/>
                <w:rPr>
                  <w:b/>
                  <w:szCs w:val="24"/>
                </w:rPr>
              </w:pPr>
              <w:sdt>
                <w:sdtPr>
                  <w:alias w:val="Pavadinimas"/>
                  <w:tag w:val="title_186872b262524b6190917b710874a1c3"/>
                  <w:lock w:val="sdtLocked"/>
                  <w:richText/>
                </w:sdtPr>
                <w:sdtContent>
                  <w:r>
                    <w:rPr>
                      <w:b/>
                      <w:szCs w:val="24"/>
                    </w:rPr>
                    <w:t>Socialinės rizikos šeimų ir jose augančių vaikų bei tiesiogiai su socialinės rizikos šeimomis dirbančių darbuotojų statistika 2014─2016 m.</w:t>
                  </w:r>
                  <w:r>
                    <w:rPr>
                      <w:b/>
                      <w:szCs w:val="24"/>
                      <w:vertAlign w:val="superscript"/>
                    </w:rPr>
                    <w:t xml:space="preserve"> </w:t>
                  </w:r>
                </w:sdtContent>
              </w:sdt>
              <w:r>
                <w:rPr>
                  <w:szCs w:val="24"/>
                  <w:vertAlign w:val="superscript"/>
                </w:rPr>
                <w:footnoteReference w:id="21"/>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851"/>
                <w:gridCol w:w="850"/>
                <w:gridCol w:w="851"/>
                <w:gridCol w:w="850"/>
                <w:gridCol w:w="851"/>
                <w:gridCol w:w="850"/>
                <w:gridCol w:w="851"/>
                <w:gridCol w:w="850"/>
              </w:tblGrid>
              <w:tr>
                <w:trPr>
                  <w:jc w:val="center"/>
                </w:trPr>
                <w:tc>
                  <w:tcPr>
                    <w:tcW w:w="1526" w:type="dxa"/>
                    <w:vMerge w:val="restart"/>
                    <w:tcBorders>
                      <w:tl2br w:val="single" w:sz="4" w:space="0" w:color="auto"/>
                    </w:tcBorders>
                    <w:shd w:val="clear" w:color="auto" w:fill="D9D9D9"/>
                    <w:vAlign w:val="center"/>
                  </w:tcPr>
                  <w:p>
                    <w:pPr>
                      <w:tabs>
                        <w:tab w:val="left" w:pos="851"/>
                      </w:tabs>
                      <w:jc w:val="right"/>
                      <w:rPr>
                        <w:b/>
                        <w:sz w:val="20"/>
                      </w:rPr>
                    </w:pPr>
                    <w:r>
                      <w:rPr>
                        <w:b/>
                        <w:sz w:val="20"/>
                      </w:rPr>
                      <w:t>Rodikliai / Metai</w:t>
                    </w:r>
                  </w:p>
                  <w:p>
                    <w:pPr>
                      <w:tabs>
                        <w:tab w:val="left" w:pos="851"/>
                      </w:tabs>
                      <w:jc w:val="right"/>
                      <w:rPr>
                        <w:b/>
                        <w:sz w:val="20"/>
                      </w:rPr>
                    </w:pPr>
                  </w:p>
                  <w:p>
                    <w:pPr>
                      <w:tabs>
                        <w:tab w:val="left" w:pos="851"/>
                      </w:tabs>
                      <w:rPr>
                        <w:b/>
                        <w:sz w:val="20"/>
                      </w:rPr>
                    </w:pPr>
                    <w:r>
                      <w:rPr>
                        <w:b/>
                        <w:sz w:val="20"/>
                      </w:rPr>
                      <w:t>Seniūnija</w:t>
                    </w:r>
                  </w:p>
                </w:tc>
                <w:tc>
                  <w:tcPr>
                    <w:tcW w:w="2551" w:type="dxa"/>
                    <w:gridSpan w:val="3"/>
                    <w:shd w:val="clear" w:color="auto" w:fill="D9D9D9"/>
                    <w:vAlign w:val="center"/>
                  </w:tcPr>
                  <w:p>
                    <w:pPr>
                      <w:tabs>
                        <w:tab w:val="left" w:pos="851"/>
                      </w:tabs>
                      <w:jc w:val="center"/>
                      <w:rPr>
                        <w:b/>
                        <w:sz w:val="20"/>
                      </w:rPr>
                    </w:pPr>
                    <w:r>
                      <w:rPr>
                        <w:b/>
                        <w:sz w:val="20"/>
                      </w:rPr>
                      <w:t xml:space="preserve">Socialinės rizikos šeimų skaičius </w:t>
                    </w:r>
                  </w:p>
                </w:tc>
                <w:tc>
                  <w:tcPr>
                    <w:tcW w:w="2552" w:type="dxa"/>
                    <w:gridSpan w:val="3"/>
                    <w:shd w:val="clear" w:color="auto" w:fill="D9D9D9"/>
                    <w:vAlign w:val="center"/>
                  </w:tcPr>
                  <w:p>
                    <w:pPr>
                      <w:tabs>
                        <w:tab w:val="left" w:pos="851"/>
                      </w:tabs>
                      <w:jc w:val="center"/>
                      <w:rPr>
                        <w:b/>
                        <w:sz w:val="20"/>
                      </w:rPr>
                    </w:pPr>
                    <w:r>
                      <w:rPr>
                        <w:b/>
                        <w:sz w:val="20"/>
                      </w:rPr>
                      <w:t>Šeimose augančių nepilnamečių vaikų skaičius</w:t>
                    </w:r>
                  </w:p>
                </w:tc>
                <w:tc>
                  <w:tcPr>
                    <w:tcW w:w="2551" w:type="dxa"/>
                    <w:gridSpan w:val="3"/>
                    <w:shd w:val="clear" w:color="auto" w:fill="D9D9D9"/>
                    <w:vAlign w:val="center"/>
                  </w:tcPr>
                  <w:p>
                    <w:pPr>
                      <w:tabs>
                        <w:tab w:val="left" w:pos="851"/>
                      </w:tabs>
                      <w:jc w:val="center"/>
                      <w:rPr>
                        <w:b/>
                        <w:sz w:val="20"/>
                      </w:rPr>
                    </w:pPr>
                    <w:r>
                      <w:rPr>
                        <w:b/>
                        <w:sz w:val="20"/>
                      </w:rPr>
                      <w:t>Darbuotojų skaičius</w:t>
                    </w:r>
                  </w:p>
                </w:tc>
              </w:tr>
              <w:tr>
                <w:trPr>
                  <w:trHeight w:val="531"/>
                  <w:jc w:val="center"/>
                </w:trPr>
                <w:tc>
                  <w:tcPr>
                    <w:tcW w:w="1526" w:type="dxa"/>
                    <w:vMerge/>
                    <w:tcBorders>
                      <w:tl2br w:val="single" w:sz="4" w:space="0" w:color="auto"/>
                    </w:tcBorders>
                    <w:shd w:val="clear" w:color="auto" w:fill="D9D9D9"/>
                  </w:tcPr>
                  <w:p>
                    <w:pPr>
                      <w:tabs>
                        <w:tab w:val="left" w:pos="851"/>
                      </w:tabs>
                      <w:jc w:val="center"/>
                      <w:rPr>
                        <w:b/>
                        <w:sz w:val="20"/>
                      </w:rPr>
                    </w:pPr>
                  </w:p>
                </w:tc>
                <w:tc>
                  <w:tcPr>
                    <w:tcW w:w="850" w:type="dxa"/>
                    <w:shd w:val="clear" w:color="auto" w:fill="D9D9D9"/>
                    <w:vAlign w:val="center"/>
                  </w:tcPr>
                  <w:p>
                    <w:pPr>
                      <w:tabs>
                        <w:tab w:val="left" w:pos="851"/>
                      </w:tabs>
                      <w:jc w:val="center"/>
                      <w:rPr>
                        <w:b/>
                        <w:sz w:val="20"/>
                      </w:rPr>
                    </w:pPr>
                    <w:r>
                      <w:rPr>
                        <w:b/>
                        <w:sz w:val="20"/>
                      </w:rPr>
                      <w:t xml:space="preserve">2014 </w:t>
                    </w:r>
                  </w:p>
                </w:tc>
                <w:tc>
                  <w:tcPr>
                    <w:tcW w:w="851" w:type="dxa"/>
                    <w:shd w:val="clear" w:color="auto" w:fill="D9D9D9"/>
                    <w:vAlign w:val="center"/>
                  </w:tcPr>
                  <w:p>
                    <w:pPr>
                      <w:tabs>
                        <w:tab w:val="left" w:pos="851"/>
                      </w:tabs>
                      <w:jc w:val="center"/>
                      <w:rPr>
                        <w:b/>
                        <w:sz w:val="20"/>
                      </w:rPr>
                    </w:pPr>
                    <w:r>
                      <w:rPr>
                        <w:b/>
                        <w:sz w:val="20"/>
                      </w:rPr>
                      <w:t xml:space="preserve">2015 </w:t>
                    </w:r>
                  </w:p>
                </w:tc>
                <w:tc>
                  <w:tcPr>
                    <w:tcW w:w="850" w:type="dxa"/>
                    <w:shd w:val="clear" w:color="auto" w:fill="D9D9D9"/>
                    <w:vAlign w:val="center"/>
                  </w:tcPr>
                  <w:p>
                    <w:pPr>
                      <w:tabs>
                        <w:tab w:val="left" w:pos="851"/>
                      </w:tabs>
                      <w:jc w:val="center"/>
                      <w:rPr>
                        <w:b/>
                        <w:sz w:val="20"/>
                      </w:rPr>
                    </w:pPr>
                    <w:r>
                      <w:rPr>
                        <w:b/>
                        <w:sz w:val="20"/>
                      </w:rPr>
                      <w:t xml:space="preserve">2016 </w:t>
                    </w:r>
                  </w:p>
                </w:tc>
                <w:tc>
                  <w:tcPr>
                    <w:tcW w:w="851" w:type="dxa"/>
                    <w:shd w:val="clear" w:color="auto" w:fill="D9D9D9"/>
                    <w:vAlign w:val="center"/>
                  </w:tcPr>
                  <w:p>
                    <w:pPr>
                      <w:tabs>
                        <w:tab w:val="left" w:pos="851"/>
                      </w:tabs>
                      <w:jc w:val="center"/>
                      <w:rPr>
                        <w:b/>
                        <w:sz w:val="20"/>
                      </w:rPr>
                    </w:pPr>
                    <w:r>
                      <w:rPr>
                        <w:b/>
                        <w:sz w:val="20"/>
                      </w:rPr>
                      <w:t xml:space="preserve">2014 </w:t>
                    </w:r>
                  </w:p>
                </w:tc>
                <w:tc>
                  <w:tcPr>
                    <w:tcW w:w="850" w:type="dxa"/>
                    <w:shd w:val="clear" w:color="auto" w:fill="D9D9D9"/>
                    <w:vAlign w:val="center"/>
                  </w:tcPr>
                  <w:p>
                    <w:pPr>
                      <w:tabs>
                        <w:tab w:val="left" w:pos="851"/>
                      </w:tabs>
                      <w:jc w:val="center"/>
                      <w:rPr>
                        <w:b/>
                        <w:sz w:val="20"/>
                      </w:rPr>
                    </w:pPr>
                    <w:r>
                      <w:rPr>
                        <w:b/>
                        <w:sz w:val="20"/>
                      </w:rPr>
                      <w:t xml:space="preserve">2015 </w:t>
                    </w:r>
                  </w:p>
                </w:tc>
                <w:tc>
                  <w:tcPr>
                    <w:tcW w:w="851" w:type="dxa"/>
                    <w:shd w:val="clear" w:color="auto" w:fill="D9D9D9"/>
                    <w:vAlign w:val="center"/>
                  </w:tcPr>
                  <w:p>
                    <w:pPr>
                      <w:tabs>
                        <w:tab w:val="left" w:pos="851"/>
                      </w:tabs>
                      <w:jc w:val="center"/>
                      <w:rPr>
                        <w:b/>
                        <w:sz w:val="20"/>
                      </w:rPr>
                    </w:pPr>
                    <w:r>
                      <w:rPr>
                        <w:b/>
                        <w:sz w:val="20"/>
                      </w:rPr>
                      <w:t xml:space="preserve">2016 </w:t>
                    </w:r>
                  </w:p>
                </w:tc>
                <w:tc>
                  <w:tcPr>
                    <w:tcW w:w="850" w:type="dxa"/>
                    <w:shd w:val="clear" w:color="auto" w:fill="D9D9D9"/>
                    <w:vAlign w:val="center"/>
                  </w:tcPr>
                  <w:p>
                    <w:pPr>
                      <w:tabs>
                        <w:tab w:val="left" w:pos="851"/>
                      </w:tabs>
                      <w:jc w:val="center"/>
                      <w:rPr>
                        <w:b/>
                        <w:sz w:val="20"/>
                      </w:rPr>
                    </w:pPr>
                    <w:r>
                      <w:rPr>
                        <w:b/>
                        <w:sz w:val="20"/>
                      </w:rPr>
                      <w:t xml:space="preserve">2014 </w:t>
                    </w:r>
                  </w:p>
                </w:tc>
                <w:tc>
                  <w:tcPr>
                    <w:tcW w:w="851" w:type="dxa"/>
                    <w:shd w:val="clear" w:color="auto" w:fill="D9D9D9"/>
                    <w:vAlign w:val="center"/>
                  </w:tcPr>
                  <w:p>
                    <w:pPr>
                      <w:tabs>
                        <w:tab w:val="left" w:pos="851"/>
                      </w:tabs>
                      <w:jc w:val="center"/>
                      <w:rPr>
                        <w:b/>
                        <w:sz w:val="20"/>
                      </w:rPr>
                    </w:pPr>
                    <w:r>
                      <w:rPr>
                        <w:b/>
                        <w:sz w:val="20"/>
                      </w:rPr>
                      <w:t xml:space="preserve">2014 </w:t>
                    </w:r>
                  </w:p>
                </w:tc>
                <w:tc>
                  <w:tcPr>
                    <w:tcW w:w="850" w:type="dxa"/>
                    <w:shd w:val="clear" w:color="auto" w:fill="D9D9D9"/>
                    <w:vAlign w:val="center"/>
                  </w:tcPr>
                  <w:p>
                    <w:pPr>
                      <w:tabs>
                        <w:tab w:val="left" w:pos="851"/>
                      </w:tabs>
                      <w:jc w:val="center"/>
                      <w:rPr>
                        <w:b/>
                        <w:sz w:val="20"/>
                      </w:rPr>
                    </w:pPr>
                    <w:r>
                      <w:rPr>
                        <w:b/>
                        <w:sz w:val="20"/>
                      </w:rPr>
                      <w:t xml:space="preserve">2016 </w:t>
                    </w:r>
                  </w:p>
                </w:tc>
              </w:tr>
              <w:tr>
                <w:trPr>
                  <w:jc w:val="center"/>
                </w:trPr>
                <w:tc>
                  <w:tcPr>
                    <w:tcW w:w="1526" w:type="dxa"/>
                    <w:shd w:val="clear" w:color="auto" w:fill="auto"/>
                  </w:tcPr>
                  <w:p>
                    <w:pPr>
                      <w:tabs>
                        <w:tab w:val="left" w:pos="851"/>
                      </w:tabs>
                      <w:rPr>
                        <w:sz w:val="20"/>
                      </w:rPr>
                    </w:pPr>
                    <w:r>
                      <w:rPr>
                        <w:sz w:val="20"/>
                      </w:rPr>
                      <w:t xml:space="preserve">Telšių </w:t>
                    </w:r>
                  </w:p>
                </w:tc>
                <w:tc>
                  <w:tcPr>
                    <w:tcW w:w="850" w:type="dxa"/>
                    <w:shd w:val="clear" w:color="auto" w:fill="auto"/>
                    <w:vAlign w:val="center"/>
                  </w:tcPr>
                  <w:p>
                    <w:pPr>
                      <w:tabs>
                        <w:tab w:val="left" w:pos="851"/>
                      </w:tabs>
                      <w:jc w:val="center"/>
                      <w:rPr>
                        <w:sz w:val="20"/>
                      </w:rPr>
                    </w:pPr>
                    <w:r>
                      <w:rPr>
                        <w:sz w:val="20"/>
                      </w:rPr>
                      <w:t>64</w:t>
                    </w:r>
                  </w:p>
                </w:tc>
                <w:tc>
                  <w:tcPr>
                    <w:tcW w:w="851" w:type="dxa"/>
                    <w:shd w:val="clear" w:color="auto" w:fill="auto"/>
                    <w:vAlign w:val="center"/>
                  </w:tcPr>
                  <w:p>
                    <w:pPr>
                      <w:tabs>
                        <w:tab w:val="left" w:pos="851"/>
                      </w:tabs>
                      <w:jc w:val="center"/>
                      <w:rPr>
                        <w:sz w:val="20"/>
                      </w:rPr>
                    </w:pPr>
                    <w:r>
                      <w:rPr>
                        <w:sz w:val="20"/>
                      </w:rPr>
                      <w:t>66</w:t>
                    </w:r>
                  </w:p>
                </w:tc>
                <w:tc>
                  <w:tcPr>
                    <w:tcW w:w="850" w:type="dxa"/>
                    <w:vAlign w:val="center"/>
                  </w:tcPr>
                  <w:p>
                    <w:pPr>
                      <w:tabs>
                        <w:tab w:val="left" w:pos="851"/>
                      </w:tabs>
                      <w:jc w:val="center"/>
                      <w:rPr>
                        <w:sz w:val="20"/>
                      </w:rPr>
                    </w:pPr>
                    <w:r>
                      <w:rPr>
                        <w:sz w:val="20"/>
                      </w:rPr>
                      <w:t>72</w:t>
                    </w:r>
                  </w:p>
                </w:tc>
                <w:tc>
                  <w:tcPr>
                    <w:tcW w:w="851" w:type="dxa"/>
                    <w:shd w:val="clear" w:color="auto" w:fill="auto"/>
                    <w:vAlign w:val="center"/>
                  </w:tcPr>
                  <w:p>
                    <w:pPr>
                      <w:tabs>
                        <w:tab w:val="left" w:pos="851"/>
                      </w:tabs>
                      <w:jc w:val="center"/>
                      <w:rPr>
                        <w:sz w:val="20"/>
                      </w:rPr>
                    </w:pPr>
                    <w:r>
                      <w:rPr>
                        <w:sz w:val="20"/>
                      </w:rPr>
                      <w:t>126</w:t>
                    </w:r>
                  </w:p>
                </w:tc>
                <w:tc>
                  <w:tcPr>
                    <w:tcW w:w="850" w:type="dxa"/>
                    <w:shd w:val="clear" w:color="auto" w:fill="auto"/>
                    <w:vAlign w:val="center"/>
                  </w:tcPr>
                  <w:p>
                    <w:pPr>
                      <w:tabs>
                        <w:tab w:val="left" w:pos="851"/>
                      </w:tabs>
                      <w:jc w:val="center"/>
                      <w:rPr>
                        <w:sz w:val="20"/>
                      </w:rPr>
                    </w:pPr>
                    <w:r>
                      <w:rPr>
                        <w:sz w:val="20"/>
                      </w:rPr>
                      <w:t>138</w:t>
                    </w:r>
                  </w:p>
                </w:tc>
                <w:tc>
                  <w:tcPr>
                    <w:tcW w:w="851" w:type="dxa"/>
                    <w:vAlign w:val="center"/>
                  </w:tcPr>
                  <w:p>
                    <w:pPr>
                      <w:tabs>
                        <w:tab w:val="left" w:pos="851"/>
                      </w:tabs>
                      <w:jc w:val="center"/>
                      <w:rPr>
                        <w:sz w:val="20"/>
                      </w:rPr>
                    </w:pPr>
                    <w:r>
                      <w:rPr>
                        <w:sz w:val="20"/>
                      </w:rPr>
                      <w:t>116</w:t>
                    </w:r>
                  </w:p>
                </w:tc>
                <w:tc>
                  <w:tcPr>
                    <w:tcW w:w="850" w:type="dxa"/>
                    <w:shd w:val="clear" w:color="auto" w:fill="auto"/>
                    <w:vAlign w:val="center"/>
                  </w:tcPr>
                  <w:p>
                    <w:pPr>
                      <w:tabs>
                        <w:tab w:val="left" w:pos="851"/>
                      </w:tabs>
                      <w:jc w:val="center"/>
                      <w:rPr>
                        <w:sz w:val="20"/>
                      </w:rPr>
                    </w:pPr>
                    <w:r>
                      <w:rPr>
                        <w:sz w:val="20"/>
                      </w:rPr>
                      <w:t>3</w:t>
                    </w:r>
                  </w:p>
                </w:tc>
                <w:tc>
                  <w:tcPr>
                    <w:tcW w:w="851" w:type="dxa"/>
                    <w:shd w:val="clear" w:color="auto" w:fill="auto"/>
                    <w:vAlign w:val="center"/>
                  </w:tcPr>
                  <w:p>
                    <w:pPr>
                      <w:tabs>
                        <w:tab w:val="left" w:pos="851"/>
                      </w:tabs>
                      <w:jc w:val="center"/>
                      <w:rPr>
                        <w:sz w:val="20"/>
                      </w:rPr>
                    </w:pPr>
                    <w:r>
                      <w:rPr>
                        <w:sz w:val="20"/>
                      </w:rPr>
                      <w:t>3</w:t>
                    </w:r>
                  </w:p>
                </w:tc>
                <w:tc>
                  <w:tcPr>
                    <w:tcW w:w="850" w:type="dxa"/>
                    <w:vAlign w:val="center"/>
                  </w:tcPr>
                  <w:p>
                    <w:pPr>
                      <w:tabs>
                        <w:tab w:val="left" w:pos="851"/>
                      </w:tabs>
                      <w:jc w:val="center"/>
                      <w:rPr>
                        <w:sz w:val="20"/>
                      </w:rPr>
                    </w:pPr>
                    <w:r>
                      <w:rPr>
                        <w:sz w:val="20"/>
                      </w:rPr>
                      <w:t>4</w:t>
                    </w:r>
                  </w:p>
                </w:tc>
              </w:tr>
              <w:tr>
                <w:trPr>
                  <w:jc w:val="center"/>
                </w:trPr>
                <w:tc>
                  <w:tcPr>
                    <w:tcW w:w="1526" w:type="dxa"/>
                    <w:shd w:val="clear" w:color="auto" w:fill="auto"/>
                  </w:tcPr>
                  <w:p>
                    <w:pPr>
                      <w:tabs>
                        <w:tab w:val="left" w:pos="851"/>
                      </w:tabs>
                      <w:rPr>
                        <w:sz w:val="20"/>
                      </w:rPr>
                    </w:pPr>
                    <w:r>
                      <w:rPr>
                        <w:sz w:val="20"/>
                      </w:rPr>
                      <w:t xml:space="preserve">Nevarėnų </w:t>
                    </w:r>
                  </w:p>
                </w:tc>
                <w:tc>
                  <w:tcPr>
                    <w:tcW w:w="850" w:type="dxa"/>
                    <w:shd w:val="clear" w:color="auto" w:fill="auto"/>
                    <w:vAlign w:val="center"/>
                  </w:tcPr>
                  <w:p>
                    <w:pPr>
                      <w:tabs>
                        <w:tab w:val="left" w:pos="851"/>
                      </w:tabs>
                      <w:jc w:val="center"/>
                      <w:rPr>
                        <w:sz w:val="20"/>
                      </w:rPr>
                    </w:pPr>
                    <w:r>
                      <w:rPr>
                        <w:sz w:val="20"/>
                      </w:rPr>
                      <w:t>11</w:t>
                    </w:r>
                  </w:p>
                </w:tc>
                <w:tc>
                  <w:tcPr>
                    <w:tcW w:w="851" w:type="dxa"/>
                    <w:shd w:val="clear" w:color="auto" w:fill="auto"/>
                    <w:vAlign w:val="center"/>
                  </w:tcPr>
                  <w:p>
                    <w:pPr>
                      <w:tabs>
                        <w:tab w:val="left" w:pos="851"/>
                      </w:tabs>
                      <w:jc w:val="center"/>
                      <w:rPr>
                        <w:sz w:val="20"/>
                      </w:rPr>
                    </w:pPr>
                    <w:r>
                      <w:rPr>
                        <w:sz w:val="20"/>
                      </w:rPr>
                      <w:t>12</w:t>
                    </w:r>
                  </w:p>
                </w:tc>
                <w:tc>
                  <w:tcPr>
                    <w:tcW w:w="850" w:type="dxa"/>
                    <w:vAlign w:val="center"/>
                  </w:tcPr>
                  <w:p>
                    <w:pPr>
                      <w:tabs>
                        <w:tab w:val="left" w:pos="851"/>
                      </w:tabs>
                      <w:jc w:val="center"/>
                      <w:rPr>
                        <w:sz w:val="20"/>
                      </w:rPr>
                    </w:pPr>
                    <w:r>
                      <w:rPr>
                        <w:sz w:val="20"/>
                      </w:rPr>
                      <w:t>13</w:t>
                    </w:r>
                  </w:p>
                </w:tc>
                <w:tc>
                  <w:tcPr>
                    <w:tcW w:w="851" w:type="dxa"/>
                    <w:shd w:val="clear" w:color="auto" w:fill="auto"/>
                    <w:vAlign w:val="center"/>
                  </w:tcPr>
                  <w:p>
                    <w:pPr>
                      <w:tabs>
                        <w:tab w:val="left" w:pos="851"/>
                      </w:tabs>
                      <w:jc w:val="center"/>
                      <w:rPr>
                        <w:sz w:val="20"/>
                      </w:rPr>
                    </w:pPr>
                    <w:r>
                      <w:rPr>
                        <w:sz w:val="20"/>
                      </w:rPr>
                      <w:t>29</w:t>
                    </w:r>
                  </w:p>
                </w:tc>
                <w:tc>
                  <w:tcPr>
                    <w:tcW w:w="850" w:type="dxa"/>
                    <w:shd w:val="clear" w:color="auto" w:fill="auto"/>
                    <w:vAlign w:val="center"/>
                  </w:tcPr>
                  <w:p>
                    <w:pPr>
                      <w:tabs>
                        <w:tab w:val="left" w:pos="851"/>
                      </w:tabs>
                      <w:jc w:val="center"/>
                      <w:rPr>
                        <w:sz w:val="20"/>
                      </w:rPr>
                    </w:pPr>
                    <w:r>
                      <w:rPr>
                        <w:sz w:val="20"/>
                      </w:rPr>
                      <w:t>27</w:t>
                    </w:r>
                  </w:p>
                </w:tc>
                <w:tc>
                  <w:tcPr>
                    <w:tcW w:w="851" w:type="dxa"/>
                    <w:vAlign w:val="center"/>
                  </w:tcPr>
                  <w:p>
                    <w:pPr>
                      <w:tabs>
                        <w:tab w:val="left" w:pos="851"/>
                      </w:tabs>
                      <w:jc w:val="center"/>
                      <w:rPr>
                        <w:sz w:val="20"/>
                      </w:rPr>
                    </w:pPr>
                    <w:r>
                      <w:rPr>
                        <w:sz w:val="20"/>
                      </w:rPr>
                      <w:t>32</w:t>
                    </w:r>
                  </w:p>
                </w:tc>
                <w:tc>
                  <w:tcPr>
                    <w:tcW w:w="850" w:type="dxa"/>
                    <w:shd w:val="clear" w:color="auto" w:fill="auto"/>
                    <w:vAlign w:val="center"/>
                  </w:tcPr>
                  <w:p>
                    <w:pPr>
                      <w:tabs>
                        <w:tab w:val="left" w:pos="851"/>
                      </w:tabs>
                      <w:jc w:val="center"/>
                      <w:rPr>
                        <w:sz w:val="20"/>
                      </w:rPr>
                    </w:pPr>
                    <w:r>
                      <w:rPr>
                        <w:sz w:val="20"/>
                      </w:rPr>
                      <w:t>1</w:t>
                    </w:r>
                  </w:p>
                </w:tc>
                <w:tc>
                  <w:tcPr>
                    <w:tcW w:w="851" w:type="dxa"/>
                    <w:shd w:val="clear" w:color="auto" w:fill="auto"/>
                    <w:vAlign w:val="center"/>
                  </w:tcPr>
                  <w:p>
                    <w:pPr>
                      <w:tabs>
                        <w:tab w:val="left" w:pos="851"/>
                      </w:tabs>
                      <w:jc w:val="center"/>
                      <w:rPr>
                        <w:sz w:val="20"/>
                      </w:rPr>
                    </w:pPr>
                    <w:r>
                      <w:rPr>
                        <w:sz w:val="20"/>
                      </w:rPr>
                      <w:t>1</w:t>
                    </w:r>
                  </w:p>
                </w:tc>
                <w:tc>
                  <w:tcPr>
                    <w:tcW w:w="850" w:type="dxa"/>
                    <w:vAlign w:val="center"/>
                  </w:tcPr>
                  <w:p>
                    <w:pPr>
                      <w:tabs>
                        <w:tab w:val="left" w:pos="851"/>
                      </w:tabs>
                      <w:jc w:val="center"/>
                      <w:rPr>
                        <w:sz w:val="20"/>
                      </w:rPr>
                    </w:pPr>
                    <w:r>
                      <w:rPr>
                        <w:sz w:val="20"/>
                      </w:rPr>
                      <w:t>1</w:t>
                    </w:r>
                  </w:p>
                </w:tc>
              </w:tr>
              <w:tr>
                <w:trPr>
                  <w:jc w:val="center"/>
                </w:trPr>
                <w:tc>
                  <w:tcPr>
                    <w:tcW w:w="1526" w:type="dxa"/>
                    <w:shd w:val="clear" w:color="auto" w:fill="auto"/>
                  </w:tcPr>
                  <w:p>
                    <w:pPr>
                      <w:tabs>
                        <w:tab w:val="left" w:pos="851"/>
                      </w:tabs>
                      <w:rPr>
                        <w:sz w:val="20"/>
                      </w:rPr>
                    </w:pPr>
                    <w:r>
                      <w:rPr>
                        <w:sz w:val="20"/>
                      </w:rPr>
                      <w:t xml:space="preserve">Žarėnų </w:t>
                    </w:r>
                  </w:p>
                </w:tc>
                <w:tc>
                  <w:tcPr>
                    <w:tcW w:w="850" w:type="dxa"/>
                    <w:shd w:val="clear" w:color="auto" w:fill="auto"/>
                    <w:vAlign w:val="center"/>
                  </w:tcPr>
                  <w:p>
                    <w:pPr>
                      <w:tabs>
                        <w:tab w:val="left" w:pos="851"/>
                      </w:tabs>
                      <w:jc w:val="center"/>
                      <w:rPr>
                        <w:sz w:val="20"/>
                      </w:rPr>
                    </w:pPr>
                    <w:r>
                      <w:rPr>
                        <w:sz w:val="20"/>
                      </w:rPr>
                      <w:t>9</w:t>
                    </w:r>
                  </w:p>
                </w:tc>
                <w:tc>
                  <w:tcPr>
                    <w:tcW w:w="851" w:type="dxa"/>
                    <w:shd w:val="clear" w:color="auto" w:fill="auto"/>
                    <w:vAlign w:val="center"/>
                  </w:tcPr>
                  <w:p>
                    <w:pPr>
                      <w:tabs>
                        <w:tab w:val="left" w:pos="851"/>
                      </w:tabs>
                      <w:jc w:val="center"/>
                      <w:rPr>
                        <w:sz w:val="20"/>
                      </w:rPr>
                    </w:pPr>
                    <w:r>
                      <w:rPr>
                        <w:sz w:val="20"/>
                      </w:rPr>
                      <w:t>10</w:t>
                    </w:r>
                  </w:p>
                </w:tc>
                <w:tc>
                  <w:tcPr>
                    <w:tcW w:w="850" w:type="dxa"/>
                    <w:vAlign w:val="center"/>
                  </w:tcPr>
                  <w:p>
                    <w:pPr>
                      <w:tabs>
                        <w:tab w:val="left" w:pos="851"/>
                      </w:tabs>
                      <w:jc w:val="center"/>
                      <w:rPr>
                        <w:sz w:val="20"/>
                      </w:rPr>
                    </w:pPr>
                    <w:r>
                      <w:rPr>
                        <w:sz w:val="20"/>
                      </w:rPr>
                      <w:t>10</w:t>
                    </w:r>
                  </w:p>
                </w:tc>
                <w:tc>
                  <w:tcPr>
                    <w:tcW w:w="851" w:type="dxa"/>
                    <w:shd w:val="clear" w:color="auto" w:fill="auto"/>
                    <w:vAlign w:val="center"/>
                  </w:tcPr>
                  <w:p>
                    <w:pPr>
                      <w:tabs>
                        <w:tab w:val="left" w:pos="851"/>
                      </w:tabs>
                      <w:jc w:val="center"/>
                      <w:rPr>
                        <w:sz w:val="20"/>
                      </w:rPr>
                    </w:pPr>
                    <w:r>
                      <w:rPr>
                        <w:sz w:val="20"/>
                      </w:rPr>
                      <w:t>32</w:t>
                    </w:r>
                  </w:p>
                </w:tc>
                <w:tc>
                  <w:tcPr>
                    <w:tcW w:w="850" w:type="dxa"/>
                    <w:shd w:val="clear" w:color="auto" w:fill="auto"/>
                    <w:vAlign w:val="center"/>
                  </w:tcPr>
                  <w:p>
                    <w:pPr>
                      <w:tabs>
                        <w:tab w:val="left" w:pos="851"/>
                      </w:tabs>
                      <w:jc w:val="center"/>
                      <w:rPr>
                        <w:sz w:val="20"/>
                      </w:rPr>
                    </w:pPr>
                    <w:r>
                      <w:rPr>
                        <w:sz w:val="20"/>
                      </w:rPr>
                      <w:t>31</w:t>
                    </w:r>
                  </w:p>
                </w:tc>
                <w:tc>
                  <w:tcPr>
                    <w:tcW w:w="851" w:type="dxa"/>
                    <w:vAlign w:val="center"/>
                  </w:tcPr>
                  <w:p>
                    <w:pPr>
                      <w:tabs>
                        <w:tab w:val="left" w:pos="851"/>
                      </w:tabs>
                      <w:jc w:val="center"/>
                      <w:rPr>
                        <w:sz w:val="20"/>
                      </w:rPr>
                    </w:pPr>
                    <w:r>
                      <w:rPr>
                        <w:sz w:val="20"/>
                      </w:rPr>
                      <w:t>32</w:t>
                    </w:r>
                  </w:p>
                </w:tc>
                <w:tc>
                  <w:tcPr>
                    <w:tcW w:w="850" w:type="dxa"/>
                    <w:shd w:val="clear" w:color="auto" w:fill="auto"/>
                    <w:vAlign w:val="center"/>
                  </w:tcPr>
                  <w:p>
                    <w:pPr>
                      <w:tabs>
                        <w:tab w:val="left" w:pos="851"/>
                      </w:tabs>
                      <w:jc w:val="center"/>
                      <w:rPr>
                        <w:sz w:val="20"/>
                      </w:rPr>
                    </w:pPr>
                    <w:r>
                      <w:rPr>
                        <w:sz w:val="20"/>
                      </w:rPr>
                      <w:t>1</w:t>
                    </w:r>
                  </w:p>
                </w:tc>
                <w:tc>
                  <w:tcPr>
                    <w:tcW w:w="851" w:type="dxa"/>
                    <w:shd w:val="clear" w:color="auto" w:fill="auto"/>
                    <w:vAlign w:val="center"/>
                  </w:tcPr>
                  <w:p>
                    <w:pPr>
                      <w:tabs>
                        <w:tab w:val="left" w:pos="851"/>
                      </w:tabs>
                      <w:jc w:val="center"/>
                      <w:rPr>
                        <w:sz w:val="20"/>
                      </w:rPr>
                    </w:pPr>
                    <w:r>
                      <w:rPr>
                        <w:sz w:val="20"/>
                      </w:rPr>
                      <w:t>1</w:t>
                    </w:r>
                  </w:p>
                </w:tc>
                <w:tc>
                  <w:tcPr>
                    <w:tcW w:w="850" w:type="dxa"/>
                    <w:vAlign w:val="center"/>
                  </w:tcPr>
                  <w:p>
                    <w:pPr>
                      <w:tabs>
                        <w:tab w:val="left" w:pos="851"/>
                      </w:tabs>
                      <w:jc w:val="center"/>
                      <w:rPr>
                        <w:sz w:val="20"/>
                      </w:rPr>
                    </w:pPr>
                    <w:r>
                      <w:rPr>
                        <w:sz w:val="20"/>
                      </w:rPr>
                      <w:t>1</w:t>
                    </w:r>
                  </w:p>
                </w:tc>
              </w:tr>
              <w:tr>
                <w:trPr>
                  <w:jc w:val="center"/>
                </w:trPr>
                <w:tc>
                  <w:tcPr>
                    <w:tcW w:w="1526" w:type="dxa"/>
                    <w:shd w:val="clear" w:color="auto" w:fill="auto"/>
                  </w:tcPr>
                  <w:p>
                    <w:pPr>
                      <w:tabs>
                        <w:tab w:val="left" w:pos="851"/>
                      </w:tabs>
                      <w:rPr>
                        <w:sz w:val="20"/>
                      </w:rPr>
                    </w:pPr>
                    <w:r>
                      <w:rPr>
                        <w:sz w:val="20"/>
                      </w:rPr>
                      <w:t xml:space="preserve">Viešvėnų </w:t>
                    </w:r>
                  </w:p>
                </w:tc>
                <w:tc>
                  <w:tcPr>
                    <w:tcW w:w="850" w:type="dxa"/>
                    <w:shd w:val="clear" w:color="auto" w:fill="auto"/>
                    <w:vAlign w:val="center"/>
                  </w:tcPr>
                  <w:p>
                    <w:pPr>
                      <w:tabs>
                        <w:tab w:val="left" w:pos="851"/>
                      </w:tabs>
                      <w:jc w:val="center"/>
                      <w:rPr>
                        <w:sz w:val="20"/>
                      </w:rPr>
                    </w:pPr>
                    <w:r>
                      <w:rPr>
                        <w:sz w:val="20"/>
                      </w:rPr>
                      <w:t>16</w:t>
                    </w:r>
                  </w:p>
                </w:tc>
                <w:tc>
                  <w:tcPr>
                    <w:tcW w:w="851" w:type="dxa"/>
                    <w:shd w:val="clear" w:color="auto" w:fill="auto"/>
                    <w:vAlign w:val="center"/>
                  </w:tcPr>
                  <w:p>
                    <w:pPr>
                      <w:tabs>
                        <w:tab w:val="left" w:pos="851"/>
                      </w:tabs>
                      <w:jc w:val="center"/>
                      <w:rPr>
                        <w:sz w:val="20"/>
                      </w:rPr>
                    </w:pPr>
                    <w:r>
                      <w:rPr>
                        <w:sz w:val="20"/>
                      </w:rPr>
                      <w:t>15</w:t>
                    </w:r>
                  </w:p>
                </w:tc>
                <w:tc>
                  <w:tcPr>
                    <w:tcW w:w="850" w:type="dxa"/>
                    <w:vAlign w:val="center"/>
                  </w:tcPr>
                  <w:p>
                    <w:pPr>
                      <w:tabs>
                        <w:tab w:val="left" w:pos="851"/>
                      </w:tabs>
                      <w:jc w:val="center"/>
                      <w:rPr>
                        <w:sz w:val="20"/>
                      </w:rPr>
                    </w:pPr>
                    <w:r>
                      <w:rPr>
                        <w:sz w:val="20"/>
                      </w:rPr>
                      <w:t>11</w:t>
                    </w:r>
                  </w:p>
                </w:tc>
                <w:tc>
                  <w:tcPr>
                    <w:tcW w:w="851" w:type="dxa"/>
                    <w:shd w:val="clear" w:color="auto" w:fill="auto"/>
                    <w:vAlign w:val="center"/>
                  </w:tcPr>
                  <w:p>
                    <w:pPr>
                      <w:tabs>
                        <w:tab w:val="left" w:pos="851"/>
                      </w:tabs>
                      <w:jc w:val="center"/>
                      <w:rPr>
                        <w:sz w:val="20"/>
                      </w:rPr>
                    </w:pPr>
                    <w:r>
                      <w:rPr>
                        <w:sz w:val="20"/>
                      </w:rPr>
                      <w:t>39</w:t>
                    </w:r>
                  </w:p>
                </w:tc>
                <w:tc>
                  <w:tcPr>
                    <w:tcW w:w="850" w:type="dxa"/>
                    <w:shd w:val="clear" w:color="auto" w:fill="auto"/>
                    <w:vAlign w:val="center"/>
                  </w:tcPr>
                  <w:p>
                    <w:pPr>
                      <w:tabs>
                        <w:tab w:val="left" w:pos="851"/>
                      </w:tabs>
                      <w:jc w:val="center"/>
                      <w:rPr>
                        <w:sz w:val="20"/>
                      </w:rPr>
                    </w:pPr>
                    <w:r>
                      <w:rPr>
                        <w:sz w:val="20"/>
                      </w:rPr>
                      <w:t>29</w:t>
                    </w:r>
                  </w:p>
                </w:tc>
                <w:tc>
                  <w:tcPr>
                    <w:tcW w:w="851" w:type="dxa"/>
                    <w:vAlign w:val="center"/>
                  </w:tcPr>
                  <w:p>
                    <w:pPr>
                      <w:tabs>
                        <w:tab w:val="left" w:pos="851"/>
                      </w:tabs>
                      <w:jc w:val="center"/>
                      <w:rPr>
                        <w:sz w:val="20"/>
                      </w:rPr>
                    </w:pPr>
                    <w:r>
                      <w:rPr>
                        <w:sz w:val="20"/>
                      </w:rPr>
                      <w:t>27</w:t>
                    </w:r>
                  </w:p>
                </w:tc>
                <w:tc>
                  <w:tcPr>
                    <w:tcW w:w="850" w:type="dxa"/>
                    <w:shd w:val="clear" w:color="auto" w:fill="auto"/>
                    <w:vAlign w:val="center"/>
                  </w:tcPr>
                  <w:p>
                    <w:pPr>
                      <w:tabs>
                        <w:tab w:val="left" w:pos="851"/>
                      </w:tabs>
                      <w:jc w:val="center"/>
                      <w:rPr>
                        <w:sz w:val="20"/>
                      </w:rPr>
                    </w:pPr>
                    <w:r>
                      <w:rPr>
                        <w:sz w:val="20"/>
                      </w:rPr>
                      <w:t>1</w:t>
                    </w:r>
                  </w:p>
                </w:tc>
                <w:tc>
                  <w:tcPr>
                    <w:tcW w:w="851" w:type="dxa"/>
                    <w:shd w:val="clear" w:color="auto" w:fill="auto"/>
                    <w:vAlign w:val="center"/>
                  </w:tcPr>
                  <w:p>
                    <w:pPr>
                      <w:tabs>
                        <w:tab w:val="left" w:pos="851"/>
                      </w:tabs>
                      <w:jc w:val="center"/>
                      <w:rPr>
                        <w:sz w:val="20"/>
                      </w:rPr>
                    </w:pPr>
                    <w:r>
                      <w:rPr>
                        <w:sz w:val="20"/>
                      </w:rPr>
                      <w:t>1</w:t>
                    </w:r>
                  </w:p>
                </w:tc>
                <w:tc>
                  <w:tcPr>
                    <w:tcW w:w="850" w:type="dxa"/>
                    <w:vAlign w:val="center"/>
                  </w:tcPr>
                  <w:p>
                    <w:pPr>
                      <w:tabs>
                        <w:tab w:val="left" w:pos="851"/>
                      </w:tabs>
                      <w:jc w:val="center"/>
                      <w:rPr>
                        <w:sz w:val="20"/>
                      </w:rPr>
                    </w:pPr>
                    <w:r>
                      <w:rPr>
                        <w:sz w:val="20"/>
                      </w:rPr>
                      <w:t>1</w:t>
                    </w:r>
                  </w:p>
                </w:tc>
              </w:tr>
              <w:tr>
                <w:trPr>
                  <w:jc w:val="center"/>
                </w:trPr>
                <w:tc>
                  <w:tcPr>
                    <w:tcW w:w="1526" w:type="dxa"/>
                    <w:shd w:val="clear" w:color="auto" w:fill="auto"/>
                  </w:tcPr>
                  <w:p>
                    <w:pPr>
                      <w:tabs>
                        <w:tab w:val="left" w:pos="851"/>
                      </w:tabs>
                      <w:rPr>
                        <w:sz w:val="20"/>
                      </w:rPr>
                    </w:pPr>
                    <w:r>
                      <w:rPr>
                        <w:sz w:val="20"/>
                      </w:rPr>
                      <w:t xml:space="preserve">Upynos </w:t>
                    </w:r>
                  </w:p>
                </w:tc>
                <w:tc>
                  <w:tcPr>
                    <w:tcW w:w="850" w:type="dxa"/>
                    <w:shd w:val="clear" w:color="auto" w:fill="auto"/>
                    <w:vAlign w:val="center"/>
                  </w:tcPr>
                  <w:p>
                    <w:pPr>
                      <w:tabs>
                        <w:tab w:val="left" w:pos="851"/>
                      </w:tabs>
                      <w:jc w:val="center"/>
                      <w:rPr>
                        <w:sz w:val="20"/>
                      </w:rPr>
                    </w:pPr>
                    <w:r>
                      <w:rPr>
                        <w:sz w:val="20"/>
                      </w:rPr>
                      <w:t>10</w:t>
                    </w:r>
                  </w:p>
                </w:tc>
                <w:tc>
                  <w:tcPr>
                    <w:tcW w:w="851" w:type="dxa"/>
                    <w:shd w:val="clear" w:color="auto" w:fill="auto"/>
                    <w:vAlign w:val="center"/>
                  </w:tcPr>
                  <w:p>
                    <w:pPr>
                      <w:tabs>
                        <w:tab w:val="left" w:pos="851"/>
                      </w:tabs>
                      <w:jc w:val="center"/>
                      <w:rPr>
                        <w:sz w:val="20"/>
                      </w:rPr>
                    </w:pPr>
                    <w:r>
                      <w:rPr>
                        <w:sz w:val="20"/>
                      </w:rPr>
                      <w:t>13</w:t>
                    </w:r>
                  </w:p>
                </w:tc>
                <w:tc>
                  <w:tcPr>
                    <w:tcW w:w="850" w:type="dxa"/>
                    <w:vAlign w:val="center"/>
                  </w:tcPr>
                  <w:p>
                    <w:pPr>
                      <w:tabs>
                        <w:tab w:val="left" w:pos="851"/>
                      </w:tabs>
                      <w:jc w:val="center"/>
                      <w:rPr>
                        <w:sz w:val="20"/>
                      </w:rPr>
                    </w:pPr>
                    <w:r>
                      <w:rPr>
                        <w:sz w:val="20"/>
                      </w:rPr>
                      <w:t>15</w:t>
                    </w:r>
                  </w:p>
                </w:tc>
                <w:tc>
                  <w:tcPr>
                    <w:tcW w:w="851" w:type="dxa"/>
                    <w:shd w:val="clear" w:color="auto" w:fill="auto"/>
                    <w:vAlign w:val="center"/>
                  </w:tcPr>
                  <w:p>
                    <w:pPr>
                      <w:tabs>
                        <w:tab w:val="left" w:pos="851"/>
                      </w:tabs>
                      <w:jc w:val="center"/>
                      <w:rPr>
                        <w:sz w:val="20"/>
                      </w:rPr>
                    </w:pPr>
                    <w:r>
                      <w:rPr>
                        <w:sz w:val="20"/>
                      </w:rPr>
                      <w:t>27</w:t>
                    </w:r>
                  </w:p>
                </w:tc>
                <w:tc>
                  <w:tcPr>
                    <w:tcW w:w="850" w:type="dxa"/>
                    <w:shd w:val="clear" w:color="auto" w:fill="auto"/>
                    <w:vAlign w:val="center"/>
                  </w:tcPr>
                  <w:p>
                    <w:pPr>
                      <w:tabs>
                        <w:tab w:val="left" w:pos="851"/>
                      </w:tabs>
                      <w:jc w:val="center"/>
                      <w:rPr>
                        <w:sz w:val="20"/>
                      </w:rPr>
                    </w:pPr>
                    <w:r>
                      <w:rPr>
                        <w:sz w:val="20"/>
                      </w:rPr>
                      <w:t>33</w:t>
                    </w:r>
                  </w:p>
                </w:tc>
                <w:tc>
                  <w:tcPr>
                    <w:tcW w:w="851" w:type="dxa"/>
                    <w:vAlign w:val="center"/>
                  </w:tcPr>
                  <w:p>
                    <w:pPr>
                      <w:tabs>
                        <w:tab w:val="left" w:pos="851"/>
                      </w:tabs>
                      <w:jc w:val="center"/>
                      <w:rPr>
                        <w:sz w:val="20"/>
                      </w:rPr>
                    </w:pPr>
                    <w:r>
                      <w:rPr>
                        <w:sz w:val="20"/>
                      </w:rPr>
                      <w:t>38</w:t>
                    </w:r>
                  </w:p>
                </w:tc>
                <w:tc>
                  <w:tcPr>
                    <w:tcW w:w="850" w:type="dxa"/>
                    <w:shd w:val="clear" w:color="auto" w:fill="auto"/>
                    <w:vAlign w:val="center"/>
                  </w:tcPr>
                  <w:p>
                    <w:pPr>
                      <w:tabs>
                        <w:tab w:val="left" w:pos="851"/>
                      </w:tabs>
                      <w:jc w:val="center"/>
                      <w:rPr>
                        <w:sz w:val="20"/>
                      </w:rPr>
                    </w:pPr>
                    <w:r>
                      <w:rPr>
                        <w:sz w:val="20"/>
                      </w:rPr>
                      <w:t>1</w:t>
                    </w:r>
                  </w:p>
                </w:tc>
                <w:tc>
                  <w:tcPr>
                    <w:tcW w:w="851" w:type="dxa"/>
                    <w:shd w:val="clear" w:color="auto" w:fill="auto"/>
                    <w:vAlign w:val="center"/>
                  </w:tcPr>
                  <w:p>
                    <w:pPr>
                      <w:tabs>
                        <w:tab w:val="left" w:pos="851"/>
                      </w:tabs>
                      <w:jc w:val="center"/>
                      <w:rPr>
                        <w:sz w:val="20"/>
                      </w:rPr>
                    </w:pPr>
                    <w:r>
                      <w:rPr>
                        <w:sz w:val="20"/>
                      </w:rPr>
                      <w:t>1</w:t>
                    </w:r>
                  </w:p>
                </w:tc>
                <w:tc>
                  <w:tcPr>
                    <w:tcW w:w="850" w:type="dxa"/>
                    <w:vAlign w:val="center"/>
                  </w:tcPr>
                  <w:p>
                    <w:pPr>
                      <w:tabs>
                        <w:tab w:val="left" w:pos="851"/>
                      </w:tabs>
                      <w:jc w:val="center"/>
                      <w:rPr>
                        <w:sz w:val="20"/>
                      </w:rPr>
                    </w:pPr>
                    <w:r>
                      <w:rPr>
                        <w:sz w:val="20"/>
                      </w:rPr>
                      <w:t>1</w:t>
                    </w:r>
                  </w:p>
                </w:tc>
              </w:tr>
              <w:tr>
                <w:trPr>
                  <w:jc w:val="center"/>
                </w:trPr>
                <w:tc>
                  <w:tcPr>
                    <w:tcW w:w="1526" w:type="dxa"/>
                    <w:shd w:val="clear" w:color="auto" w:fill="auto"/>
                  </w:tcPr>
                  <w:p>
                    <w:pPr>
                      <w:tabs>
                        <w:tab w:val="left" w:pos="851"/>
                      </w:tabs>
                      <w:rPr>
                        <w:sz w:val="20"/>
                      </w:rPr>
                    </w:pPr>
                    <w:r>
                      <w:rPr>
                        <w:sz w:val="20"/>
                      </w:rPr>
                      <w:t xml:space="preserve">Degaičių </w:t>
                    </w:r>
                  </w:p>
                </w:tc>
                <w:tc>
                  <w:tcPr>
                    <w:tcW w:w="850" w:type="dxa"/>
                    <w:shd w:val="clear" w:color="auto" w:fill="auto"/>
                    <w:vAlign w:val="center"/>
                  </w:tcPr>
                  <w:p>
                    <w:pPr>
                      <w:tabs>
                        <w:tab w:val="left" w:pos="851"/>
                      </w:tabs>
                      <w:jc w:val="center"/>
                      <w:rPr>
                        <w:sz w:val="20"/>
                      </w:rPr>
                    </w:pPr>
                    <w:r>
                      <w:rPr>
                        <w:sz w:val="20"/>
                      </w:rPr>
                      <w:t>7</w:t>
                    </w:r>
                  </w:p>
                </w:tc>
                <w:tc>
                  <w:tcPr>
                    <w:tcW w:w="851" w:type="dxa"/>
                    <w:shd w:val="clear" w:color="auto" w:fill="auto"/>
                    <w:vAlign w:val="center"/>
                  </w:tcPr>
                  <w:p>
                    <w:pPr>
                      <w:tabs>
                        <w:tab w:val="left" w:pos="851"/>
                      </w:tabs>
                      <w:jc w:val="center"/>
                      <w:rPr>
                        <w:sz w:val="20"/>
                      </w:rPr>
                    </w:pPr>
                    <w:r>
                      <w:rPr>
                        <w:sz w:val="20"/>
                      </w:rPr>
                      <w:t>11</w:t>
                    </w:r>
                  </w:p>
                </w:tc>
                <w:tc>
                  <w:tcPr>
                    <w:tcW w:w="850" w:type="dxa"/>
                    <w:vAlign w:val="center"/>
                  </w:tcPr>
                  <w:p>
                    <w:pPr>
                      <w:tabs>
                        <w:tab w:val="left" w:pos="851"/>
                      </w:tabs>
                      <w:jc w:val="center"/>
                      <w:rPr>
                        <w:sz w:val="20"/>
                      </w:rPr>
                    </w:pPr>
                    <w:r>
                      <w:rPr>
                        <w:sz w:val="20"/>
                      </w:rPr>
                      <w:t>11</w:t>
                    </w:r>
                  </w:p>
                </w:tc>
                <w:tc>
                  <w:tcPr>
                    <w:tcW w:w="851" w:type="dxa"/>
                    <w:shd w:val="clear" w:color="auto" w:fill="auto"/>
                    <w:vAlign w:val="center"/>
                  </w:tcPr>
                  <w:p>
                    <w:pPr>
                      <w:tabs>
                        <w:tab w:val="left" w:pos="851"/>
                      </w:tabs>
                      <w:jc w:val="center"/>
                      <w:rPr>
                        <w:sz w:val="20"/>
                      </w:rPr>
                    </w:pPr>
                    <w:r>
                      <w:rPr>
                        <w:sz w:val="20"/>
                      </w:rPr>
                      <w:t>18</w:t>
                    </w:r>
                  </w:p>
                </w:tc>
                <w:tc>
                  <w:tcPr>
                    <w:tcW w:w="850" w:type="dxa"/>
                    <w:shd w:val="clear" w:color="auto" w:fill="auto"/>
                    <w:vAlign w:val="center"/>
                  </w:tcPr>
                  <w:p>
                    <w:pPr>
                      <w:tabs>
                        <w:tab w:val="left" w:pos="851"/>
                      </w:tabs>
                      <w:jc w:val="center"/>
                      <w:rPr>
                        <w:sz w:val="20"/>
                      </w:rPr>
                    </w:pPr>
                    <w:r>
                      <w:rPr>
                        <w:sz w:val="20"/>
                      </w:rPr>
                      <w:t>20</w:t>
                    </w:r>
                  </w:p>
                </w:tc>
                <w:tc>
                  <w:tcPr>
                    <w:tcW w:w="851" w:type="dxa"/>
                    <w:vAlign w:val="center"/>
                  </w:tcPr>
                  <w:p>
                    <w:pPr>
                      <w:tabs>
                        <w:tab w:val="left" w:pos="851"/>
                      </w:tabs>
                      <w:jc w:val="center"/>
                      <w:rPr>
                        <w:sz w:val="20"/>
                      </w:rPr>
                    </w:pPr>
                    <w:r>
                      <w:rPr>
                        <w:sz w:val="20"/>
                      </w:rPr>
                      <w:t>18</w:t>
                    </w:r>
                  </w:p>
                </w:tc>
                <w:tc>
                  <w:tcPr>
                    <w:tcW w:w="850" w:type="dxa"/>
                    <w:shd w:val="clear" w:color="auto" w:fill="auto"/>
                    <w:vAlign w:val="center"/>
                  </w:tcPr>
                  <w:p>
                    <w:pPr>
                      <w:tabs>
                        <w:tab w:val="left" w:pos="851"/>
                      </w:tabs>
                      <w:jc w:val="center"/>
                      <w:rPr>
                        <w:sz w:val="20"/>
                      </w:rPr>
                    </w:pPr>
                    <w:r>
                      <w:rPr>
                        <w:sz w:val="20"/>
                      </w:rPr>
                      <w:t>1</w:t>
                    </w:r>
                  </w:p>
                </w:tc>
                <w:tc>
                  <w:tcPr>
                    <w:tcW w:w="851" w:type="dxa"/>
                    <w:shd w:val="clear" w:color="auto" w:fill="auto"/>
                    <w:vAlign w:val="center"/>
                  </w:tcPr>
                  <w:p>
                    <w:pPr>
                      <w:tabs>
                        <w:tab w:val="left" w:pos="851"/>
                      </w:tabs>
                      <w:jc w:val="center"/>
                      <w:rPr>
                        <w:sz w:val="20"/>
                      </w:rPr>
                    </w:pPr>
                    <w:r>
                      <w:rPr>
                        <w:sz w:val="20"/>
                      </w:rPr>
                      <w:t>1</w:t>
                    </w:r>
                  </w:p>
                </w:tc>
                <w:tc>
                  <w:tcPr>
                    <w:tcW w:w="850" w:type="dxa"/>
                    <w:vAlign w:val="center"/>
                  </w:tcPr>
                  <w:p>
                    <w:pPr>
                      <w:tabs>
                        <w:tab w:val="left" w:pos="851"/>
                      </w:tabs>
                      <w:jc w:val="center"/>
                      <w:rPr>
                        <w:sz w:val="20"/>
                      </w:rPr>
                    </w:pPr>
                    <w:r>
                      <w:rPr>
                        <w:sz w:val="20"/>
                      </w:rPr>
                      <w:t>1</w:t>
                    </w:r>
                  </w:p>
                </w:tc>
              </w:tr>
              <w:tr>
                <w:trPr>
                  <w:jc w:val="center"/>
                </w:trPr>
                <w:tc>
                  <w:tcPr>
                    <w:tcW w:w="1526" w:type="dxa"/>
                    <w:shd w:val="clear" w:color="auto" w:fill="auto"/>
                  </w:tcPr>
                  <w:p>
                    <w:pPr>
                      <w:tabs>
                        <w:tab w:val="left" w:pos="851"/>
                      </w:tabs>
                      <w:rPr>
                        <w:sz w:val="20"/>
                      </w:rPr>
                    </w:pPr>
                    <w:r>
                      <w:rPr>
                        <w:sz w:val="20"/>
                      </w:rPr>
                      <w:t xml:space="preserve">Varnių </w:t>
                    </w:r>
                  </w:p>
                </w:tc>
                <w:tc>
                  <w:tcPr>
                    <w:tcW w:w="850" w:type="dxa"/>
                    <w:shd w:val="clear" w:color="auto" w:fill="auto"/>
                    <w:vAlign w:val="center"/>
                  </w:tcPr>
                  <w:p>
                    <w:pPr>
                      <w:tabs>
                        <w:tab w:val="left" w:pos="851"/>
                      </w:tabs>
                      <w:jc w:val="center"/>
                      <w:rPr>
                        <w:sz w:val="20"/>
                      </w:rPr>
                    </w:pPr>
                    <w:r>
                      <w:rPr>
                        <w:sz w:val="20"/>
                      </w:rPr>
                      <w:t>17</w:t>
                    </w:r>
                  </w:p>
                </w:tc>
                <w:tc>
                  <w:tcPr>
                    <w:tcW w:w="851" w:type="dxa"/>
                    <w:shd w:val="clear" w:color="auto" w:fill="auto"/>
                    <w:vAlign w:val="center"/>
                  </w:tcPr>
                  <w:p>
                    <w:pPr>
                      <w:tabs>
                        <w:tab w:val="left" w:pos="851"/>
                      </w:tabs>
                      <w:jc w:val="center"/>
                      <w:rPr>
                        <w:sz w:val="20"/>
                      </w:rPr>
                    </w:pPr>
                    <w:r>
                      <w:rPr>
                        <w:sz w:val="20"/>
                      </w:rPr>
                      <w:t>16</w:t>
                    </w:r>
                  </w:p>
                </w:tc>
                <w:tc>
                  <w:tcPr>
                    <w:tcW w:w="850" w:type="dxa"/>
                    <w:vAlign w:val="center"/>
                  </w:tcPr>
                  <w:p>
                    <w:pPr>
                      <w:tabs>
                        <w:tab w:val="left" w:pos="851"/>
                      </w:tabs>
                      <w:jc w:val="center"/>
                      <w:rPr>
                        <w:sz w:val="20"/>
                      </w:rPr>
                    </w:pPr>
                    <w:r>
                      <w:rPr>
                        <w:sz w:val="20"/>
                      </w:rPr>
                      <w:t>16</w:t>
                    </w:r>
                  </w:p>
                </w:tc>
                <w:tc>
                  <w:tcPr>
                    <w:tcW w:w="851" w:type="dxa"/>
                    <w:shd w:val="clear" w:color="auto" w:fill="auto"/>
                    <w:vAlign w:val="center"/>
                  </w:tcPr>
                  <w:p>
                    <w:pPr>
                      <w:tabs>
                        <w:tab w:val="left" w:pos="851"/>
                      </w:tabs>
                      <w:jc w:val="center"/>
                      <w:rPr>
                        <w:sz w:val="20"/>
                      </w:rPr>
                    </w:pPr>
                    <w:r>
                      <w:rPr>
                        <w:sz w:val="20"/>
                      </w:rPr>
                      <w:t>42</w:t>
                    </w:r>
                  </w:p>
                </w:tc>
                <w:tc>
                  <w:tcPr>
                    <w:tcW w:w="850" w:type="dxa"/>
                    <w:shd w:val="clear" w:color="auto" w:fill="auto"/>
                    <w:vAlign w:val="center"/>
                  </w:tcPr>
                  <w:p>
                    <w:pPr>
                      <w:tabs>
                        <w:tab w:val="left" w:pos="851"/>
                      </w:tabs>
                      <w:jc w:val="center"/>
                      <w:rPr>
                        <w:sz w:val="20"/>
                      </w:rPr>
                    </w:pPr>
                    <w:r>
                      <w:rPr>
                        <w:sz w:val="20"/>
                      </w:rPr>
                      <w:t>41</w:t>
                    </w:r>
                  </w:p>
                </w:tc>
                <w:tc>
                  <w:tcPr>
                    <w:tcW w:w="851" w:type="dxa"/>
                    <w:vAlign w:val="center"/>
                  </w:tcPr>
                  <w:p>
                    <w:pPr>
                      <w:tabs>
                        <w:tab w:val="left" w:pos="851"/>
                      </w:tabs>
                      <w:jc w:val="center"/>
                      <w:rPr>
                        <w:sz w:val="20"/>
                      </w:rPr>
                    </w:pPr>
                    <w:r>
                      <w:rPr>
                        <w:sz w:val="20"/>
                      </w:rPr>
                      <w:t>35</w:t>
                    </w:r>
                  </w:p>
                </w:tc>
                <w:tc>
                  <w:tcPr>
                    <w:tcW w:w="850" w:type="dxa"/>
                    <w:shd w:val="clear" w:color="auto" w:fill="auto"/>
                    <w:vAlign w:val="center"/>
                  </w:tcPr>
                  <w:p>
                    <w:pPr>
                      <w:tabs>
                        <w:tab w:val="left" w:pos="851"/>
                      </w:tabs>
                      <w:jc w:val="center"/>
                      <w:rPr>
                        <w:sz w:val="20"/>
                      </w:rPr>
                    </w:pPr>
                    <w:r>
                      <w:rPr>
                        <w:sz w:val="20"/>
                      </w:rPr>
                      <w:t>1</w:t>
                    </w:r>
                  </w:p>
                </w:tc>
                <w:tc>
                  <w:tcPr>
                    <w:tcW w:w="851" w:type="dxa"/>
                    <w:shd w:val="clear" w:color="auto" w:fill="auto"/>
                    <w:vAlign w:val="center"/>
                  </w:tcPr>
                  <w:p>
                    <w:pPr>
                      <w:tabs>
                        <w:tab w:val="left" w:pos="851"/>
                      </w:tabs>
                      <w:jc w:val="center"/>
                      <w:rPr>
                        <w:sz w:val="20"/>
                      </w:rPr>
                    </w:pPr>
                    <w:r>
                      <w:rPr>
                        <w:sz w:val="20"/>
                      </w:rPr>
                      <w:t>1</w:t>
                    </w:r>
                  </w:p>
                </w:tc>
                <w:tc>
                  <w:tcPr>
                    <w:tcW w:w="850" w:type="dxa"/>
                    <w:vAlign w:val="center"/>
                  </w:tcPr>
                  <w:p>
                    <w:pPr>
                      <w:tabs>
                        <w:tab w:val="left" w:pos="851"/>
                      </w:tabs>
                      <w:jc w:val="center"/>
                      <w:rPr>
                        <w:sz w:val="20"/>
                      </w:rPr>
                    </w:pPr>
                    <w:r>
                      <w:rPr>
                        <w:sz w:val="20"/>
                      </w:rPr>
                      <w:t>1</w:t>
                    </w:r>
                  </w:p>
                </w:tc>
              </w:tr>
              <w:tr>
                <w:trPr>
                  <w:jc w:val="center"/>
                </w:trPr>
                <w:tc>
                  <w:tcPr>
                    <w:tcW w:w="1526" w:type="dxa"/>
                    <w:shd w:val="clear" w:color="auto" w:fill="auto"/>
                  </w:tcPr>
                  <w:p>
                    <w:pPr>
                      <w:tabs>
                        <w:tab w:val="left" w:pos="851"/>
                      </w:tabs>
                      <w:rPr>
                        <w:sz w:val="20"/>
                      </w:rPr>
                    </w:pPr>
                    <w:r>
                      <w:rPr>
                        <w:sz w:val="20"/>
                      </w:rPr>
                      <w:t xml:space="preserve">Luokės </w:t>
                    </w:r>
                  </w:p>
                </w:tc>
                <w:tc>
                  <w:tcPr>
                    <w:tcW w:w="850" w:type="dxa"/>
                    <w:shd w:val="clear" w:color="auto" w:fill="auto"/>
                    <w:vAlign w:val="center"/>
                  </w:tcPr>
                  <w:p>
                    <w:pPr>
                      <w:tabs>
                        <w:tab w:val="left" w:pos="851"/>
                      </w:tabs>
                      <w:jc w:val="center"/>
                      <w:rPr>
                        <w:sz w:val="20"/>
                      </w:rPr>
                    </w:pPr>
                    <w:r>
                      <w:rPr>
                        <w:sz w:val="20"/>
                      </w:rPr>
                      <w:t>13</w:t>
                    </w:r>
                  </w:p>
                </w:tc>
                <w:tc>
                  <w:tcPr>
                    <w:tcW w:w="851" w:type="dxa"/>
                    <w:shd w:val="clear" w:color="auto" w:fill="auto"/>
                    <w:vAlign w:val="center"/>
                  </w:tcPr>
                  <w:p>
                    <w:pPr>
                      <w:tabs>
                        <w:tab w:val="left" w:pos="851"/>
                      </w:tabs>
                      <w:jc w:val="center"/>
                      <w:rPr>
                        <w:sz w:val="20"/>
                      </w:rPr>
                    </w:pPr>
                    <w:r>
                      <w:rPr>
                        <w:sz w:val="20"/>
                      </w:rPr>
                      <w:t>9</w:t>
                    </w:r>
                  </w:p>
                </w:tc>
                <w:tc>
                  <w:tcPr>
                    <w:tcW w:w="850" w:type="dxa"/>
                    <w:vAlign w:val="center"/>
                  </w:tcPr>
                  <w:p>
                    <w:pPr>
                      <w:tabs>
                        <w:tab w:val="left" w:pos="851"/>
                      </w:tabs>
                      <w:jc w:val="center"/>
                      <w:rPr>
                        <w:sz w:val="20"/>
                      </w:rPr>
                    </w:pPr>
                    <w:r>
                      <w:rPr>
                        <w:sz w:val="20"/>
                      </w:rPr>
                      <w:t>7</w:t>
                    </w:r>
                  </w:p>
                </w:tc>
                <w:tc>
                  <w:tcPr>
                    <w:tcW w:w="851" w:type="dxa"/>
                    <w:shd w:val="clear" w:color="auto" w:fill="auto"/>
                    <w:vAlign w:val="center"/>
                  </w:tcPr>
                  <w:p>
                    <w:pPr>
                      <w:tabs>
                        <w:tab w:val="left" w:pos="851"/>
                      </w:tabs>
                      <w:jc w:val="center"/>
                      <w:rPr>
                        <w:sz w:val="20"/>
                      </w:rPr>
                    </w:pPr>
                    <w:r>
                      <w:rPr>
                        <w:sz w:val="20"/>
                      </w:rPr>
                      <w:t>26</w:t>
                    </w:r>
                  </w:p>
                </w:tc>
                <w:tc>
                  <w:tcPr>
                    <w:tcW w:w="850" w:type="dxa"/>
                    <w:shd w:val="clear" w:color="auto" w:fill="auto"/>
                    <w:vAlign w:val="center"/>
                  </w:tcPr>
                  <w:p>
                    <w:pPr>
                      <w:tabs>
                        <w:tab w:val="left" w:pos="851"/>
                      </w:tabs>
                      <w:jc w:val="center"/>
                      <w:rPr>
                        <w:sz w:val="20"/>
                      </w:rPr>
                    </w:pPr>
                    <w:r>
                      <w:rPr>
                        <w:sz w:val="20"/>
                      </w:rPr>
                      <w:t>23</w:t>
                    </w:r>
                  </w:p>
                </w:tc>
                <w:tc>
                  <w:tcPr>
                    <w:tcW w:w="851" w:type="dxa"/>
                    <w:vAlign w:val="center"/>
                  </w:tcPr>
                  <w:p>
                    <w:pPr>
                      <w:tabs>
                        <w:tab w:val="left" w:pos="851"/>
                      </w:tabs>
                      <w:jc w:val="center"/>
                      <w:rPr>
                        <w:sz w:val="20"/>
                      </w:rPr>
                    </w:pPr>
                    <w:r>
                      <w:rPr>
                        <w:sz w:val="20"/>
                      </w:rPr>
                      <w:t>18</w:t>
                    </w:r>
                  </w:p>
                </w:tc>
                <w:tc>
                  <w:tcPr>
                    <w:tcW w:w="850" w:type="dxa"/>
                    <w:shd w:val="clear" w:color="auto" w:fill="auto"/>
                    <w:vAlign w:val="center"/>
                  </w:tcPr>
                  <w:p>
                    <w:pPr>
                      <w:tabs>
                        <w:tab w:val="left" w:pos="851"/>
                      </w:tabs>
                      <w:jc w:val="center"/>
                      <w:rPr>
                        <w:sz w:val="20"/>
                      </w:rPr>
                    </w:pPr>
                    <w:r>
                      <w:rPr>
                        <w:sz w:val="20"/>
                      </w:rPr>
                      <w:t>1</w:t>
                    </w:r>
                  </w:p>
                </w:tc>
                <w:tc>
                  <w:tcPr>
                    <w:tcW w:w="851" w:type="dxa"/>
                    <w:shd w:val="clear" w:color="auto" w:fill="auto"/>
                    <w:vAlign w:val="center"/>
                  </w:tcPr>
                  <w:p>
                    <w:pPr>
                      <w:tabs>
                        <w:tab w:val="left" w:pos="851"/>
                      </w:tabs>
                      <w:jc w:val="center"/>
                      <w:rPr>
                        <w:sz w:val="20"/>
                      </w:rPr>
                    </w:pPr>
                    <w:r>
                      <w:rPr>
                        <w:sz w:val="20"/>
                      </w:rPr>
                      <w:t>1</w:t>
                    </w:r>
                  </w:p>
                </w:tc>
                <w:tc>
                  <w:tcPr>
                    <w:tcW w:w="850" w:type="dxa"/>
                    <w:vAlign w:val="center"/>
                  </w:tcPr>
                  <w:p>
                    <w:pPr>
                      <w:tabs>
                        <w:tab w:val="left" w:pos="851"/>
                      </w:tabs>
                      <w:jc w:val="center"/>
                      <w:rPr>
                        <w:sz w:val="20"/>
                      </w:rPr>
                    </w:pPr>
                    <w:r>
                      <w:rPr>
                        <w:sz w:val="20"/>
                      </w:rPr>
                      <w:t>1</w:t>
                    </w:r>
                  </w:p>
                </w:tc>
              </w:tr>
              <w:tr>
                <w:trPr>
                  <w:jc w:val="center"/>
                </w:trPr>
                <w:tc>
                  <w:tcPr>
                    <w:tcW w:w="1526" w:type="dxa"/>
                    <w:shd w:val="clear" w:color="auto" w:fill="auto"/>
                  </w:tcPr>
                  <w:p>
                    <w:pPr>
                      <w:tabs>
                        <w:tab w:val="left" w:pos="851"/>
                      </w:tabs>
                      <w:rPr>
                        <w:sz w:val="20"/>
                      </w:rPr>
                    </w:pPr>
                    <w:r>
                      <w:rPr>
                        <w:sz w:val="20"/>
                      </w:rPr>
                      <w:t xml:space="preserve">Gadūnavo </w:t>
                    </w:r>
                  </w:p>
                </w:tc>
                <w:tc>
                  <w:tcPr>
                    <w:tcW w:w="850" w:type="dxa"/>
                    <w:shd w:val="clear" w:color="auto" w:fill="auto"/>
                    <w:vAlign w:val="center"/>
                  </w:tcPr>
                  <w:p>
                    <w:pPr>
                      <w:tabs>
                        <w:tab w:val="left" w:pos="851"/>
                      </w:tabs>
                      <w:jc w:val="center"/>
                      <w:rPr>
                        <w:sz w:val="20"/>
                      </w:rPr>
                    </w:pPr>
                    <w:r>
                      <w:rPr>
                        <w:sz w:val="20"/>
                      </w:rPr>
                      <w:t>10</w:t>
                    </w:r>
                  </w:p>
                </w:tc>
                <w:tc>
                  <w:tcPr>
                    <w:tcW w:w="851" w:type="dxa"/>
                    <w:shd w:val="clear" w:color="auto" w:fill="auto"/>
                    <w:vAlign w:val="center"/>
                  </w:tcPr>
                  <w:p>
                    <w:pPr>
                      <w:tabs>
                        <w:tab w:val="left" w:pos="851"/>
                      </w:tabs>
                      <w:jc w:val="center"/>
                      <w:rPr>
                        <w:sz w:val="20"/>
                      </w:rPr>
                    </w:pPr>
                    <w:r>
                      <w:rPr>
                        <w:sz w:val="20"/>
                      </w:rPr>
                      <w:t>10</w:t>
                    </w:r>
                  </w:p>
                </w:tc>
                <w:tc>
                  <w:tcPr>
                    <w:tcW w:w="850" w:type="dxa"/>
                    <w:vAlign w:val="center"/>
                  </w:tcPr>
                  <w:p>
                    <w:pPr>
                      <w:tabs>
                        <w:tab w:val="left" w:pos="851"/>
                      </w:tabs>
                      <w:jc w:val="center"/>
                      <w:rPr>
                        <w:sz w:val="20"/>
                      </w:rPr>
                    </w:pPr>
                    <w:r>
                      <w:rPr>
                        <w:sz w:val="20"/>
                      </w:rPr>
                      <w:t>8</w:t>
                    </w:r>
                  </w:p>
                </w:tc>
                <w:tc>
                  <w:tcPr>
                    <w:tcW w:w="851" w:type="dxa"/>
                    <w:shd w:val="clear" w:color="auto" w:fill="auto"/>
                    <w:vAlign w:val="center"/>
                  </w:tcPr>
                  <w:p>
                    <w:pPr>
                      <w:tabs>
                        <w:tab w:val="left" w:pos="851"/>
                      </w:tabs>
                      <w:jc w:val="center"/>
                      <w:rPr>
                        <w:sz w:val="20"/>
                      </w:rPr>
                    </w:pPr>
                    <w:r>
                      <w:rPr>
                        <w:sz w:val="20"/>
                      </w:rPr>
                      <w:t>18</w:t>
                    </w:r>
                  </w:p>
                </w:tc>
                <w:tc>
                  <w:tcPr>
                    <w:tcW w:w="850" w:type="dxa"/>
                    <w:shd w:val="clear" w:color="auto" w:fill="auto"/>
                    <w:vAlign w:val="center"/>
                  </w:tcPr>
                  <w:p>
                    <w:pPr>
                      <w:tabs>
                        <w:tab w:val="left" w:pos="851"/>
                      </w:tabs>
                      <w:jc w:val="center"/>
                      <w:rPr>
                        <w:sz w:val="20"/>
                      </w:rPr>
                    </w:pPr>
                    <w:r>
                      <w:rPr>
                        <w:sz w:val="20"/>
                      </w:rPr>
                      <w:t>21</w:t>
                    </w:r>
                  </w:p>
                </w:tc>
                <w:tc>
                  <w:tcPr>
                    <w:tcW w:w="851" w:type="dxa"/>
                    <w:vAlign w:val="center"/>
                  </w:tcPr>
                  <w:p>
                    <w:pPr>
                      <w:tabs>
                        <w:tab w:val="left" w:pos="851"/>
                      </w:tabs>
                      <w:jc w:val="center"/>
                      <w:rPr>
                        <w:sz w:val="20"/>
                      </w:rPr>
                    </w:pPr>
                    <w:r>
                      <w:rPr>
                        <w:sz w:val="20"/>
                      </w:rPr>
                      <w:t>10</w:t>
                    </w:r>
                  </w:p>
                </w:tc>
                <w:tc>
                  <w:tcPr>
                    <w:tcW w:w="850" w:type="dxa"/>
                    <w:shd w:val="clear" w:color="auto" w:fill="auto"/>
                    <w:vAlign w:val="center"/>
                  </w:tcPr>
                  <w:p>
                    <w:pPr>
                      <w:tabs>
                        <w:tab w:val="left" w:pos="851"/>
                      </w:tabs>
                      <w:jc w:val="center"/>
                      <w:rPr>
                        <w:sz w:val="20"/>
                      </w:rPr>
                    </w:pPr>
                    <w:r>
                      <w:rPr>
                        <w:sz w:val="20"/>
                      </w:rPr>
                      <w:t>1</w:t>
                    </w:r>
                  </w:p>
                </w:tc>
                <w:tc>
                  <w:tcPr>
                    <w:tcW w:w="851" w:type="dxa"/>
                    <w:shd w:val="clear" w:color="auto" w:fill="auto"/>
                    <w:vAlign w:val="center"/>
                  </w:tcPr>
                  <w:p>
                    <w:pPr>
                      <w:tabs>
                        <w:tab w:val="left" w:pos="851"/>
                      </w:tabs>
                      <w:jc w:val="center"/>
                      <w:rPr>
                        <w:sz w:val="20"/>
                      </w:rPr>
                    </w:pPr>
                    <w:r>
                      <w:rPr>
                        <w:sz w:val="20"/>
                      </w:rPr>
                      <w:t>1</w:t>
                    </w:r>
                  </w:p>
                </w:tc>
                <w:tc>
                  <w:tcPr>
                    <w:tcW w:w="850" w:type="dxa"/>
                    <w:vAlign w:val="center"/>
                  </w:tcPr>
                  <w:p>
                    <w:pPr>
                      <w:tabs>
                        <w:tab w:val="left" w:pos="851"/>
                      </w:tabs>
                      <w:jc w:val="center"/>
                      <w:rPr>
                        <w:sz w:val="20"/>
                      </w:rPr>
                    </w:pPr>
                    <w:r>
                      <w:rPr>
                        <w:sz w:val="20"/>
                      </w:rPr>
                      <w:t>1</w:t>
                    </w:r>
                  </w:p>
                </w:tc>
              </w:tr>
              <w:tr>
                <w:trPr>
                  <w:jc w:val="center"/>
                </w:trPr>
                <w:tc>
                  <w:tcPr>
                    <w:tcW w:w="1526" w:type="dxa"/>
                    <w:shd w:val="clear" w:color="auto" w:fill="auto"/>
                  </w:tcPr>
                  <w:p>
                    <w:pPr>
                      <w:tabs>
                        <w:tab w:val="left" w:pos="851"/>
                      </w:tabs>
                      <w:rPr>
                        <w:sz w:val="20"/>
                      </w:rPr>
                    </w:pPr>
                    <w:r>
                      <w:rPr>
                        <w:sz w:val="20"/>
                      </w:rPr>
                      <w:t xml:space="preserve">Tryškių </w:t>
                    </w:r>
                  </w:p>
                </w:tc>
                <w:tc>
                  <w:tcPr>
                    <w:tcW w:w="850" w:type="dxa"/>
                    <w:shd w:val="clear" w:color="auto" w:fill="auto"/>
                    <w:vAlign w:val="center"/>
                  </w:tcPr>
                  <w:p>
                    <w:pPr>
                      <w:tabs>
                        <w:tab w:val="left" w:pos="851"/>
                      </w:tabs>
                      <w:jc w:val="center"/>
                      <w:rPr>
                        <w:sz w:val="20"/>
                      </w:rPr>
                    </w:pPr>
                    <w:r>
                      <w:rPr>
                        <w:sz w:val="20"/>
                      </w:rPr>
                      <w:t>14</w:t>
                    </w:r>
                  </w:p>
                </w:tc>
                <w:tc>
                  <w:tcPr>
                    <w:tcW w:w="851" w:type="dxa"/>
                    <w:shd w:val="clear" w:color="auto" w:fill="auto"/>
                    <w:vAlign w:val="center"/>
                  </w:tcPr>
                  <w:p>
                    <w:pPr>
                      <w:tabs>
                        <w:tab w:val="left" w:pos="851"/>
                      </w:tabs>
                      <w:jc w:val="center"/>
                      <w:rPr>
                        <w:sz w:val="20"/>
                      </w:rPr>
                    </w:pPr>
                    <w:r>
                      <w:rPr>
                        <w:sz w:val="20"/>
                      </w:rPr>
                      <w:t>19</w:t>
                    </w:r>
                  </w:p>
                </w:tc>
                <w:tc>
                  <w:tcPr>
                    <w:tcW w:w="850" w:type="dxa"/>
                    <w:vAlign w:val="center"/>
                  </w:tcPr>
                  <w:p>
                    <w:pPr>
                      <w:tabs>
                        <w:tab w:val="left" w:pos="851"/>
                      </w:tabs>
                      <w:jc w:val="center"/>
                      <w:rPr>
                        <w:sz w:val="20"/>
                      </w:rPr>
                    </w:pPr>
                    <w:r>
                      <w:rPr>
                        <w:sz w:val="20"/>
                      </w:rPr>
                      <w:t>17</w:t>
                    </w:r>
                  </w:p>
                </w:tc>
                <w:tc>
                  <w:tcPr>
                    <w:tcW w:w="851" w:type="dxa"/>
                    <w:shd w:val="clear" w:color="auto" w:fill="auto"/>
                    <w:vAlign w:val="center"/>
                  </w:tcPr>
                  <w:p>
                    <w:pPr>
                      <w:tabs>
                        <w:tab w:val="left" w:pos="851"/>
                      </w:tabs>
                      <w:jc w:val="center"/>
                      <w:rPr>
                        <w:sz w:val="20"/>
                      </w:rPr>
                    </w:pPr>
                    <w:r>
                      <w:rPr>
                        <w:sz w:val="20"/>
                      </w:rPr>
                      <w:t>38</w:t>
                    </w:r>
                  </w:p>
                </w:tc>
                <w:tc>
                  <w:tcPr>
                    <w:tcW w:w="850" w:type="dxa"/>
                    <w:shd w:val="clear" w:color="auto" w:fill="auto"/>
                    <w:vAlign w:val="center"/>
                  </w:tcPr>
                  <w:p>
                    <w:pPr>
                      <w:tabs>
                        <w:tab w:val="left" w:pos="851"/>
                      </w:tabs>
                      <w:jc w:val="center"/>
                      <w:rPr>
                        <w:sz w:val="20"/>
                      </w:rPr>
                    </w:pPr>
                    <w:r>
                      <w:rPr>
                        <w:sz w:val="20"/>
                      </w:rPr>
                      <w:t>43</w:t>
                    </w:r>
                  </w:p>
                </w:tc>
                <w:tc>
                  <w:tcPr>
                    <w:tcW w:w="851" w:type="dxa"/>
                    <w:vAlign w:val="center"/>
                  </w:tcPr>
                  <w:p>
                    <w:pPr>
                      <w:tabs>
                        <w:tab w:val="left" w:pos="851"/>
                      </w:tabs>
                      <w:jc w:val="center"/>
                      <w:rPr>
                        <w:sz w:val="20"/>
                      </w:rPr>
                    </w:pPr>
                    <w:r>
                      <w:rPr>
                        <w:sz w:val="20"/>
                      </w:rPr>
                      <w:t>39</w:t>
                    </w:r>
                  </w:p>
                </w:tc>
                <w:tc>
                  <w:tcPr>
                    <w:tcW w:w="850" w:type="dxa"/>
                    <w:shd w:val="clear" w:color="auto" w:fill="auto"/>
                    <w:vAlign w:val="center"/>
                  </w:tcPr>
                  <w:p>
                    <w:pPr>
                      <w:tabs>
                        <w:tab w:val="left" w:pos="851"/>
                      </w:tabs>
                      <w:jc w:val="center"/>
                      <w:rPr>
                        <w:sz w:val="20"/>
                      </w:rPr>
                    </w:pPr>
                    <w:r>
                      <w:rPr>
                        <w:sz w:val="20"/>
                      </w:rPr>
                      <w:t>1</w:t>
                    </w:r>
                  </w:p>
                </w:tc>
                <w:tc>
                  <w:tcPr>
                    <w:tcW w:w="851" w:type="dxa"/>
                    <w:shd w:val="clear" w:color="auto" w:fill="auto"/>
                    <w:vAlign w:val="center"/>
                  </w:tcPr>
                  <w:p>
                    <w:pPr>
                      <w:tabs>
                        <w:tab w:val="left" w:pos="851"/>
                      </w:tabs>
                      <w:jc w:val="center"/>
                      <w:rPr>
                        <w:sz w:val="20"/>
                      </w:rPr>
                    </w:pPr>
                    <w:r>
                      <w:rPr>
                        <w:sz w:val="20"/>
                      </w:rPr>
                      <w:t>1</w:t>
                    </w:r>
                  </w:p>
                </w:tc>
                <w:tc>
                  <w:tcPr>
                    <w:tcW w:w="850" w:type="dxa"/>
                    <w:vAlign w:val="center"/>
                  </w:tcPr>
                  <w:p>
                    <w:pPr>
                      <w:tabs>
                        <w:tab w:val="left" w:pos="851"/>
                      </w:tabs>
                      <w:jc w:val="center"/>
                      <w:rPr>
                        <w:sz w:val="20"/>
                      </w:rPr>
                    </w:pPr>
                    <w:r>
                      <w:rPr>
                        <w:sz w:val="20"/>
                      </w:rPr>
                      <w:t>1</w:t>
                    </w:r>
                  </w:p>
                </w:tc>
              </w:tr>
              <w:tr>
                <w:trPr>
                  <w:jc w:val="center"/>
                </w:trPr>
                <w:tc>
                  <w:tcPr>
                    <w:tcW w:w="1526" w:type="dxa"/>
                    <w:shd w:val="clear" w:color="auto" w:fill="auto"/>
                  </w:tcPr>
                  <w:p>
                    <w:pPr>
                      <w:tabs>
                        <w:tab w:val="left" w:pos="851"/>
                      </w:tabs>
                      <w:rPr>
                        <w:sz w:val="20"/>
                      </w:rPr>
                    </w:pPr>
                    <w:r>
                      <w:rPr>
                        <w:sz w:val="20"/>
                      </w:rPr>
                      <w:t xml:space="preserve">Ryškėnų </w:t>
                    </w:r>
                  </w:p>
                </w:tc>
                <w:tc>
                  <w:tcPr>
                    <w:tcW w:w="850" w:type="dxa"/>
                    <w:shd w:val="clear" w:color="auto" w:fill="auto"/>
                    <w:vAlign w:val="center"/>
                  </w:tcPr>
                  <w:p>
                    <w:pPr>
                      <w:tabs>
                        <w:tab w:val="left" w:pos="851"/>
                      </w:tabs>
                      <w:jc w:val="center"/>
                      <w:rPr>
                        <w:sz w:val="20"/>
                      </w:rPr>
                    </w:pPr>
                    <w:r>
                      <w:rPr>
                        <w:sz w:val="20"/>
                      </w:rPr>
                      <w:t>9</w:t>
                    </w:r>
                  </w:p>
                </w:tc>
                <w:tc>
                  <w:tcPr>
                    <w:tcW w:w="851" w:type="dxa"/>
                    <w:shd w:val="clear" w:color="auto" w:fill="auto"/>
                    <w:vAlign w:val="center"/>
                  </w:tcPr>
                  <w:p>
                    <w:pPr>
                      <w:tabs>
                        <w:tab w:val="left" w:pos="851"/>
                      </w:tabs>
                      <w:jc w:val="center"/>
                      <w:rPr>
                        <w:sz w:val="20"/>
                      </w:rPr>
                    </w:pPr>
                    <w:r>
                      <w:rPr>
                        <w:sz w:val="20"/>
                      </w:rPr>
                      <w:t>9</w:t>
                    </w:r>
                  </w:p>
                </w:tc>
                <w:tc>
                  <w:tcPr>
                    <w:tcW w:w="850" w:type="dxa"/>
                    <w:vAlign w:val="center"/>
                  </w:tcPr>
                  <w:p>
                    <w:pPr>
                      <w:tabs>
                        <w:tab w:val="left" w:pos="851"/>
                      </w:tabs>
                      <w:jc w:val="center"/>
                      <w:rPr>
                        <w:sz w:val="20"/>
                      </w:rPr>
                    </w:pPr>
                    <w:r>
                      <w:rPr>
                        <w:sz w:val="20"/>
                      </w:rPr>
                      <w:t>10</w:t>
                    </w:r>
                  </w:p>
                </w:tc>
                <w:tc>
                  <w:tcPr>
                    <w:tcW w:w="851" w:type="dxa"/>
                    <w:shd w:val="clear" w:color="auto" w:fill="auto"/>
                    <w:vAlign w:val="center"/>
                  </w:tcPr>
                  <w:p>
                    <w:pPr>
                      <w:tabs>
                        <w:tab w:val="left" w:pos="851"/>
                      </w:tabs>
                      <w:jc w:val="center"/>
                      <w:rPr>
                        <w:sz w:val="20"/>
                      </w:rPr>
                    </w:pPr>
                    <w:r>
                      <w:rPr>
                        <w:sz w:val="20"/>
                      </w:rPr>
                      <w:t>25</w:t>
                    </w:r>
                  </w:p>
                </w:tc>
                <w:tc>
                  <w:tcPr>
                    <w:tcW w:w="850" w:type="dxa"/>
                    <w:shd w:val="clear" w:color="auto" w:fill="auto"/>
                    <w:vAlign w:val="center"/>
                  </w:tcPr>
                  <w:p>
                    <w:pPr>
                      <w:tabs>
                        <w:tab w:val="left" w:pos="851"/>
                      </w:tabs>
                      <w:jc w:val="center"/>
                      <w:rPr>
                        <w:sz w:val="20"/>
                      </w:rPr>
                    </w:pPr>
                    <w:r>
                      <w:rPr>
                        <w:sz w:val="20"/>
                      </w:rPr>
                      <w:t>23</w:t>
                    </w:r>
                  </w:p>
                </w:tc>
                <w:tc>
                  <w:tcPr>
                    <w:tcW w:w="851" w:type="dxa"/>
                    <w:vAlign w:val="center"/>
                  </w:tcPr>
                  <w:p>
                    <w:pPr>
                      <w:tabs>
                        <w:tab w:val="left" w:pos="851"/>
                      </w:tabs>
                      <w:jc w:val="center"/>
                      <w:rPr>
                        <w:sz w:val="20"/>
                      </w:rPr>
                    </w:pPr>
                    <w:r>
                      <w:rPr>
                        <w:sz w:val="20"/>
                      </w:rPr>
                      <w:t>27</w:t>
                    </w:r>
                  </w:p>
                </w:tc>
                <w:tc>
                  <w:tcPr>
                    <w:tcW w:w="850" w:type="dxa"/>
                    <w:shd w:val="clear" w:color="auto" w:fill="auto"/>
                    <w:vAlign w:val="center"/>
                  </w:tcPr>
                  <w:p>
                    <w:pPr>
                      <w:tabs>
                        <w:tab w:val="left" w:pos="851"/>
                      </w:tabs>
                      <w:jc w:val="center"/>
                      <w:rPr>
                        <w:sz w:val="20"/>
                      </w:rPr>
                    </w:pPr>
                    <w:r>
                      <w:rPr>
                        <w:sz w:val="20"/>
                      </w:rPr>
                      <w:t>1</w:t>
                    </w:r>
                  </w:p>
                </w:tc>
                <w:tc>
                  <w:tcPr>
                    <w:tcW w:w="851" w:type="dxa"/>
                    <w:shd w:val="clear" w:color="auto" w:fill="auto"/>
                    <w:vAlign w:val="center"/>
                  </w:tcPr>
                  <w:p>
                    <w:pPr>
                      <w:tabs>
                        <w:tab w:val="left" w:pos="851"/>
                      </w:tabs>
                      <w:jc w:val="center"/>
                      <w:rPr>
                        <w:sz w:val="20"/>
                      </w:rPr>
                    </w:pPr>
                    <w:r>
                      <w:rPr>
                        <w:sz w:val="20"/>
                      </w:rPr>
                      <w:t>1</w:t>
                    </w:r>
                  </w:p>
                </w:tc>
                <w:tc>
                  <w:tcPr>
                    <w:tcW w:w="850" w:type="dxa"/>
                    <w:vAlign w:val="center"/>
                  </w:tcPr>
                  <w:p>
                    <w:pPr>
                      <w:tabs>
                        <w:tab w:val="left" w:pos="851"/>
                      </w:tabs>
                      <w:jc w:val="center"/>
                      <w:rPr>
                        <w:sz w:val="20"/>
                      </w:rPr>
                    </w:pPr>
                    <w:r>
                      <w:rPr>
                        <w:sz w:val="20"/>
                      </w:rPr>
                      <w:t>1</w:t>
                    </w:r>
                  </w:p>
                </w:tc>
              </w:tr>
              <w:tr>
                <w:trPr>
                  <w:jc w:val="center"/>
                </w:trPr>
                <w:tc>
                  <w:tcPr>
                    <w:tcW w:w="1526" w:type="dxa"/>
                    <w:shd w:val="clear" w:color="auto" w:fill="D9D9D9"/>
                  </w:tcPr>
                  <w:p>
                    <w:pPr>
                      <w:tabs>
                        <w:tab w:val="left" w:pos="851"/>
                      </w:tabs>
                      <w:rPr>
                        <w:b/>
                        <w:sz w:val="20"/>
                      </w:rPr>
                    </w:pPr>
                    <w:r>
                      <w:rPr>
                        <w:b/>
                        <w:sz w:val="20"/>
                      </w:rPr>
                      <w:t>Iš viso</w:t>
                    </w:r>
                  </w:p>
                </w:tc>
                <w:tc>
                  <w:tcPr>
                    <w:tcW w:w="850" w:type="dxa"/>
                    <w:shd w:val="clear" w:color="auto" w:fill="D9D9D9"/>
                    <w:vAlign w:val="center"/>
                  </w:tcPr>
                  <w:p>
                    <w:pPr>
                      <w:tabs>
                        <w:tab w:val="left" w:pos="851"/>
                      </w:tabs>
                      <w:jc w:val="center"/>
                      <w:rPr>
                        <w:b/>
                        <w:sz w:val="20"/>
                      </w:rPr>
                    </w:pPr>
                    <w:r>
                      <w:rPr>
                        <w:b/>
                        <w:sz w:val="20"/>
                      </w:rPr>
                      <w:t>180</w:t>
                    </w:r>
                  </w:p>
                </w:tc>
                <w:tc>
                  <w:tcPr>
                    <w:tcW w:w="851" w:type="dxa"/>
                    <w:shd w:val="clear" w:color="auto" w:fill="D9D9D9"/>
                    <w:vAlign w:val="center"/>
                  </w:tcPr>
                  <w:p>
                    <w:pPr>
                      <w:tabs>
                        <w:tab w:val="left" w:pos="851"/>
                      </w:tabs>
                      <w:jc w:val="center"/>
                      <w:rPr>
                        <w:b/>
                        <w:sz w:val="20"/>
                      </w:rPr>
                    </w:pPr>
                    <w:r>
                      <w:rPr>
                        <w:b/>
                        <w:sz w:val="20"/>
                      </w:rPr>
                      <w:t>190</w:t>
                    </w:r>
                  </w:p>
                </w:tc>
                <w:tc>
                  <w:tcPr>
                    <w:tcW w:w="850" w:type="dxa"/>
                    <w:shd w:val="clear" w:color="auto" w:fill="D9D9D9"/>
                    <w:vAlign w:val="center"/>
                  </w:tcPr>
                  <w:p>
                    <w:pPr>
                      <w:tabs>
                        <w:tab w:val="left" w:pos="851"/>
                      </w:tabs>
                      <w:jc w:val="center"/>
                      <w:rPr>
                        <w:b/>
                        <w:sz w:val="20"/>
                      </w:rPr>
                    </w:pPr>
                    <w:r>
                      <w:rPr>
                        <w:b/>
                        <w:sz w:val="20"/>
                      </w:rPr>
                      <w:t>190</w:t>
                    </w:r>
                  </w:p>
                </w:tc>
                <w:tc>
                  <w:tcPr>
                    <w:tcW w:w="851" w:type="dxa"/>
                    <w:shd w:val="clear" w:color="auto" w:fill="D9D9D9"/>
                    <w:vAlign w:val="center"/>
                  </w:tcPr>
                  <w:p>
                    <w:pPr>
                      <w:tabs>
                        <w:tab w:val="left" w:pos="851"/>
                      </w:tabs>
                      <w:jc w:val="center"/>
                      <w:rPr>
                        <w:b/>
                        <w:sz w:val="20"/>
                      </w:rPr>
                    </w:pPr>
                    <w:r>
                      <w:rPr>
                        <w:b/>
                        <w:sz w:val="20"/>
                      </w:rPr>
                      <w:t>420</w:t>
                    </w:r>
                  </w:p>
                </w:tc>
                <w:tc>
                  <w:tcPr>
                    <w:tcW w:w="850" w:type="dxa"/>
                    <w:shd w:val="clear" w:color="auto" w:fill="D9D9D9"/>
                    <w:vAlign w:val="center"/>
                  </w:tcPr>
                  <w:p>
                    <w:pPr>
                      <w:tabs>
                        <w:tab w:val="left" w:pos="851"/>
                      </w:tabs>
                      <w:jc w:val="center"/>
                      <w:rPr>
                        <w:b/>
                        <w:sz w:val="20"/>
                      </w:rPr>
                    </w:pPr>
                    <w:r>
                      <w:rPr>
                        <w:b/>
                        <w:sz w:val="20"/>
                      </w:rPr>
                      <w:t>429</w:t>
                    </w:r>
                  </w:p>
                </w:tc>
                <w:tc>
                  <w:tcPr>
                    <w:tcW w:w="851" w:type="dxa"/>
                    <w:shd w:val="clear" w:color="auto" w:fill="D9D9D9"/>
                    <w:vAlign w:val="center"/>
                  </w:tcPr>
                  <w:p>
                    <w:pPr>
                      <w:tabs>
                        <w:tab w:val="left" w:pos="851"/>
                      </w:tabs>
                      <w:jc w:val="center"/>
                      <w:rPr>
                        <w:b/>
                        <w:sz w:val="20"/>
                      </w:rPr>
                    </w:pPr>
                    <w:r>
                      <w:rPr>
                        <w:b/>
                        <w:sz w:val="20"/>
                      </w:rPr>
                      <w:t>392</w:t>
                    </w:r>
                  </w:p>
                </w:tc>
                <w:tc>
                  <w:tcPr>
                    <w:tcW w:w="850" w:type="dxa"/>
                    <w:shd w:val="clear" w:color="auto" w:fill="D9D9D9"/>
                    <w:vAlign w:val="center"/>
                  </w:tcPr>
                  <w:p>
                    <w:pPr>
                      <w:tabs>
                        <w:tab w:val="left" w:pos="851"/>
                      </w:tabs>
                      <w:jc w:val="center"/>
                      <w:rPr>
                        <w:b/>
                        <w:sz w:val="20"/>
                      </w:rPr>
                    </w:pPr>
                    <w:r>
                      <w:rPr>
                        <w:b/>
                        <w:sz w:val="20"/>
                      </w:rPr>
                      <w:t>13</w:t>
                    </w:r>
                  </w:p>
                </w:tc>
                <w:tc>
                  <w:tcPr>
                    <w:tcW w:w="851" w:type="dxa"/>
                    <w:shd w:val="clear" w:color="auto" w:fill="D9D9D9"/>
                    <w:vAlign w:val="center"/>
                  </w:tcPr>
                  <w:p>
                    <w:pPr>
                      <w:tabs>
                        <w:tab w:val="left" w:pos="851"/>
                      </w:tabs>
                      <w:jc w:val="center"/>
                      <w:rPr>
                        <w:b/>
                        <w:sz w:val="20"/>
                      </w:rPr>
                    </w:pPr>
                    <w:r>
                      <w:rPr>
                        <w:b/>
                        <w:sz w:val="20"/>
                      </w:rPr>
                      <w:t>13</w:t>
                    </w:r>
                  </w:p>
                </w:tc>
                <w:tc>
                  <w:tcPr>
                    <w:tcW w:w="850" w:type="dxa"/>
                    <w:shd w:val="clear" w:color="auto" w:fill="D9D9D9"/>
                    <w:vAlign w:val="center"/>
                  </w:tcPr>
                  <w:p>
                    <w:pPr>
                      <w:tabs>
                        <w:tab w:val="left" w:pos="851"/>
                      </w:tabs>
                      <w:jc w:val="center"/>
                      <w:rPr>
                        <w:b/>
                        <w:sz w:val="20"/>
                      </w:rPr>
                    </w:pPr>
                    <w:r>
                      <w:rPr>
                        <w:b/>
                        <w:sz w:val="20"/>
                      </w:rPr>
                      <w:t>14</w:t>
                    </w:r>
                  </w:p>
                </w:tc>
              </w:tr>
            </w:tbl>
            <w:p>
              <w:pPr>
                <w:tabs>
                  <w:tab w:val="left" w:pos="851"/>
                  <w:tab w:val="left" w:pos="9540"/>
                </w:tabs>
                <w:rPr>
                  <w:sz w:val="18"/>
                  <w:szCs w:val="18"/>
                </w:rPr>
              </w:pPr>
            </w:p>
            <w:p>
              <w:pPr>
                <w:tabs>
                  <w:tab w:val="left" w:pos="851"/>
                  <w:tab w:val="left" w:pos="9540"/>
                </w:tabs>
                <w:ind w:firstLine="851"/>
                <w:jc w:val="both"/>
                <w:rPr>
                  <w:szCs w:val="24"/>
                </w:rPr>
              </w:pPr>
              <w:r>
                <w:rPr>
                  <w:szCs w:val="24"/>
                </w:rPr>
                <w:t>Telšių socialinių paslaugų centro socialiniai darbuotojai, teikdami socialinių įgūdžių ugdymo ir palaikymo paslaugas, kas ketvirtį teikia ataskaitas apie padėtį lankomose šeimose Vaiko teisių apsaugos skyriui, Socialinės paramos ir rūpybos skyriui, seniūnijoms. Kartą per metus pervertina asmens (šeimos) socialinių paslaugų poreikį ir teikia pasiūlymus dėl socialinių paslaugų sustabdymo, nutraukimo ar šeimų išbraukimo iš socialinės rizikos šeimų apskaitos.</w:t>
              </w:r>
            </w:p>
            <w:p>
              <w:pPr>
                <w:tabs>
                  <w:tab w:val="left" w:pos="851"/>
                  <w:tab w:val="left" w:pos="9540"/>
                </w:tabs>
                <w:jc w:val="both"/>
                <w:rPr>
                  <w:szCs w:val="24"/>
                </w:rPr>
              </w:pPr>
            </w:p>
          </w:sdtContent>
        </w:sdt>
        <w:sdt>
          <w:sdtPr>
            <w:alias w:val="poskyris"/>
            <w:tag w:val="part_686057b2dd574fd2b13e770d46d9357c"/>
            <w:lock w:val="sdtLocked"/>
            <w:richText/>
          </w:sdtPr>
          <w:sdtContent>
            <w:p>
              <w:pPr>
                <w:jc w:val="center"/>
                <w:rPr>
                  <w:b/>
                  <w:szCs w:val="24"/>
                </w:rPr>
              </w:pPr>
              <w:sdt>
                <w:sdtPr>
                  <w:alias w:val="Pavadinimas"/>
                  <w:tag w:val="title_686057b2dd574fd2b13e770d46d9357c"/>
                  <w:lock w:val="sdtLocked"/>
                  <w:richText/>
                </w:sdtPr>
                <w:sdtContent>
                  <w:r>
                    <w:rPr>
                      <w:b/>
                      <w:szCs w:val="24"/>
                    </w:rPr>
                    <w:t>Paslaugų nutraukimo priežastys 2012─2016 m.</w:t>
                  </w:r>
                  <w:r>
                    <w:rPr>
                      <w:szCs w:val="24"/>
                      <w:vertAlign w:val="superscript"/>
                    </w:rPr>
                    <w:t xml:space="preserve"> </w:t>
                  </w:r>
                </w:sdtContent>
              </w:sdt>
              <w:r>
                <w:rPr>
                  <w:szCs w:val="24"/>
                  <w:vertAlign w:val="superscript"/>
                </w:rPr>
                <w:footnoteReference w:id="22"/>
              </w:r>
            </w:p>
            <w:tbl>
              <w:tblPr>
                <w:tblW w:w="9704" w:type="dxa"/>
                <w:jc w:val="center"/>
                <w:tblInd w:w="-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83"/>
                <w:gridCol w:w="993"/>
                <w:gridCol w:w="992"/>
                <w:gridCol w:w="850"/>
                <w:gridCol w:w="993"/>
                <w:gridCol w:w="993"/>
              </w:tblGrid>
              <w:tr>
                <w:trPr>
                  <w:trHeight w:val="349"/>
                  <w:jc w:val="center"/>
                </w:trPr>
                <w:tc>
                  <w:tcPr>
                    <w:tcW w:w="4883" w:type="dxa"/>
                    <w:tcBorders>
                      <w:tl2br w:val="single" w:sz="4" w:space="0" w:color="auto"/>
                    </w:tcBorders>
                    <w:shd w:val="clear" w:color="auto" w:fill="D9D9D9"/>
                    <w:vAlign w:val="center"/>
                  </w:tcPr>
                  <w:p>
                    <w:pPr>
                      <w:jc w:val="right"/>
                      <w:rPr>
                        <w:b/>
                        <w:sz w:val="20"/>
                      </w:rPr>
                    </w:pPr>
                    <w:r>
                      <w:rPr>
                        <w:b/>
                        <w:sz w:val="20"/>
                      </w:rPr>
                      <w:t>Metai</w:t>
                    </w:r>
                  </w:p>
                  <w:p>
                    <w:pPr>
                      <w:rPr>
                        <w:b/>
                        <w:sz w:val="20"/>
                      </w:rPr>
                    </w:pPr>
                    <w:r>
                      <w:rPr>
                        <w:b/>
                        <w:sz w:val="20"/>
                      </w:rPr>
                      <w:t>Priežastis</w:t>
                    </w:r>
                  </w:p>
                </w:tc>
                <w:tc>
                  <w:tcPr>
                    <w:tcW w:w="993" w:type="dxa"/>
                    <w:shd w:val="clear" w:color="auto" w:fill="D9D9D9"/>
                    <w:vAlign w:val="center"/>
                  </w:tcPr>
                  <w:p>
                    <w:pPr>
                      <w:jc w:val="center"/>
                      <w:rPr>
                        <w:b/>
                        <w:sz w:val="20"/>
                      </w:rPr>
                    </w:pPr>
                    <w:r>
                      <w:rPr>
                        <w:b/>
                        <w:sz w:val="20"/>
                      </w:rPr>
                      <w:t>2012</w:t>
                    </w:r>
                  </w:p>
                </w:tc>
                <w:tc>
                  <w:tcPr>
                    <w:tcW w:w="992" w:type="dxa"/>
                    <w:shd w:val="clear" w:color="auto" w:fill="D9D9D9"/>
                    <w:vAlign w:val="center"/>
                  </w:tcPr>
                  <w:p>
                    <w:pPr>
                      <w:jc w:val="center"/>
                      <w:rPr>
                        <w:b/>
                        <w:sz w:val="20"/>
                      </w:rPr>
                    </w:pPr>
                    <w:r>
                      <w:rPr>
                        <w:b/>
                        <w:sz w:val="20"/>
                      </w:rPr>
                      <w:t>2013</w:t>
                    </w:r>
                  </w:p>
                </w:tc>
                <w:tc>
                  <w:tcPr>
                    <w:tcW w:w="850" w:type="dxa"/>
                    <w:shd w:val="clear" w:color="auto" w:fill="D9D9D9"/>
                    <w:vAlign w:val="center"/>
                  </w:tcPr>
                  <w:p>
                    <w:pPr>
                      <w:jc w:val="center"/>
                      <w:rPr>
                        <w:b/>
                        <w:sz w:val="20"/>
                      </w:rPr>
                    </w:pPr>
                    <w:r>
                      <w:rPr>
                        <w:b/>
                        <w:sz w:val="20"/>
                      </w:rPr>
                      <w:t xml:space="preserve">2014 </w:t>
                    </w:r>
                  </w:p>
                </w:tc>
                <w:tc>
                  <w:tcPr>
                    <w:tcW w:w="993" w:type="dxa"/>
                    <w:shd w:val="clear" w:color="auto" w:fill="D9D9D9"/>
                    <w:vAlign w:val="center"/>
                  </w:tcPr>
                  <w:p>
                    <w:pPr>
                      <w:jc w:val="center"/>
                      <w:rPr>
                        <w:b/>
                        <w:sz w:val="20"/>
                      </w:rPr>
                    </w:pPr>
                    <w:r>
                      <w:rPr>
                        <w:b/>
                        <w:sz w:val="20"/>
                      </w:rPr>
                      <w:t xml:space="preserve">2015 </w:t>
                    </w:r>
                  </w:p>
                </w:tc>
                <w:tc>
                  <w:tcPr>
                    <w:tcW w:w="993" w:type="dxa"/>
                    <w:shd w:val="clear" w:color="auto" w:fill="D9D9D9"/>
                    <w:vAlign w:val="center"/>
                  </w:tcPr>
                  <w:p>
                    <w:pPr>
                      <w:jc w:val="center"/>
                      <w:rPr>
                        <w:b/>
                        <w:sz w:val="20"/>
                      </w:rPr>
                    </w:pPr>
                    <w:r>
                      <w:rPr>
                        <w:b/>
                        <w:sz w:val="20"/>
                      </w:rPr>
                      <w:t>2016</w:t>
                    </w:r>
                  </w:p>
                </w:tc>
              </w:tr>
              <w:tr>
                <w:trPr>
                  <w:trHeight w:val="305"/>
                  <w:jc w:val="center"/>
                </w:trPr>
                <w:tc>
                  <w:tcPr>
                    <w:tcW w:w="4883" w:type="dxa"/>
                    <w:shd w:val="clear" w:color="auto" w:fill="auto"/>
                    <w:vAlign w:val="center"/>
                  </w:tcPr>
                  <w:p>
                    <w:pPr>
                      <w:rPr>
                        <w:sz w:val="20"/>
                      </w:rPr>
                    </w:pPr>
                    <w:r>
                      <w:rPr>
                        <w:sz w:val="20"/>
                      </w:rPr>
                      <w:t>Pagerėjo šeimoje padėtis, netikslinga teikti paslaugas</w:t>
                    </w:r>
                  </w:p>
                </w:tc>
                <w:tc>
                  <w:tcPr>
                    <w:tcW w:w="993" w:type="dxa"/>
                    <w:shd w:val="clear" w:color="auto" w:fill="auto"/>
                    <w:vAlign w:val="center"/>
                  </w:tcPr>
                  <w:p>
                    <w:pPr>
                      <w:jc w:val="center"/>
                      <w:rPr>
                        <w:sz w:val="20"/>
                      </w:rPr>
                    </w:pPr>
                    <w:r>
                      <w:rPr>
                        <w:sz w:val="20"/>
                      </w:rPr>
                      <w:t>21</w:t>
                    </w:r>
                  </w:p>
                </w:tc>
                <w:tc>
                  <w:tcPr>
                    <w:tcW w:w="992" w:type="dxa"/>
                    <w:shd w:val="clear" w:color="auto" w:fill="auto"/>
                    <w:vAlign w:val="center"/>
                  </w:tcPr>
                  <w:p>
                    <w:pPr>
                      <w:jc w:val="center"/>
                      <w:rPr>
                        <w:sz w:val="20"/>
                      </w:rPr>
                    </w:pPr>
                    <w:r>
                      <w:rPr>
                        <w:sz w:val="20"/>
                      </w:rPr>
                      <w:t>12</w:t>
                    </w:r>
                  </w:p>
                </w:tc>
                <w:tc>
                  <w:tcPr>
                    <w:tcW w:w="850" w:type="dxa"/>
                    <w:vAlign w:val="center"/>
                  </w:tcPr>
                  <w:p>
                    <w:pPr>
                      <w:jc w:val="center"/>
                      <w:rPr>
                        <w:sz w:val="20"/>
                      </w:rPr>
                    </w:pPr>
                    <w:r>
                      <w:rPr>
                        <w:sz w:val="20"/>
                      </w:rPr>
                      <w:t>8</w:t>
                    </w:r>
                  </w:p>
                </w:tc>
                <w:tc>
                  <w:tcPr>
                    <w:tcW w:w="993" w:type="dxa"/>
                    <w:vAlign w:val="center"/>
                  </w:tcPr>
                  <w:p>
                    <w:pPr>
                      <w:jc w:val="center"/>
                      <w:rPr>
                        <w:sz w:val="20"/>
                      </w:rPr>
                    </w:pPr>
                    <w:r>
                      <w:rPr>
                        <w:sz w:val="20"/>
                      </w:rPr>
                      <w:t>7</w:t>
                    </w:r>
                  </w:p>
                </w:tc>
                <w:tc>
                  <w:tcPr>
                    <w:tcW w:w="993" w:type="dxa"/>
                    <w:vAlign w:val="center"/>
                  </w:tcPr>
                  <w:p>
                    <w:pPr>
                      <w:jc w:val="center"/>
                      <w:rPr>
                        <w:sz w:val="20"/>
                      </w:rPr>
                    </w:pPr>
                    <w:r>
                      <w:rPr>
                        <w:sz w:val="20"/>
                      </w:rPr>
                      <w:t>2</w:t>
                    </w:r>
                  </w:p>
                </w:tc>
              </w:tr>
              <w:tr>
                <w:trPr>
                  <w:trHeight w:val="323"/>
                  <w:jc w:val="center"/>
                </w:trPr>
                <w:tc>
                  <w:tcPr>
                    <w:tcW w:w="4883" w:type="dxa"/>
                    <w:shd w:val="clear" w:color="auto" w:fill="auto"/>
                    <w:vAlign w:val="center"/>
                  </w:tcPr>
                  <w:p>
                    <w:pPr>
                      <w:rPr>
                        <w:sz w:val="20"/>
                      </w:rPr>
                    </w:pPr>
                    <w:r>
                      <w:rPr>
                        <w:sz w:val="20"/>
                      </w:rPr>
                      <w:t>Vaikams nustatyta globa Telšių vaikų globos namuose arba šeimoje</w:t>
                    </w:r>
                  </w:p>
                </w:tc>
                <w:tc>
                  <w:tcPr>
                    <w:tcW w:w="993" w:type="dxa"/>
                    <w:shd w:val="clear" w:color="auto" w:fill="auto"/>
                    <w:vAlign w:val="center"/>
                  </w:tcPr>
                  <w:p>
                    <w:pPr>
                      <w:jc w:val="center"/>
                      <w:rPr>
                        <w:sz w:val="20"/>
                      </w:rPr>
                    </w:pPr>
                    <w:r>
                      <w:rPr>
                        <w:sz w:val="20"/>
                      </w:rPr>
                      <w:t>8</w:t>
                    </w:r>
                  </w:p>
                </w:tc>
                <w:tc>
                  <w:tcPr>
                    <w:tcW w:w="992" w:type="dxa"/>
                    <w:shd w:val="clear" w:color="auto" w:fill="auto"/>
                    <w:vAlign w:val="center"/>
                  </w:tcPr>
                  <w:p>
                    <w:pPr>
                      <w:jc w:val="center"/>
                      <w:rPr>
                        <w:sz w:val="20"/>
                      </w:rPr>
                    </w:pPr>
                    <w:r>
                      <w:rPr>
                        <w:sz w:val="20"/>
                      </w:rPr>
                      <w:t>8</w:t>
                    </w:r>
                  </w:p>
                </w:tc>
                <w:tc>
                  <w:tcPr>
                    <w:tcW w:w="850" w:type="dxa"/>
                    <w:vAlign w:val="center"/>
                  </w:tcPr>
                  <w:p>
                    <w:pPr>
                      <w:jc w:val="center"/>
                      <w:rPr>
                        <w:sz w:val="20"/>
                      </w:rPr>
                    </w:pPr>
                    <w:r>
                      <w:rPr>
                        <w:sz w:val="20"/>
                      </w:rPr>
                      <w:t>4</w:t>
                    </w:r>
                  </w:p>
                </w:tc>
                <w:tc>
                  <w:tcPr>
                    <w:tcW w:w="993" w:type="dxa"/>
                    <w:vAlign w:val="center"/>
                  </w:tcPr>
                  <w:p>
                    <w:pPr>
                      <w:jc w:val="center"/>
                      <w:rPr>
                        <w:sz w:val="20"/>
                      </w:rPr>
                    </w:pPr>
                    <w:r>
                      <w:rPr>
                        <w:sz w:val="20"/>
                      </w:rPr>
                      <w:t>7</w:t>
                    </w:r>
                  </w:p>
                </w:tc>
                <w:tc>
                  <w:tcPr>
                    <w:tcW w:w="993" w:type="dxa"/>
                    <w:vAlign w:val="center"/>
                  </w:tcPr>
                  <w:p>
                    <w:pPr>
                      <w:jc w:val="center"/>
                      <w:rPr>
                        <w:sz w:val="20"/>
                      </w:rPr>
                    </w:pPr>
                    <w:r>
                      <w:rPr>
                        <w:sz w:val="20"/>
                      </w:rPr>
                      <w:t>11</w:t>
                    </w:r>
                  </w:p>
                </w:tc>
              </w:tr>
              <w:tr>
                <w:trPr>
                  <w:trHeight w:val="269"/>
                  <w:jc w:val="center"/>
                </w:trPr>
                <w:tc>
                  <w:tcPr>
                    <w:tcW w:w="4883" w:type="dxa"/>
                    <w:shd w:val="clear" w:color="auto" w:fill="auto"/>
                    <w:vAlign w:val="center"/>
                  </w:tcPr>
                  <w:p>
                    <w:pPr>
                      <w:rPr>
                        <w:sz w:val="20"/>
                      </w:rPr>
                    </w:pPr>
                    <w:r>
                      <w:rPr>
                        <w:sz w:val="20"/>
                      </w:rPr>
                      <w:t>Išvyko gyventi į kitą rajoną arba į užsienį</w:t>
                    </w:r>
                  </w:p>
                </w:tc>
                <w:tc>
                  <w:tcPr>
                    <w:tcW w:w="993" w:type="dxa"/>
                    <w:shd w:val="clear" w:color="auto" w:fill="auto"/>
                    <w:vAlign w:val="center"/>
                  </w:tcPr>
                  <w:p>
                    <w:pPr>
                      <w:jc w:val="center"/>
                      <w:rPr>
                        <w:sz w:val="20"/>
                      </w:rPr>
                    </w:pPr>
                    <w:r>
                      <w:rPr>
                        <w:sz w:val="20"/>
                      </w:rPr>
                      <w:t>5</w:t>
                    </w:r>
                  </w:p>
                </w:tc>
                <w:tc>
                  <w:tcPr>
                    <w:tcW w:w="992" w:type="dxa"/>
                    <w:shd w:val="clear" w:color="auto" w:fill="auto"/>
                    <w:vAlign w:val="center"/>
                  </w:tcPr>
                  <w:p>
                    <w:pPr>
                      <w:jc w:val="center"/>
                      <w:rPr>
                        <w:sz w:val="20"/>
                      </w:rPr>
                    </w:pPr>
                    <w:r>
                      <w:rPr>
                        <w:sz w:val="20"/>
                      </w:rPr>
                      <w:t>6</w:t>
                    </w:r>
                  </w:p>
                </w:tc>
                <w:tc>
                  <w:tcPr>
                    <w:tcW w:w="850" w:type="dxa"/>
                    <w:vAlign w:val="center"/>
                  </w:tcPr>
                  <w:p>
                    <w:pPr>
                      <w:jc w:val="center"/>
                      <w:rPr>
                        <w:sz w:val="20"/>
                      </w:rPr>
                    </w:pPr>
                    <w:r>
                      <w:rPr>
                        <w:sz w:val="20"/>
                      </w:rPr>
                      <w:t>4</w:t>
                    </w:r>
                  </w:p>
                </w:tc>
                <w:tc>
                  <w:tcPr>
                    <w:tcW w:w="993" w:type="dxa"/>
                    <w:vAlign w:val="center"/>
                  </w:tcPr>
                  <w:p>
                    <w:pPr>
                      <w:jc w:val="center"/>
                      <w:rPr>
                        <w:sz w:val="20"/>
                      </w:rPr>
                    </w:pPr>
                    <w:r>
                      <w:rPr>
                        <w:sz w:val="20"/>
                      </w:rPr>
                      <w:t>7</w:t>
                    </w:r>
                  </w:p>
                </w:tc>
                <w:tc>
                  <w:tcPr>
                    <w:tcW w:w="993" w:type="dxa"/>
                    <w:vAlign w:val="center"/>
                  </w:tcPr>
                  <w:p>
                    <w:pPr>
                      <w:jc w:val="center"/>
                      <w:rPr>
                        <w:sz w:val="20"/>
                      </w:rPr>
                    </w:pPr>
                    <w:r>
                      <w:rPr>
                        <w:sz w:val="20"/>
                      </w:rPr>
                      <w:t>9</w:t>
                    </w:r>
                  </w:p>
                </w:tc>
              </w:tr>
              <w:tr>
                <w:trPr>
                  <w:trHeight w:val="269"/>
                  <w:jc w:val="center"/>
                </w:trPr>
                <w:tc>
                  <w:tcPr>
                    <w:tcW w:w="4883" w:type="dxa"/>
                    <w:shd w:val="clear" w:color="auto" w:fill="auto"/>
                    <w:vAlign w:val="center"/>
                  </w:tcPr>
                  <w:p>
                    <w:pPr>
                      <w:rPr>
                        <w:sz w:val="20"/>
                      </w:rPr>
                    </w:pPr>
                    <w:r>
                      <w:rPr>
                        <w:sz w:val="20"/>
                      </w:rPr>
                      <w:t>Šeimoje neliko nepilnamečių vaikų</w:t>
                    </w:r>
                  </w:p>
                </w:tc>
                <w:tc>
                  <w:tcPr>
                    <w:tcW w:w="993" w:type="dxa"/>
                    <w:shd w:val="clear" w:color="auto" w:fill="auto"/>
                    <w:vAlign w:val="center"/>
                  </w:tcPr>
                  <w:p>
                    <w:pPr>
                      <w:jc w:val="center"/>
                      <w:rPr>
                        <w:sz w:val="20"/>
                      </w:rPr>
                    </w:pPr>
                    <w:r>
                      <w:rPr>
                        <w:sz w:val="20"/>
                      </w:rPr>
                      <w:t>7</w:t>
                    </w:r>
                  </w:p>
                </w:tc>
                <w:tc>
                  <w:tcPr>
                    <w:tcW w:w="992" w:type="dxa"/>
                    <w:shd w:val="clear" w:color="auto" w:fill="auto"/>
                    <w:vAlign w:val="center"/>
                  </w:tcPr>
                  <w:p>
                    <w:pPr>
                      <w:jc w:val="center"/>
                      <w:rPr>
                        <w:sz w:val="20"/>
                      </w:rPr>
                    </w:pPr>
                    <w:r>
                      <w:rPr>
                        <w:sz w:val="20"/>
                      </w:rPr>
                      <w:t>8</w:t>
                    </w:r>
                  </w:p>
                </w:tc>
                <w:tc>
                  <w:tcPr>
                    <w:tcW w:w="850" w:type="dxa"/>
                    <w:vAlign w:val="center"/>
                  </w:tcPr>
                  <w:p>
                    <w:pPr>
                      <w:jc w:val="center"/>
                      <w:rPr>
                        <w:sz w:val="20"/>
                      </w:rPr>
                    </w:pPr>
                    <w:r>
                      <w:rPr>
                        <w:sz w:val="20"/>
                      </w:rPr>
                      <w:t>12</w:t>
                    </w:r>
                  </w:p>
                </w:tc>
                <w:tc>
                  <w:tcPr>
                    <w:tcW w:w="993" w:type="dxa"/>
                    <w:vAlign w:val="center"/>
                  </w:tcPr>
                  <w:p>
                    <w:pPr>
                      <w:jc w:val="center"/>
                      <w:rPr>
                        <w:sz w:val="20"/>
                      </w:rPr>
                    </w:pPr>
                    <w:r>
                      <w:rPr>
                        <w:sz w:val="20"/>
                      </w:rPr>
                      <w:t>10</w:t>
                    </w:r>
                  </w:p>
                </w:tc>
                <w:tc>
                  <w:tcPr>
                    <w:tcW w:w="993" w:type="dxa"/>
                    <w:vAlign w:val="center"/>
                  </w:tcPr>
                  <w:p>
                    <w:pPr>
                      <w:jc w:val="center"/>
                      <w:rPr>
                        <w:sz w:val="20"/>
                      </w:rPr>
                    </w:pPr>
                    <w:r>
                      <w:rPr>
                        <w:sz w:val="20"/>
                      </w:rPr>
                      <w:t>3</w:t>
                    </w:r>
                  </w:p>
                </w:tc>
              </w:tr>
              <w:tr>
                <w:trPr>
                  <w:trHeight w:val="279"/>
                  <w:jc w:val="center"/>
                </w:trPr>
                <w:tc>
                  <w:tcPr>
                    <w:tcW w:w="4883" w:type="dxa"/>
                    <w:shd w:val="clear" w:color="auto" w:fill="auto"/>
                    <w:vAlign w:val="center"/>
                  </w:tcPr>
                  <w:p>
                    <w:pPr>
                      <w:rPr>
                        <w:sz w:val="20"/>
                      </w:rPr>
                    </w:pPr>
                    <w:r>
                      <w:rPr>
                        <w:sz w:val="20"/>
                      </w:rPr>
                      <w:t>Mirus tėvui / motinai, o vaikams nustačius globą</w:t>
                    </w:r>
                  </w:p>
                </w:tc>
                <w:tc>
                  <w:tcPr>
                    <w:tcW w:w="993" w:type="dxa"/>
                    <w:shd w:val="clear" w:color="auto" w:fill="auto"/>
                    <w:vAlign w:val="center"/>
                  </w:tcPr>
                  <w:p>
                    <w:pPr>
                      <w:jc w:val="center"/>
                      <w:rPr>
                        <w:sz w:val="20"/>
                      </w:rPr>
                    </w:pPr>
                    <w:r>
                      <w:rPr>
                        <w:sz w:val="20"/>
                      </w:rPr>
                      <w:t>1</w:t>
                    </w:r>
                  </w:p>
                </w:tc>
                <w:tc>
                  <w:tcPr>
                    <w:tcW w:w="992" w:type="dxa"/>
                    <w:shd w:val="clear" w:color="auto" w:fill="auto"/>
                    <w:vAlign w:val="center"/>
                  </w:tcPr>
                  <w:p>
                    <w:pPr>
                      <w:jc w:val="center"/>
                      <w:rPr>
                        <w:sz w:val="20"/>
                      </w:rPr>
                    </w:pPr>
                    <w:r>
                      <w:rPr>
                        <w:sz w:val="20"/>
                      </w:rPr>
                      <w:t>1</w:t>
                    </w:r>
                  </w:p>
                </w:tc>
                <w:tc>
                  <w:tcPr>
                    <w:tcW w:w="850" w:type="dxa"/>
                    <w:vAlign w:val="center"/>
                  </w:tcPr>
                  <w:p>
                    <w:pPr>
                      <w:jc w:val="center"/>
                      <w:rPr>
                        <w:sz w:val="20"/>
                      </w:rPr>
                    </w:pPr>
                    <w:r>
                      <w:rPr>
                        <w:sz w:val="20"/>
                      </w:rPr>
                      <w:t>2</w:t>
                    </w:r>
                  </w:p>
                </w:tc>
                <w:tc>
                  <w:tcPr>
                    <w:tcW w:w="993" w:type="dxa"/>
                    <w:vAlign w:val="center"/>
                  </w:tcPr>
                  <w:p>
                    <w:pPr>
                      <w:jc w:val="center"/>
                      <w:rPr>
                        <w:sz w:val="20"/>
                      </w:rPr>
                    </w:pPr>
                    <w:r>
                      <w:rPr>
                        <w:sz w:val="20"/>
                      </w:rPr>
                      <w:t>2</w:t>
                    </w:r>
                  </w:p>
                </w:tc>
                <w:tc>
                  <w:tcPr>
                    <w:tcW w:w="993" w:type="dxa"/>
                    <w:vAlign w:val="center"/>
                  </w:tcPr>
                  <w:p>
                    <w:pPr>
                      <w:jc w:val="center"/>
                      <w:rPr>
                        <w:sz w:val="20"/>
                      </w:rPr>
                    </w:pPr>
                    <w:r>
                      <w:rPr>
                        <w:sz w:val="20"/>
                      </w:rPr>
                      <w:t>3</w:t>
                    </w:r>
                  </w:p>
                </w:tc>
              </w:tr>
              <w:tr>
                <w:trPr>
                  <w:trHeight w:val="282"/>
                  <w:jc w:val="center"/>
                </w:trPr>
                <w:tc>
                  <w:tcPr>
                    <w:tcW w:w="4883" w:type="dxa"/>
                    <w:shd w:val="clear" w:color="auto" w:fill="D9D9D9"/>
                    <w:vAlign w:val="center"/>
                  </w:tcPr>
                  <w:p>
                    <w:pPr>
                      <w:rPr>
                        <w:b/>
                        <w:sz w:val="20"/>
                      </w:rPr>
                    </w:pPr>
                    <w:r>
                      <w:rPr>
                        <w:b/>
                        <w:sz w:val="20"/>
                      </w:rPr>
                      <w:t>Iš viso:</w:t>
                    </w:r>
                  </w:p>
                </w:tc>
                <w:tc>
                  <w:tcPr>
                    <w:tcW w:w="993" w:type="dxa"/>
                    <w:shd w:val="clear" w:color="auto" w:fill="D9D9D9"/>
                    <w:vAlign w:val="center"/>
                  </w:tcPr>
                  <w:p>
                    <w:pPr>
                      <w:jc w:val="center"/>
                      <w:rPr>
                        <w:b/>
                        <w:sz w:val="20"/>
                      </w:rPr>
                    </w:pPr>
                    <w:r>
                      <w:rPr>
                        <w:b/>
                        <w:sz w:val="20"/>
                      </w:rPr>
                      <w:t>42</w:t>
                    </w:r>
                  </w:p>
                </w:tc>
                <w:tc>
                  <w:tcPr>
                    <w:tcW w:w="992" w:type="dxa"/>
                    <w:shd w:val="clear" w:color="auto" w:fill="D9D9D9"/>
                    <w:vAlign w:val="center"/>
                  </w:tcPr>
                  <w:p>
                    <w:pPr>
                      <w:jc w:val="center"/>
                      <w:rPr>
                        <w:b/>
                        <w:sz w:val="20"/>
                      </w:rPr>
                    </w:pPr>
                    <w:r>
                      <w:rPr>
                        <w:b/>
                        <w:sz w:val="20"/>
                      </w:rPr>
                      <w:t>35</w:t>
                    </w:r>
                  </w:p>
                </w:tc>
                <w:tc>
                  <w:tcPr>
                    <w:tcW w:w="850" w:type="dxa"/>
                    <w:shd w:val="clear" w:color="auto" w:fill="D9D9D9"/>
                    <w:vAlign w:val="center"/>
                  </w:tcPr>
                  <w:p>
                    <w:pPr>
                      <w:jc w:val="center"/>
                      <w:rPr>
                        <w:b/>
                        <w:sz w:val="20"/>
                      </w:rPr>
                    </w:pPr>
                    <w:r>
                      <w:rPr>
                        <w:b/>
                        <w:sz w:val="20"/>
                      </w:rPr>
                      <w:t>30</w:t>
                    </w:r>
                  </w:p>
                </w:tc>
                <w:tc>
                  <w:tcPr>
                    <w:tcW w:w="993" w:type="dxa"/>
                    <w:shd w:val="clear" w:color="auto" w:fill="D9D9D9"/>
                    <w:vAlign w:val="center"/>
                  </w:tcPr>
                  <w:p>
                    <w:pPr>
                      <w:jc w:val="center"/>
                      <w:rPr>
                        <w:b/>
                        <w:sz w:val="20"/>
                      </w:rPr>
                    </w:pPr>
                    <w:r>
                      <w:rPr>
                        <w:b/>
                        <w:sz w:val="20"/>
                      </w:rPr>
                      <w:t>33</w:t>
                    </w:r>
                  </w:p>
                </w:tc>
                <w:tc>
                  <w:tcPr>
                    <w:tcW w:w="993" w:type="dxa"/>
                    <w:shd w:val="clear" w:color="auto" w:fill="D9D9D9"/>
                  </w:tcPr>
                  <w:p>
                    <w:pPr>
                      <w:jc w:val="center"/>
                      <w:rPr>
                        <w:b/>
                        <w:sz w:val="20"/>
                      </w:rPr>
                    </w:pPr>
                    <w:r>
                      <w:rPr>
                        <w:b/>
                        <w:sz w:val="20"/>
                      </w:rPr>
                      <w:t>28</w:t>
                    </w:r>
                  </w:p>
                </w:tc>
              </w:tr>
            </w:tbl>
            <w:p>
              <w:pPr>
                <w:tabs>
                  <w:tab w:val="left" w:pos="810"/>
                </w:tabs>
                <w:ind w:firstLine="810"/>
                <w:jc w:val="both"/>
                <w:rPr>
                  <w:color w:val="FF0000"/>
                  <w:szCs w:val="24"/>
                </w:rPr>
              </w:pPr>
            </w:p>
            <w:p>
              <w:pPr>
                <w:tabs>
                  <w:tab w:val="left" w:pos="810"/>
                </w:tabs>
                <w:ind w:firstLine="810"/>
                <w:jc w:val="both"/>
                <w:rPr>
                  <w:szCs w:val="24"/>
                </w:rPr>
              </w:pPr>
              <w:r>
                <w:rPr>
                  <w:szCs w:val="24"/>
                </w:rPr>
                <w:t xml:space="preserve">Darbui su socialinės rizikos šeimomis Telšių socialinių paslaugų centre įsteigta 16 etatų: po vieną seniūnijose, 4 Telšių mieste, 1 socialinio darbo organizatoriaus etatas. Nuo 2007 m. sausio 1 d. 11 šių etatų yra finansuojami iš specialiųjų tikslinių dotacijų, apskaitomų per Savivaldybės biudžetą, 5 finansuojami iš savivaldybės biudžeto. Vienam darbuotojui vidutiniškai tenka po 13 šeimų. Socialinių įgūdžių ugdymo ir palaikymo paslaugų teikimą kaimiškose seniūnijose apsunkina dideli atstumai ir ribotos galimybės naudotis transporto priemonėmis.  </w:t>
              </w:r>
            </w:p>
            <w:p>
              <w:pPr>
                <w:tabs>
                  <w:tab w:val="left" w:pos="851"/>
                </w:tabs>
                <w:ind w:firstLine="851"/>
                <w:jc w:val="both"/>
                <w:rPr>
                  <w:szCs w:val="24"/>
                </w:rPr>
              </w:pPr>
              <w:r>
                <w:rPr>
                  <w:b/>
                  <w:szCs w:val="24"/>
                </w:rPr>
                <w:t xml:space="preserve">Trumpalaikė ir ilgalaikė tėvų globos netekusių vaikų globa </w:t>
              </w:r>
              <w:r>
                <w:rPr>
                  <w:szCs w:val="24"/>
                </w:rPr>
                <w:t>teikiama Telšių vaikų globos namuose, į kuriuos 2016 m. atvyko 33 vaikai, iš jų: 29 paimti iš šeimų, 2 ─ iš ligoninės. Išvyko 45 vaikai: 22 grąžinti tėvams, 1 įvaikintas, 11 paimti nuolatinei globai, 7 sulaukė pilnametystės, 4 atiduoti giminaičiams. Vidutiniškai institucijoje gyveno 54 vaikai, iš kurių 36 lankė bendrojo lavinimo mokyklas, 9 profesinio ugdymo įstaigas. Žemiau lentelėje pateikiamas vaikų paskirstymas pagal globos rūšį ir vaikų sveikatos sutrikimus.</w:t>
              </w:r>
              <w:r>
                <w:rPr>
                  <w:sz w:val="20"/>
                  <w:vertAlign w:val="superscript"/>
                </w:rPr>
                <w:footnoteReference w:id="23"/>
              </w:r>
            </w:p>
            <w:p>
              <w:pPr>
                <w:ind w:firstLine="851"/>
                <w:jc w:val="both"/>
                <w:rPr>
                  <w:szCs w:val="24"/>
                </w:rPr>
              </w:pPr>
            </w:p>
          </w:sdtContent>
        </w:sdt>
        <w:sdt>
          <w:sdtPr>
            <w:alias w:val="poskyris"/>
            <w:tag w:val="part_9f4684c087f3423691b92bc2514cb981"/>
            <w:lock w:val="sdtLocked"/>
            <w:richText/>
          </w:sdtPr>
          <w:sdtContent>
            <w:p>
              <w:pPr>
                <w:ind w:firstLine="851"/>
                <w:rPr>
                  <w:b/>
                  <w:szCs w:val="24"/>
                </w:rPr>
              </w:pPr>
              <w:sdt>
                <w:sdtPr>
                  <w:alias w:val="Pavadinimas"/>
                  <w:tag w:val="title_9f4684c087f3423691b92bc2514cb981"/>
                  <w:lock w:val="sdtLocked"/>
                  <w:richText/>
                </w:sdtPr>
                <w:sdtContent>
                  <w:r>
                    <w:rPr>
                      <w:b/>
                      <w:szCs w:val="24"/>
                    </w:rPr>
                    <w:t>Vaikų skaičius bei pasiskirstymas pagal nustatytą globą ir sveikatos sutrikimus</w:t>
                  </w:r>
                </w:sdtContent>
              </w:sdt>
            </w:p>
            <w:tbl>
              <w:tblPr>
                <w:tblW w:w="9853" w:type="dxa"/>
                <w:jc w:val="center"/>
                <w:tblLook w:val="0000" w:firstRow="0" w:lastRow="0" w:firstColumn="0" w:lastColumn="0" w:noHBand="0" w:noVBand="0"/>
              </w:tblPr>
              <w:tblGrid>
                <w:gridCol w:w="241"/>
                <w:gridCol w:w="718"/>
                <w:gridCol w:w="6839"/>
                <w:gridCol w:w="2055"/>
              </w:tblGrid>
              <w:tr>
                <w:trPr>
                  <w:jc w:val="center"/>
                </w:trPr>
                <w:tc>
                  <w:tcPr>
                    <w:tcW w:w="241" w:type="dxa"/>
                    <w:tcBorders>
                      <w:right w:val="single" w:sz="4" w:space="0" w:color="auto"/>
                    </w:tcBorders>
                  </w:tcPr>
                  <w:p>
                    <w:pPr>
                      <w:jc w:val="center"/>
                      <w:rPr>
                        <w:b/>
                        <w:szCs w:val="24"/>
                      </w:rPr>
                    </w:pPr>
                  </w:p>
                </w:tc>
                <w:tc>
                  <w:tcPr>
                    <w:tcW w:w="718" w:type="dxa"/>
                    <w:tcBorders>
                      <w:top w:val="single" w:sz="4" w:space="0" w:color="auto"/>
                      <w:bottom w:val="single" w:sz="4" w:space="0" w:color="auto"/>
                      <w:right w:val="single" w:sz="4" w:space="0" w:color="auto"/>
                    </w:tcBorders>
                    <w:shd w:val="pct5" w:color="auto" w:fill="auto"/>
                  </w:tcPr>
                  <w:p>
                    <w:pPr>
                      <w:jc w:val="center"/>
                      <w:rPr>
                        <w:b/>
                        <w:sz w:val="20"/>
                      </w:rPr>
                    </w:pPr>
                    <w:r>
                      <w:rPr>
                        <w:b/>
                        <w:sz w:val="20"/>
                      </w:rPr>
                      <w:t>Eil. Nr.</w:t>
                    </w:r>
                  </w:p>
                </w:tc>
                <w:tc>
                  <w:tcPr>
                    <w:tcW w:w="6839"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b/>
                        <w:sz w:val="20"/>
                      </w:rPr>
                    </w:pPr>
                    <w:r>
                      <w:rPr>
                        <w:b/>
                        <w:sz w:val="20"/>
                      </w:rPr>
                      <w:t>Vaikų pasiskirstymas pagal nustatytą globą ir sutrikimus</w:t>
                    </w:r>
                  </w:p>
                </w:tc>
                <w:tc>
                  <w:tcPr>
                    <w:tcW w:w="2055"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b/>
                        <w:sz w:val="20"/>
                      </w:rPr>
                    </w:pPr>
                    <w:r>
                      <w:rPr>
                        <w:b/>
                        <w:sz w:val="20"/>
                      </w:rPr>
                      <w:t>Vaikų skaičius</w:t>
                    </w:r>
                  </w:p>
                </w:tc>
              </w:tr>
              <w:tr>
                <w:trPr>
                  <w:jc w:val="center"/>
                </w:trPr>
                <w:tc>
                  <w:tcPr>
                    <w:tcW w:w="241" w:type="dxa"/>
                    <w:tcBorders>
                      <w:right w:val="single" w:sz="4" w:space="0" w:color="auto"/>
                    </w:tcBorders>
                  </w:tcPr>
                  <w:p>
                    <w:pPr>
                      <w:rPr>
                        <w:szCs w:val="24"/>
                      </w:rPr>
                    </w:pPr>
                  </w:p>
                </w:tc>
                <w:tc>
                  <w:tcPr>
                    <w:tcW w:w="718" w:type="dxa"/>
                    <w:tcBorders>
                      <w:top w:val="single" w:sz="4" w:space="0" w:color="auto"/>
                      <w:bottom w:val="single" w:sz="4" w:space="0" w:color="auto"/>
                      <w:right w:val="single" w:sz="4" w:space="0" w:color="auto"/>
                    </w:tcBorders>
                    <w:shd w:val="clear" w:color="auto" w:fill="FFFFFF"/>
                  </w:tcPr>
                  <w:p>
                    <w:pPr>
                      <w:jc w:val="center"/>
                      <w:rPr>
                        <w:sz w:val="20"/>
                      </w:rPr>
                    </w:pPr>
                    <w:r>
                      <w:rPr>
                        <w:sz w:val="20"/>
                      </w:rPr>
                      <w:t>1.</w:t>
                    </w:r>
                  </w:p>
                </w:tc>
                <w:tc>
                  <w:tcPr>
                    <w:tcW w:w="6839" w:type="dxa"/>
                    <w:tcBorders>
                      <w:top w:val="single" w:sz="4" w:space="0" w:color="auto"/>
                      <w:left w:val="single" w:sz="4" w:space="0" w:color="auto"/>
                      <w:bottom w:val="single" w:sz="4" w:space="0" w:color="auto"/>
                      <w:right w:val="single" w:sz="4" w:space="0" w:color="auto"/>
                    </w:tcBorders>
                    <w:shd w:val="clear" w:color="auto" w:fill="FFFFFF"/>
                  </w:tcPr>
                  <w:p>
                    <w:pPr>
                      <w:rPr>
                        <w:sz w:val="20"/>
                      </w:rPr>
                    </w:pPr>
                    <w:r>
                      <w:rPr>
                        <w:sz w:val="20"/>
                      </w:rPr>
                      <w:t>Vaikų skaičius metų pabaigoje, iš jų:</w:t>
                    </w:r>
                  </w:p>
                </w:tc>
                <w:tc>
                  <w:tcPr>
                    <w:tcW w:w="2055" w:type="dxa"/>
                    <w:tcBorders>
                      <w:top w:val="single" w:sz="4" w:space="0" w:color="auto"/>
                      <w:left w:val="single" w:sz="4" w:space="0" w:color="auto"/>
                      <w:bottom w:val="single" w:sz="4" w:space="0" w:color="auto"/>
                      <w:right w:val="single" w:sz="4" w:space="0" w:color="auto"/>
                    </w:tcBorders>
                    <w:shd w:val="clear" w:color="auto" w:fill="FFFFFF"/>
                  </w:tcPr>
                  <w:p>
                    <w:pPr>
                      <w:jc w:val="center"/>
                      <w:rPr>
                        <w:sz w:val="20"/>
                      </w:rPr>
                    </w:pPr>
                    <w:r>
                      <w:rPr>
                        <w:sz w:val="20"/>
                      </w:rPr>
                      <w:t>47</w:t>
                    </w:r>
                  </w:p>
                </w:tc>
              </w:tr>
              <w:tr>
                <w:trPr>
                  <w:jc w:val="center"/>
                </w:trPr>
                <w:tc>
                  <w:tcPr>
                    <w:tcW w:w="241" w:type="dxa"/>
                    <w:tcBorders>
                      <w:right w:val="single" w:sz="4" w:space="0" w:color="auto"/>
                    </w:tcBorders>
                  </w:tcPr>
                  <w:p>
                    <w:pPr>
                      <w:tabs>
                        <w:tab w:val="left" w:pos="1845"/>
                      </w:tabs>
                      <w:rPr>
                        <w:szCs w:val="24"/>
                      </w:rPr>
                    </w:pPr>
                  </w:p>
                </w:tc>
                <w:tc>
                  <w:tcPr>
                    <w:tcW w:w="718" w:type="dxa"/>
                    <w:tcBorders>
                      <w:top w:val="single" w:sz="4" w:space="0" w:color="auto"/>
                      <w:bottom w:val="single" w:sz="4" w:space="0" w:color="auto"/>
                      <w:right w:val="single" w:sz="4" w:space="0" w:color="auto"/>
                    </w:tcBorders>
                  </w:tcPr>
                  <w:p>
                    <w:pPr>
                      <w:tabs>
                        <w:tab w:val="left" w:pos="1845"/>
                      </w:tabs>
                      <w:jc w:val="center"/>
                      <w:rPr>
                        <w:sz w:val="20"/>
                      </w:rPr>
                    </w:pPr>
                    <w:r>
                      <w:rPr>
                        <w:sz w:val="20"/>
                      </w:rPr>
                      <w:t>1.1.</w:t>
                    </w:r>
                  </w:p>
                </w:tc>
                <w:tc>
                  <w:tcPr>
                    <w:tcW w:w="6839" w:type="dxa"/>
                    <w:tcBorders>
                      <w:top w:val="single" w:sz="4" w:space="0" w:color="auto"/>
                      <w:left w:val="single" w:sz="4" w:space="0" w:color="auto"/>
                      <w:bottom w:val="single" w:sz="4" w:space="0" w:color="auto"/>
                      <w:right w:val="single" w:sz="4" w:space="0" w:color="auto"/>
                    </w:tcBorders>
                  </w:tcPr>
                  <w:p>
                    <w:pPr>
                      <w:tabs>
                        <w:tab w:val="left" w:pos="1845"/>
                      </w:tabs>
                      <w:rPr>
                        <w:sz w:val="20"/>
                      </w:rPr>
                    </w:pPr>
                    <w:r>
                      <w:rPr>
                        <w:sz w:val="20"/>
                      </w:rPr>
                      <w:t>našlaičiai</w:t>
                      <w:tab/>
                    </w:r>
                  </w:p>
                </w:tc>
                <w:tc>
                  <w:tcPr>
                    <w:tcW w:w="205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w:t>
                    </w:r>
                  </w:p>
                </w:tc>
              </w:tr>
              <w:tr>
                <w:trPr>
                  <w:trHeight w:val="253"/>
                  <w:jc w:val="center"/>
                </w:trPr>
                <w:tc>
                  <w:tcPr>
                    <w:tcW w:w="241" w:type="dxa"/>
                    <w:tcBorders>
                      <w:right w:val="single" w:sz="4" w:space="0" w:color="auto"/>
                    </w:tcBorders>
                  </w:tcPr>
                  <w:p>
                    <w:pPr>
                      <w:rPr>
                        <w:szCs w:val="24"/>
                      </w:rPr>
                    </w:pPr>
                  </w:p>
                </w:tc>
                <w:tc>
                  <w:tcPr>
                    <w:tcW w:w="718" w:type="dxa"/>
                    <w:tcBorders>
                      <w:top w:val="single" w:sz="4" w:space="0" w:color="auto"/>
                      <w:bottom w:val="single" w:sz="4" w:space="0" w:color="auto"/>
                      <w:right w:val="single" w:sz="4" w:space="0" w:color="auto"/>
                    </w:tcBorders>
                  </w:tcPr>
                  <w:p>
                    <w:pPr>
                      <w:jc w:val="center"/>
                      <w:rPr>
                        <w:sz w:val="20"/>
                      </w:rPr>
                    </w:pPr>
                    <w:r>
                      <w:rPr>
                        <w:sz w:val="20"/>
                      </w:rPr>
                      <w:t>1.2.</w:t>
                    </w:r>
                  </w:p>
                </w:tc>
                <w:tc>
                  <w:tcPr>
                    <w:tcW w:w="6839" w:type="dxa"/>
                    <w:tcBorders>
                      <w:top w:val="single" w:sz="4" w:space="0" w:color="auto"/>
                      <w:left w:val="single" w:sz="4" w:space="0" w:color="auto"/>
                      <w:bottom w:val="single" w:sz="4" w:space="0" w:color="auto"/>
                      <w:right w:val="single" w:sz="4" w:space="0" w:color="auto"/>
                    </w:tcBorders>
                  </w:tcPr>
                  <w:p>
                    <w:pPr>
                      <w:rPr>
                        <w:sz w:val="20"/>
                      </w:rPr>
                    </w:pPr>
                    <w:r>
                      <w:rPr>
                        <w:sz w:val="20"/>
                      </w:rPr>
                      <w:t>vaikai, kuriems nustatyta nuolatinė globa</w:t>
                    </w:r>
                  </w:p>
                </w:tc>
                <w:tc>
                  <w:tcPr>
                    <w:tcW w:w="205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31</w:t>
                    </w:r>
                  </w:p>
                </w:tc>
              </w:tr>
              <w:tr>
                <w:trPr>
                  <w:jc w:val="center"/>
                </w:trPr>
                <w:tc>
                  <w:tcPr>
                    <w:tcW w:w="241" w:type="dxa"/>
                    <w:tcBorders>
                      <w:right w:val="single" w:sz="4" w:space="0" w:color="auto"/>
                    </w:tcBorders>
                  </w:tcPr>
                  <w:p>
                    <w:pPr>
                      <w:rPr>
                        <w:szCs w:val="24"/>
                      </w:rPr>
                    </w:pPr>
                  </w:p>
                </w:tc>
                <w:tc>
                  <w:tcPr>
                    <w:tcW w:w="718" w:type="dxa"/>
                    <w:tcBorders>
                      <w:top w:val="single" w:sz="4" w:space="0" w:color="auto"/>
                      <w:bottom w:val="single" w:sz="4" w:space="0" w:color="auto"/>
                      <w:right w:val="single" w:sz="4" w:space="0" w:color="auto"/>
                    </w:tcBorders>
                  </w:tcPr>
                  <w:p>
                    <w:pPr>
                      <w:jc w:val="center"/>
                      <w:rPr>
                        <w:sz w:val="20"/>
                      </w:rPr>
                    </w:pPr>
                    <w:r>
                      <w:rPr>
                        <w:sz w:val="20"/>
                      </w:rPr>
                      <w:t>1.3.</w:t>
                    </w:r>
                  </w:p>
                </w:tc>
                <w:tc>
                  <w:tcPr>
                    <w:tcW w:w="6839" w:type="dxa"/>
                    <w:tcBorders>
                      <w:top w:val="single" w:sz="4" w:space="0" w:color="auto"/>
                      <w:left w:val="single" w:sz="4" w:space="0" w:color="auto"/>
                      <w:bottom w:val="single" w:sz="4" w:space="0" w:color="auto"/>
                      <w:right w:val="single" w:sz="4" w:space="0" w:color="auto"/>
                    </w:tcBorders>
                  </w:tcPr>
                  <w:p>
                    <w:pPr>
                      <w:rPr>
                        <w:sz w:val="20"/>
                      </w:rPr>
                    </w:pPr>
                    <w:r>
                      <w:rPr>
                        <w:sz w:val="20"/>
                      </w:rPr>
                      <w:t>vaikai, kuriems nustatyta laikinoji globa</w:t>
                    </w:r>
                  </w:p>
                </w:tc>
                <w:tc>
                  <w:tcPr>
                    <w:tcW w:w="205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w:t>
                    </w:r>
                  </w:p>
                </w:tc>
              </w:tr>
              <w:tr>
                <w:trPr>
                  <w:jc w:val="center"/>
                </w:trPr>
                <w:tc>
                  <w:tcPr>
                    <w:tcW w:w="241" w:type="dxa"/>
                    <w:tcBorders>
                      <w:right w:val="single" w:sz="4" w:space="0" w:color="auto"/>
                    </w:tcBorders>
                  </w:tcPr>
                  <w:p>
                    <w:pPr>
                      <w:rPr>
                        <w:szCs w:val="24"/>
                      </w:rPr>
                    </w:pPr>
                  </w:p>
                </w:tc>
                <w:tc>
                  <w:tcPr>
                    <w:tcW w:w="718" w:type="dxa"/>
                    <w:tcBorders>
                      <w:top w:val="single" w:sz="4" w:space="0" w:color="auto"/>
                      <w:bottom w:val="single" w:sz="4" w:space="0" w:color="auto"/>
                      <w:right w:val="single" w:sz="4" w:space="0" w:color="auto"/>
                    </w:tcBorders>
                  </w:tcPr>
                  <w:p>
                    <w:pPr>
                      <w:jc w:val="center"/>
                      <w:rPr>
                        <w:sz w:val="20"/>
                      </w:rPr>
                    </w:pPr>
                    <w:r>
                      <w:rPr>
                        <w:sz w:val="20"/>
                      </w:rPr>
                      <w:t>1.4.</w:t>
                    </w:r>
                  </w:p>
                </w:tc>
                <w:tc>
                  <w:tcPr>
                    <w:tcW w:w="6839" w:type="dxa"/>
                    <w:tcBorders>
                      <w:top w:val="single" w:sz="4" w:space="0" w:color="auto"/>
                      <w:left w:val="single" w:sz="4" w:space="0" w:color="auto"/>
                      <w:bottom w:val="single" w:sz="4" w:space="0" w:color="auto"/>
                      <w:right w:val="single" w:sz="4" w:space="0" w:color="auto"/>
                    </w:tcBorders>
                  </w:tcPr>
                  <w:p>
                    <w:pPr>
                      <w:rPr>
                        <w:sz w:val="20"/>
                      </w:rPr>
                    </w:pPr>
                    <w:r>
                      <w:rPr>
                        <w:sz w:val="20"/>
                      </w:rPr>
                      <w:t>vaikai su specialiaisiais poreikiais</w:t>
                    </w:r>
                  </w:p>
                </w:tc>
                <w:tc>
                  <w:tcPr>
                    <w:tcW w:w="205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rPr>
                  <w:jc w:val="center"/>
                </w:trPr>
                <w:tc>
                  <w:tcPr>
                    <w:tcW w:w="241" w:type="dxa"/>
                    <w:tcBorders>
                      <w:right w:val="single" w:sz="4" w:space="0" w:color="auto"/>
                    </w:tcBorders>
                  </w:tcPr>
                  <w:p>
                    <w:pPr>
                      <w:rPr>
                        <w:szCs w:val="24"/>
                      </w:rPr>
                    </w:pPr>
                  </w:p>
                </w:tc>
                <w:tc>
                  <w:tcPr>
                    <w:tcW w:w="718" w:type="dxa"/>
                    <w:tcBorders>
                      <w:top w:val="single" w:sz="4" w:space="0" w:color="auto"/>
                      <w:bottom w:val="single" w:sz="4" w:space="0" w:color="auto"/>
                      <w:right w:val="single" w:sz="4" w:space="0" w:color="auto"/>
                    </w:tcBorders>
                  </w:tcPr>
                  <w:p>
                    <w:pPr>
                      <w:jc w:val="center"/>
                      <w:rPr>
                        <w:sz w:val="20"/>
                      </w:rPr>
                    </w:pPr>
                    <w:r>
                      <w:rPr>
                        <w:sz w:val="20"/>
                      </w:rPr>
                      <w:t>1.5.</w:t>
                    </w:r>
                  </w:p>
                </w:tc>
                <w:tc>
                  <w:tcPr>
                    <w:tcW w:w="6839" w:type="dxa"/>
                    <w:tcBorders>
                      <w:top w:val="single" w:sz="4" w:space="0" w:color="auto"/>
                      <w:left w:val="single" w:sz="4" w:space="0" w:color="auto"/>
                      <w:bottom w:val="single" w:sz="4" w:space="0" w:color="auto"/>
                      <w:right w:val="single" w:sz="4" w:space="0" w:color="auto"/>
                    </w:tcBorders>
                  </w:tcPr>
                  <w:p>
                    <w:pPr>
                      <w:rPr>
                        <w:sz w:val="20"/>
                      </w:rPr>
                    </w:pPr>
                    <w:r>
                      <w:rPr>
                        <w:sz w:val="20"/>
                      </w:rPr>
                      <w:t>vaikai, kuriems nustatytas neįgalumas, iš jų:</w:t>
                    </w:r>
                  </w:p>
                </w:tc>
                <w:tc>
                  <w:tcPr>
                    <w:tcW w:w="205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r>
                <w:trPr>
                  <w:jc w:val="center"/>
                </w:trPr>
                <w:tc>
                  <w:tcPr>
                    <w:tcW w:w="241" w:type="dxa"/>
                    <w:tcBorders>
                      <w:right w:val="single" w:sz="4" w:space="0" w:color="auto"/>
                    </w:tcBorders>
                  </w:tcPr>
                  <w:p>
                    <w:pPr>
                      <w:rPr>
                        <w:szCs w:val="24"/>
                      </w:rPr>
                    </w:pPr>
                  </w:p>
                </w:tc>
                <w:tc>
                  <w:tcPr>
                    <w:tcW w:w="718" w:type="dxa"/>
                    <w:tcBorders>
                      <w:top w:val="single" w:sz="4" w:space="0" w:color="auto"/>
                      <w:bottom w:val="single" w:sz="4" w:space="0" w:color="auto"/>
                      <w:right w:val="single" w:sz="4" w:space="0" w:color="auto"/>
                    </w:tcBorders>
                  </w:tcPr>
                  <w:p>
                    <w:pPr>
                      <w:jc w:val="center"/>
                      <w:rPr>
                        <w:sz w:val="20"/>
                      </w:rPr>
                    </w:pPr>
                    <w:r>
                      <w:rPr>
                        <w:sz w:val="20"/>
                      </w:rPr>
                      <w:t>1.5.1.</w:t>
                    </w:r>
                  </w:p>
                </w:tc>
                <w:tc>
                  <w:tcPr>
                    <w:tcW w:w="6839" w:type="dxa"/>
                    <w:tcBorders>
                      <w:top w:val="single" w:sz="4" w:space="0" w:color="auto"/>
                      <w:left w:val="single" w:sz="4" w:space="0" w:color="auto"/>
                      <w:bottom w:val="single" w:sz="4" w:space="0" w:color="auto"/>
                      <w:right w:val="single" w:sz="4" w:space="0" w:color="auto"/>
                    </w:tcBorders>
                  </w:tcPr>
                  <w:p>
                    <w:pPr>
                      <w:rPr>
                        <w:sz w:val="20"/>
                      </w:rPr>
                    </w:pPr>
                    <w:r>
                      <w:rPr>
                        <w:sz w:val="20"/>
                      </w:rPr>
                      <w:t>lengvas</w:t>
                    </w:r>
                  </w:p>
                </w:tc>
                <w:tc>
                  <w:tcPr>
                    <w:tcW w:w="205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w:t>
                    </w:r>
                  </w:p>
                </w:tc>
              </w:tr>
              <w:tr>
                <w:trPr>
                  <w:jc w:val="center"/>
                </w:trPr>
                <w:tc>
                  <w:tcPr>
                    <w:tcW w:w="241" w:type="dxa"/>
                    <w:tcBorders>
                      <w:right w:val="single" w:sz="4" w:space="0" w:color="auto"/>
                    </w:tcBorders>
                  </w:tcPr>
                  <w:p>
                    <w:pPr>
                      <w:rPr>
                        <w:szCs w:val="24"/>
                      </w:rPr>
                    </w:pPr>
                  </w:p>
                </w:tc>
                <w:tc>
                  <w:tcPr>
                    <w:tcW w:w="718" w:type="dxa"/>
                    <w:tcBorders>
                      <w:top w:val="single" w:sz="4" w:space="0" w:color="auto"/>
                      <w:bottom w:val="single" w:sz="4" w:space="0" w:color="auto"/>
                      <w:right w:val="single" w:sz="4" w:space="0" w:color="auto"/>
                    </w:tcBorders>
                  </w:tcPr>
                  <w:p>
                    <w:pPr>
                      <w:jc w:val="center"/>
                      <w:rPr>
                        <w:sz w:val="20"/>
                      </w:rPr>
                    </w:pPr>
                    <w:r>
                      <w:rPr>
                        <w:sz w:val="20"/>
                      </w:rPr>
                      <w:t>1.5.2.</w:t>
                    </w:r>
                  </w:p>
                </w:tc>
                <w:tc>
                  <w:tcPr>
                    <w:tcW w:w="6839"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vidutinis                                                   </w:t>
                    </w:r>
                  </w:p>
                </w:tc>
                <w:tc>
                  <w:tcPr>
                    <w:tcW w:w="205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r>
              <w:tr>
                <w:trPr>
                  <w:jc w:val="center"/>
                </w:trPr>
                <w:tc>
                  <w:tcPr>
                    <w:tcW w:w="241" w:type="dxa"/>
                    <w:tcBorders>
                      <w:right w:val="single" w:sz="4" w:space="0" w:color="auto"/>
                    </w:tcBorders>
                  </w:tcPr>
                  <w:p>
                    <w:pPr>
                      <w:rPr>
                        <w:szCs w:val="24"/>
                      </w:rPr>
                    </w:pPr>
                  </w:p>
                </w:tc>
                <w:tc>
                  <w:tcPr>
                    <w:tcW w:w="718" w:type="dxa"/>
                    <w:tcBorders>
                      <w:top w:val="single" w:sz="4" w:space="0" w:color="auto"/>
                      <w:bottom w:val="single" w:sz="4" w:space="0" w:color="auto"/>
                      <w:right w:val="single" w:sz="4" w:space="0" w:color="auto"/>
                    </w:tcBorders>
                  </w:tcPr>
                  <w:p>
                    <w:pPr>
                      <w:jc w:val="center"/>
                      <w:rPr>
                        <w:sz w:val="20"/>
                      </w:rPr>
                    </w:pPr>
                    <w:r>
                      <w:rPr>
                        <w:sz w:val="20"/>
                      </w:rPr>
                      <w:t>1.5.3.</w:t>
                    </w:r>
                  </w:p>
                </w:tc>
                <w:tc>
                  <w:tcPr>
                    <w:tcW w:w="6839"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sunkus                                                  </w:t>
                    </w:r>
                  </w:p>
                </w:tc>
                <w:tc>
                  <w:tcPr>
                    <w:tcW w:w="205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w:t>
                    </w:r>
                  </w:p>
                </w:tc>
              </w:tr>
            </w:tbl>
            <w:p>
              <w:pPr>
                <w:tabs>
                  <w:tab w:val="left" w:pos="720"/>
                </w:tabs>
                <w:rPr>
                  <w:szCs w:val="24"/>
                </w:rPr>
              </w:pPr>
            </w:p>
            <w:p>
              <w:pPr>
                <w:tabs>
                  <w:tab w:val="left" w:pos="720"/>
                </w:tabs>
                <w:ind w:firstLine="720"/>
                <w:jc w:val="both"/>
                <w:rPr>
                  <w:szCs w:val="24"/>
                </w:rPr>
              </w:pPr>
              <w:r>
                <w:rPr>
                  <w:szCs w:val="24"/>
                </w:rPr>
                <w:t>Socialinė globa 2 vaikams su sunkia negalia perkama Šiaulių vaikų globos namuose „Šaltinis“.</w:t>
              </w:r>
            </w:p>
            <w:p>
              <w:pPr>
                <w:tabs>
                  <w:tab w:val="left" w:pos="851"/>
                </w:tabs>
                <w:ind w:firstLine="851"/>
                <w:rPr>
                  <w:szCs w:val="24"/>
                </w:rPr>
              </w:pPr>
              <w:r>
                <w:rPr>
                  <w:szCs w:val="24"/>
                </w:rPr>
                <w:t>Telšių rajone teikiama a</w:t>
              </w:r>
              <w:r>
                <w:rPr>
                  <w:b/>
                  <w:szCs w:val="24"/>
                </w:rPr>
                <w:t>pgyvendinimo savarankiško gyvenimo namuose, Laikinuose šeimos namuose ir Krizių centre paslaugos, krizių įveikimo pagalba</w:t>
              </w:r>
              <w:r>
                <w:rPr>
                  <w:szCs w:val="24"/>
                </w:rPr>
                <w:t xml:space="preserve">. </w:t>
              </w:r>
            </w:p>
            <w:p>
              <w:pPr>
                <w:tabs>
                  <w:tab w:val="left" w:pos="720"/>
                </w:tabs>
                <w:ind w:firstLine="720"/>
                <w:jc w:val="both"/>
                <w:rPr>
                  <w:szCs w:val="24"/>
                </w:rPr>
              </w:pPr>
              <w:r>
                <w:rPr>
                  <w:szCs w:val="24"/>
                </w:rPr>
                <w:t>Apgyvendinimo savarankiško gyvenimo namuose paslaugas teikia Telšių socialinių paslaugų centro Savarankiško gyvenimo namai (toliau tekste ─ Savarankiški gyvenimo namai), Telšių vaikų globos namų struktūrinis padalinys Laikini šeimos namai (toliau tekste ─ Laikini gyvenimo namai) ir Krizių centras.</w:t>
              </w:r>
            </w:p>
            <w:p>
              <w:pPr>
                <w:tabs>
                  <w:tab w:val="left" w:pos="851"/>
                </w:tabs>
                <w:ind w:firstLine="851"/>
                <w:jc w:val="both"/>
                <w:rPr>
                  <w:color w:val="000000"/>
                  <w:szCs w:val="24"/>
                  <w:lang w:eastAsia="lt-LT"/>
                </w:rPr>
              </w:pPr>
              <w:r>
                <w:rPr>
                  <w:szCs w:val="24"/>
                </w:rPr>
                <w:t xml:space="preserve">Laikinuose šeimos namuose paslaugos pradėtos teikti nuo 2015 m. pradžios. Paslaugos teikiamos socialinės rizikos šeimoms su nepilnamečiais vaikais. Tai daugybę socialinių problemų turinčios mamos, kurios savarankiškai negali gyventi ir auginti vaikų. Pagrindinės šių šeimų problemos: neturi nuolatinės gyvenamosios vietos, vienišos, turi negalią, yra patyrusios smurtą, neturi socialinių įgūdžių Žemiau </w:t>
              </w:r>
              <w:r>
                <w:rPr>
                  <w:color w:val="000000"/>
                  <w:szCs w:val="24"/>
                  <w:lang w:eastAsia="lt-LT"/>
                </w:rPr>
                <w:t>pateikiama suteiktų apgyvendinimo paslaugų statistika pagal gyventojų grupes ir įstaigas.</w:t>
              </w:r>
              <w:r>
                <w:rPr>
                  <w:szCs w:val="24"/>
                  <w:vertAlign w:val="superscript"/>
                </w:rPr>
                <w:t xml:space="preserve"> </w:t>
                <w:footnoteReference w:id="24"/>
              </w:r>
              <w:r>
                <w:rPr>
                  <w:color w:val="000000"/>
                  <w:szCs w:val="24"/>
                  <w:lang w:eastAsia="lt-LT"/>
                </w:rPr>
                <w:t xml:space="preserve"> </w:t>
              </w:r>
            </w:p>
            <w:p>
              <w:pPr>
                <w:tabs>
                  <w:tab w:val="left" w:pos="851"/>
                </w:tabs>
                <w:jc w:val="both"/>
                <w:rPr>
                  <w:color w:val="000000"/>
                  <w:szCs w:val="24"/>
                  <w:lang w:eastAsia="lt-LT"/>
                </w:rPr>
              </w:pPr>
            </w:p>
          </w:sdtContent>
        </w:sdt>
        <w:sdt>
          <w:sdtPr>
            <w:alias w:val="poskyris"/>
            <w:tag w:val="part_df1529e68a844955a2289c25f18579e9"/>
            <w:lock w:val="sdtLocked"/>
            <w:richText/>
          </w:sdtPr>
          <w:sdtContent>
            <w:p>
              <w:pPr>
                <w:ind w:firstLine="726"/>
                <w:jc w:val="both"/>
                <w:rPr>
                  <w:b/>
                  <w:szCs w:val="24"/>
                  <w:lang w:eastAsia="lt-LT"/>
                </w:rPr>
              </w:pPr>
              <w:sdt>
                <w:sdtPr>
                  <w:alias w:val="Pavadinimas"/>
                  <w:tag w:val="title_df1529e68a844955a2289c25f18579e9"/>
                  <w:lock w:val="sdtLocked"/>
                  <w:richText/>
                </w:sdtPr>
                <w:sdtContent>
                  <w:r>
                    <w:rPr>
                      <w:b/>
                      <w:color w:val="000000"/>
                      <w:szCs w:val="24"/>
                      <w:lang w:eastAsia="lt-LT"/>
                    </w:rPr>
                    <w:t xml:space="preserve">Savarankiško gyvenimo namuose suteiktų paslaugų statistika 2014–2016 m. </w:t>
                  </w:r>
                </w:sdtContent>
              </w:sdt>
            </w:p>
            <w:tbl>
              <w:tblPr>
                <w:tblW w:w="9813" w:type="dxa"/>
                <w:jc w:val="center"/>
                <w:tblCellMar>
                  <w:top w:w="15" w:type="dxa"/>
                  <w:left w:w="15" w:type="dxa"/>
                  <w:bottom w:w="15" w:type="dxa"/>
                  <w:right w:w="15" w:type="dxa"/>
                </w:tblCellMar>
                <w:tblLook w:val="04A0" w:firstRow="1" w:lastRow="0" w:firstColumn="1" w:lastColumn="0" w:noHBand="0" w:noVBand="1"/>
              </w:tblPr>
              <w:tblGrid>
                <w:gridCol w:w="2215"/>
                <w:gridCol w:w="979"/>
                <w:gridCol w:w="1005"/>
                <w:gridCol w:w="851"/>
                <w:gridCol w:w="850"/>
                <w:gridCol w:w="992"/>
                <w:gridCol w:w="851"/>
                <w:gridCol w:w="1134"/>
                <w:gridCol w:w="936"/>
              </w:tblGrid>
              <w:tr>
                <w:trPr>
                  <w:jc w:val="center"/>
                </w:trPr>
                <w:tc>
                  <w:tcPr>
                    <w:tcW w:w="2215" w:type="dxa"/>
                    <w:vMerge w:val="restart"/>
                    <w:tcBorders>
                      <w:top w:val="single" w:sz="4" w:space="0" w:color="000000"/>
                      <w:left w:val="single" w:sz="4" w:space="0" w:color="000000"/>
                      <w:bottom w:val="single" w:sz="4" w:space="0" w:color="000000"/>
                      <w:right w:val="single" w:sz="4" w:space="0" w:color="000000"/>
                      <w:tl2br w:val="single" w:sz="4" w:space="0" w:color="auto"/>
                    </w:tcBorders>
                    <w:shd w:val="pct5" w:color="auto" w:fill="auto"/>
                    <w:tcMar>
                      <w:top w:w="0" w:type="dxa"/>
                      <w:left w:w="88" w:type="dxa"/>
                      <w:bottom w:w="0" w:type="dxa"/>
                      <w:right w:w="88" w:type="dxa"/>
                    </w:tcMar>
                  </w:tcPr>
                  <w:p>
                    <w:pPr>
                      <w:ind w:firstLine="1325"/>
                      <w:rPr>
                        <w:b/>
                        <w:bCs/>
                        <w:color w:val="000000"/>
                        <w:sz w:val="20"/>
                        <w:lang w:eastAsia="lt-LT"/>
                      </w:rPr>
                    </w:pPr>
                    <w:r>
                      <w:rPr>
                        <w:b/>
                        <w:bCs/>
                        <w:color w:val="000000"/>
                        <w:sz w:val="20"/>
                        <w:lang w:eastAsia="lt-LT"/>
                      </w:rPr>
                      <w:t>Įstaiga</w:t>
                    </w:r>
                  </w:p>
                  <w:p>
                    <w:pPr>
                      <w:rPr>
                        <w:b/>
                        <w:bCs/>
                        <w:color w:val="000000"/>
                        <w:sz w:val="20"/>
                        <w:lang w:eastAsia="lt-LT"/>
                      </w:rPr>
                    </w:pPr>
                  </w:p>
                  <w:p>
                    <w:pPr>
                      <w:rPr>
                        <w:b/>
                        <w:bCs/>
                        <w:color w:val="000000"/>
                        <w:sz w:val="20"/>
                        <w:lang w:eastAsia="lt-LT"/>
                      </w:rPr>
                    </w:pPr>
                  </w:p>
                  <w:p>
                    <w:pPr>
                      <w:rPr>
                        <w:b/>
                        <w:bCs/>
                        <w:color w:val="000000"/>
                        <w:sz w:val="20"/>
                        <w:lang w:eastAsia="lt-LT"/>
                      </w:rPr>
                    </w:pPr>
                    <w:r>
                      <w:rPr>
                        <w:b/>
                        <w:bCs/>
                        <w:color w:val="000000"/>
                        <w:sz w:val="20"/>
                        <w:lang w:eastAsia="lt-LT"/>
                      </w:rPr>
                      <w:t>Gavėjai / Metai</w:t>
                    </w:r>
                  </w:p>
                </w:tc>
                <w:tc>
                  <w:tcPr>
                    <w:tcW w:w="2835" w:type="dxa"/>
                    <w:gridSpan w:val="3"/>
                    <w:tcBorders>
                      <w:top w:val="single" w:sz="4" w:space="0" w:color="000000"/>
                      <w:left w:val="single" w:sz="4" w:space="0" w:color="000000"/>
                      <w:bottom w:val="single" w:sz="4" w:space="0" w:color="000000"/>
                      <w:right w:val="single" w:sz="4" w:space="0" w:color="000000"/>
                    </w:tcBorders>
                    <w:shd w:val="pct5" w:color="auto" w:fill="auto"/>
                    <w:tcMar>
                      <w:top w:w="0" w:type="dxa"/>
                      <w:left w:w="88" w:type="dxa"/>
                      <w:bottom w:w="0" w:type="dxa"/>
                      <w:right w:w="88" w:type="dxa"/>
                    </w:tcMar>
                    <w:vAlign w:val="center"/>
                  </w:tcPr>
                  <w:p>
                    <w:pPr>
                      <w:jc w:val="center"/>
                      <w:rPr>
                        <w:szCs w:val="24"/>
                        <w:lang w:eastAsia="lt-LT"/>
                      </w:rPr>
                    </w:pPr>
                    <w:r>
                      <w:rPr>
                        <w:b/>
                        <w:bCs/>
                        <w:color w:val="000000"/>
                        <w:sz w:val="20"/>
                        <w:lang w:eastAsia="lt-LT"/>
                      </w:rPr>
                      <w:t>Telšių socialinių paslaugų centro Savarankiško gyvenimo namai</w:t>
                    </w:r>
                  </w:p>
                </w:tc>
                <w:tc>
                  <w:tcPr>
                    <w:tcW w:w="2693" w:type="dxa"/>
                    <w:gridSpan w:val="3"/>
                    <w:tcBorders>
                      <w:top w:val="single" w:sz="4" w:space="0" w:color="000000"/>
                      <w:left w:val="single" w:sz="4" w:space="0" w:color="000000"/>
                      <w:bottom w:val="single" w:sz="4" w:space="0" w:color="000000"/>
                      <w:right w:val="single" w:sz="4" w:space="0" w:color="000000"/>
                    </w:tcBorders>
                    <w:shd w:val="pct5" w:color="auto" w:fill="auto"/>
                    <w:tcMar>
                      <w:top w:w="0" w:type="dxa"/>
                      <w:left w:w="88" w:type="dxa"/>
                      <w:bottom w:w="0" w:type="dxa"/>
                      <w:right w:w="88" w:type="dxa"/>
                    </w:tcMar>
                    <w:vAlign w:val="center"/>
                  </w:tcPr>
                  <w:p>
                    <w:pPr>
                      <w:jc w:val="center"/>
                      <w:rPr>
                        <w:szCs w:val="24"/>
                        <w:lang w:eastAsia="lt-LT"/>
                      </w:rPr>
                    </w:pPr>
                    <w:r>
                      <w:rPr>
                        <w:b/>
                        <w:bCs/>
                        <w:color w:val="000000"/>
                        <w:sz w:val="20"/>
                        <w:lang w:eastAsia="lt-LT"/>
                      </w:rPr>
                      <w:t>Telšių Krizių centras</w:t>
                    </w:r>
                  </w:p>
                </w:tc>
                <w:tc>
                  <w:tcPr>
                    <w:tcW w:w="2070" w:type="dxa"/>
                    <w:gridSpan w:val="2"/>
                    <w:tcBorders>
                      <w:top w:val="single" w:sz="4" w:space="0" w:color="000000"/>
                      <w:left w:val="single" w:sz="4" w:space="0" w:color="000000"/>
                      <w:bottom w:val="single" w:sz="4" w:space="0" w:color="000000"/>
                      <w:right w:val="single" w:sz="4" w:space="0" w:color="000000"/>
                    </w:tcBorders>
                    <w:shd w:val="pct5" w:color="auto" w:fill="auto"/>
                    <w:tcMar>
                      <w:top w:w="0" w:type="dxa"/>
                      <w:left w:w="88" w:type="dxa"/>
                      <w:bottom w:w="0" w:type="dxa"/>
                      <w:right w:w="88" w:type="dxa"/>
                    </w:tcMar>
                    <w:vAlign w:val="center"/>
                  </w:tcPr>
                  <w:p>
                    <w:pPr>
                      <w:jc w:val="center"/>
                      <w:rPr>
                        <w:b/>
                        <w:bCs/>
                        <w:color w:val="000000"/>
                        <w:sz w:val="20"/>
                        <w:lang w:eastAsia="lt-LT"/>
                      </w:rPr>
                    </w:pPr>
                    <w:r>
                      <w:rPr>
                        <w:b/>
                        <w:bCs/>
                        <w:color w:val="000000"/>
                        <w:sz w:val="20"/>
                        <w:lang w:eastAsia="lt-LT"/>
                      </w:rPr>
                      <w:t>Telšių vaikų globos namų Laikini šeimos namai</w:t>
                    </w:r>
                  </w:p>
                </w:tc>
              </w:tr>
              <w:tr>
                <w:trPr>
                  <w:jc w:val="center"/>
                </w:trPr>
                <w:tc>
                  <w:tcPr>
                    <w:tcW w:w="2215" w:type="dxa"/>
                    <w:vMerge/>
                    <w:tcBorders>
                      <w:left w:val="single" w:sz="4" w:space="0" w:color="000000"/>
                      <w:bottom w:val="single" w:sz="4" w:space="0" w:color="000000"/>
                      <w:right w:val="single" w:sz="4" w:space="0" w:color="000000"/>
                      <w:tl2br w:val="single" w:sz="4" w:space="0" w:color="auto"/>
                    </w:tcBorders>
                    <w:shd w:val="pct5" w:color="auto" w:fill="auto"/>
                    <w:tcMar>
                      <w:top w:w="0" w:type="dxa"/>
                      <w:left w:w="88" w:type="dxa"/>
                      <w:bottom w:w="0" w:type="dxa"/>
                      <w:right w:w="88" w:type="dxa"/>
                    </w:tcMar>
                  </w:tcPr>
                  <w:p>
                    <w:pPr>
                      <w:rPr>
                        <w:sz w:val="1"/>
                        <w:szCs w:val="24"/>
                        <w:lang w:eastAsia="lt-LT"/>
                      </w:rPr>
                    </w:pPr>
                  </w:p>
                </w:tc>
                <w:tc>
                  <w:tcPr>
                    <w:tcW w:w="979" w:type="dxa"/>
                    <w:tcBorders>
                      <w:top w:val="single" w:sz="4" w:space="0" w:color="000000"/>
                      <w:left w:val="single" w:sz="4" w:space="0" w:color="000000"/>
                      <w:bottom w:val="single" w:sz="4" w:space="0" w:color="000000"/>
                      <w:right w:val="single" w:sz="4" w:space="0" w:color="000000"/>
                    </w:tcBorders>
                    <w:shd w:val="pct5" w:color="auto" w:fill="auto"/>
                    <w:tcMar>
                      <w:top w:w="0" w:type="dxa"/>
                      <w:left w:w="88" w:type="dxa"/>
                      <w:bottom w:w="0" w:type="dxa"/>
                      <w:right w:w="88" w:type="dxa"/>
                    </w:tcMar>
                  </w:tcPr>
                  <w:p>
                    <w:pPr>
                      <w:jc w:val="center"/>
                      <w:rPr>
                        <w:szCs w:val="24"/>
                        <w:lang w:eastAsia="lt-LT"/>
                      </w:rPr>
                    </w:pPr>
                    <w:r>
                      <w:rPr>
                        <w:b/>
                        <w:bCs/>
                        <w:color w:val="000000"/>
                        <w:sz w:val="20"/>
                        <w:lang w:eastAsia="lt-LT"/>
                      </w:rPr>
                      <w:t>2014</w:t>
                    </w:r>
                  </w:p>
                </w:tc>
                <w:tc>
                  <w:tcPr>
                    <w:tcW w:w="1005" w:type="dxa"/>
                    <w:tcBorders>
                      <w:top w:val="single" w:sz="4" w:space="0" w:color="000000"/>
                      <w:left w:val="single" w:sz="4" w:space="0" w:color="000000"/>
                      <w:bottom w:val="single" w:sz="4" w:space="0" w:color="000000"/>
                      <w:right w:val="single" w:sz="4" w:space="0" w:color="000000"/>
                    </w:tcBorders>
                    <w:shd w:val="pct5" w:color="auto" w:fill="auto"/>
                    <w:tcMar>
                      <w:top w:w="0" w:type="dxa"/>
                      <w:left w:w="88" w:type="dxa"/>
                      <w:bottom w:w="0" w:type="dxa"/>
                      <w:right w:w="88" w:type="dxa"/>
                    </w:tcMar>
                  </w:tcPr>
                  <w:p>
                    <w:pPr>
                      <w:jc w:val="center"/>
                      <w:rPr>
                        <w:szCs w:val="24"/>
                        <w:lang w:eastAsia="lt-LT"/>
                      </w:rPr>
                    </w:pPr>
                    <w:r>
                      <w:rPr>
                        <w:b/>
                        <w:bCs/>
                        <w:color w:val="000000"/>
                        <w:sz w:val="20"/>
                        <w:lang w:eastAsia="lt-LT"/>
                      </w:rPr>
                      <w:t xml:space="preserve">2015 </w:t>
                    </w:r>
                  </w:p>
                </w:tc>
                <w:tc>
                  <w:tcPr>
                    <w:tcW w:w="851" w:type="dxa"/>
                    <w:tcBorders>
                      <w:top w:val="single" w:sz="4" w:space="0" w:color="000000"/>
                      <w:left w:val="single" w:sz="4" w:space="0" w:color="000000"/>
                      <w:bottom w:val="single" w:sz="4" w:space="0" w:color="000000"/>
                      <w:right w:val="single" w:sz="4" w:space="0" w:color="000000"/>
                    </w:tcBorders>
                    <w:shd w:val="pct5" w:color="auto" w:fill="auto"/>
                    <w:tcMar>
                      <w:top w:w="0" w:type="dxa"/>
                      <w:left w:w="88" w:type="dxa"/>
                      <w:bottom w:w="0" w:type="dxa"/>
                      <w:right w:w="88" w:type="dxa"/>
                    </w:tcMar>
                  </w:tcPr>
                  <w:p>
                    <w:pPr>
                      <w:jc w:val="center"/>
                      <w:rPr>
                        <w:szCs w:val="24"/>
                        <w:lang w:eastAsia="lt-LT"/>
                      </w:rPr>
                    </w:pPr>
                    <w:r>
                      <w:rPr>
                        <w:b/>
                        <w:bCs/>
                        <w:sz w:val="20"/>
                        <w:lang w:eastAsia="lt-LT"/>
                      </w:rPr>
                      <w:t xml:space="preserve">2016 </w:t>
                    </w:r>
                  </w:p>
                </w:tc>
                <w:tc>
                  <w:tcPr>
                    <w:tcW w:w="850" w:type="dxa"/>
                    <w:tcBorders>
                      <w:top w:val="single" w:sz="4" w:space="0" w:color="000000"/>
                      <w:left w:val="single" w:sz="4" w:space="0" w:color="000000"/>
                      <w:bottom w:val="single" w:sz="4" w:space="0" w:color="000000"/>
                      <w:right w:val="single" w:sz="4" w:space="0" w:color="000000"/>
                    </w:tcBorders>
                    <w:shd w:val="pct5" w:color="auto" w:fill="auto"/>
                    <w:tcMar>
                      <w:top w:w="0" w:type="dxa"/>
                      <w:left w:w="88" w:type="dxa"/>
                      <w:bottom w:w="0" w:type="dxa"/>
                      <w:right w:w="88" w:type="dxa"/>
                    </w:tcMar>
                  </w:tcPr>
                  <w:p>
                    <w:pPr>
                      <w:jc w:val="center"/>
                      <w:rPr>
                        <w:szCs w:val="24"/>
                        <w:lang w:eastAsia="lt-LT"/>
                      </w:rPr>
                    </w:pPr>
                    <w:r>
                      <w:rPr>
                        <w:b/>
                        <w:bCs/>
                        <w:sz w:val="20"/>
                        <w:lang w:eastAsia="lt-LT"/>
                      </w:rPr>
                      <w:t xml:space="preserve">2014 </w:t>
                    </w:r>
                  </w:p>
                </w:tc>
                <w:tc>
                  <w:tcPr>
                    <w:tcW w:w="992" w:type="dxa"/>
                    <w:tcBorders>
                      <w:top w:val="single" w:sz="4" w:space="0" w:color="000000"/>
                      <w:left w:val="single" w:sz="4" w:space="0" w:color="000000"/>
                      <w:bottom w:val="single" w:sz="4" w:space="0" w:color="000000"/>
                      <w:right w:val="single" w:sz="4" w:space="0" w:color="000000"/>
                    </w:tcBorders>
                    <w:shd w:val="pct5" w:color="auto" w:fill="auto"/>
                    <w:tcMar>
                      <w:top w:w="0" w:type="dxa"/>
                      <w:left w:w="88" w:type="dxa"/>
                      <w:bottom w:w="0" w:type="dxa"/>
                      <w:right w:w="88" w:type="dxa"/>
                    </w:tcMar>
                  </w:tcPr>
                  <w:p>
                    <w:pPr>
                      <w:jc w:val="center"/>
                      <w:rPr>
                        <w:szCs w:val="24"/>
                        <w:lang w:eastAsia="lt-LT"/>
                      </w:rPr>
                    </w:pPr>
                    <w:r>
                      <w:rPr>
                        <w:b/>
                        <w:bCs/>
                        <w:sz w:val="20"/>
                        <w:lang w:eastAsia="lt-LT"/>
                      </w:rPr>
                      <w:t xml:space="preserve">2015 </w:t>
                    </w:r>
                  </w:p>
                </w:tc>
                <w:tc>
                  <w:tcPr>
                    <w:tcW w:w="851" w:type="dxa"/>
                    <w:tcBorders>
                      <w:top w:val="single" w:sz="4" w:space="0" w:color="000000"/>
                      <w:left w:val="single" w:sz="4" w:space="0" w:color="000000"/>
                      <w:bottom w:val="single" w:sz="4" w:space="0" w:color="000000"/>
                      <w:right w:val="single" w:sz="4" w:space="0" w:color="000000"/>
                    </w:tcBorders>
                    <w:shd w:val="pct5" w:color="auto" w:fill="auto"/>
                    <w:tcMar>
                      <w:top w:w="0" w:type="dxa"/>
                      <w:left w:w="88" w:type="dxa"/>
                      <w:bottom w:w="0" w:type="dxa"/>
                      <w:right w:w="88" w:type="dxa"/>
                    </w:tcMar>
                  </w:tcPr>
                  <w:p>
                    <w:pPr>
                      <w:jc w:val="center"/>
                      <w:rPr>
                        <w:szCs w:val="24"/>
                        <w:lang w:eastAsia="lt-LT"/>
                      </w:rPr>
                    </w:pPr>
                    <w:r>
                      <w:rPr>
                        <w:b/>
                        <w:bCs/>
                        <w:sz w:val="20"/>
                        <w:lang w:eastAsia="lt-LT"/>
                      </w:rPr>
                      <w:t xml:space="preserve">2016 </w:t>
                    </w:r>
                  </w:p>
                </w:tc>
                <w:tc>
                  <w:tcPr>
                    <w:tcW w:w="1134" w:type="dxa"/>
                    <w:tcBorders>
                      <w:top w:val="single" w:sz="4" w:space="0" w:color="000000"/>
                      <w:left w:val="single" w:sz="4" w:space="0" w:color="000000"/>
                      <w:bottom w:val="single" w:sz="4" w:space="0" w:color="000000"/>
                      <w:right w:val="single" w:sz="4" w:space="0" w:color="000000"/>
                    </w:tcBorders>
                    <w:shd w:val="pct5" w:color="auto" w:fill="auto"/>
                    <w:tcMar>
                      <w:top w:w="0" w:type="dxa"/>
                      <w:left w:w="88" w:type="dxa"/>
                      <w:bottom w:w="0" w:type="dxa"/>
                      <w:right w:w="88" w:type="dxa"/>
                    </w:tcMar>
                  </w:tcPr>
                  <w:p>
                    <w:pPr>
                      <w:jc w:val="center"/>
                      <w:rPr>
                        <w:szCs w:val="24"/>
                        <w:lang w:eastAsia="lt-LT"/>
                      </w:rPr>
                    </w:pPr>
                    <w:r>
                      <w:rPr>
                        <w:b/>
                        <w:bCs/>
                        <w:sz w:val="20"/>
                        <w:lang w:eastAsia="lt-LT"/>
                      </w:rPr>
                      <w:t>2015</w:t>
                    </w:r>
                  </w:p>
                </w:tc>
                <w:tc>
                  <w:tcPr>
                    <w:tcW w:w="936" w:type="dxa"/>
                    <w:tcBorders>
                      <w:top w:val="single" w:sz="4" w:space="0" w:color="000000"/>
                      <w:left w:val="single" w:sz="4" w:space="0" w:color="000000"/>
                      <w:bottom w:val="single" w:sz="4" w:space="0" w:color="000000"/>
                      <w:right w:val="single" w:sz="4" w:space="0" w:color="000000"/>
                    </w:tcBorders>
                    <w:shd w:val="pct5" w:color="auto" w:fill="auto"/>
                  </w:tcPr>
                  <w:p>
                    <w:pPr>
                      <w:jc w:val="center"/>
                      <w:rPr>
                        <w:b/>
                        <w:bCs/>
                        <w:sz w:val="20"/>
                        <w:lang w:eastAsia="lt-LT"/>
                      </w:rPr>
                    </w:pPr>
                    <w:r>
                      <w:rPr>
                        <w:b/>
                        <w:bCs/>
                        <w:sz w:val="20"/>
                        <w:lang w:eastAsia="lt-LT"/>
                      </w:rPr>
                      <w:t>2016</w:t>
                    </w:r>
                  </w:p>
                </w:tc>
              </w:tr>
              <w:tr>
                <w:trPr>
                  <w:jc w:val="center"/>
                </w:trPr>
                <w:tc>
                  <w:tcPr>
                    <w:tcW w:w="221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rPr>
                        <w:szCs w:val="24"/>
                        <w:lang w:eastAsia="lt-LT"/>
                      </w:rPr>
                    </w:pPr>
                    <w:r>
                      <w:rPr>
                        <w:b/>
                        <w:bCs/>
                        <w:color w:val="000000"/>
                        <w:sz w:val="20"/>
                        <w:lang w:eastAsia="lt-LT"/>
                      </w:rPr>
                      <w:t>Vietų skaičius įstaigoje</w:t>
                    </w:r>
                  </w:p>
                </w:tc>
                <w:tc>
                  <w:tcPr>
                    <w:tcW w:w="979"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jc w:val="center"/>
                      <w:rPr>
                        <w:szCs w:val="24"/>
                        <w:lang w:eastAsia="lt-LT"/>
                      </w:rPr>
                    </w:pPr>
                    <w:r>
                      <w:rPr>
                        <w:b/>
                        <w:bCs/>
                        <w:color w:val="000000"/>
                        <w:sz w:val="20"/>
                        <w:lang w:eastAsia="lt-LT"/>
                      </w:rPr>
                      <w:t>11</w:t>
                    </w:r>
                  </w:p>
                </w:tc>
                <w:tc>
                  <w:tcPr>
                    <w:tcW w:w="100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jc w:val="center"/>
                      <w:rPr>
                        <w:szCs w:val="24"/>
                        <w:lang w:eastAsia="lt-LT"/>
                      </w:rPr>
                    </w:pPr>
                    <w:r>
                      <w:rPr>
                        <w:b/>
                        <w:bCs/>
                        <w:color w:val="000000"/>
                        <w:sz w:val="20"/>
                        <w:lang w:eastAsia="lt-LT"/>
                      </w:rPr>
                      <w:t>11</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jc w:val="center"/>
                      <w:rPr>
                        <w:sz w:val="20"/>
                        <w:lang w:eastAsia="lt-LT"/>
                      </w:rPr>
                    </w:pPr>
                    <w:r>
                      <w:rPr>
                        <w:sz w:val="20"/>
                        <w:lang w:eastAsia="lt-LT"/>
                      </w:rPr>
                      <w:t>11</w:t>
                    </w:r>
                  </w:p>
                </w:tc>
                <w:tc>
                  <w:tcPr>
                    <w:tcW w:w="850"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jc w:val="center"/>
                      <w:rPr>
                        <w:sz w:val="20"/>
                        <w:lang w:eastAsia="lt-LT"/>
                      </w:rPr>
                    </w:pPr>
                    <w:r>
                      <w:rPr>
                        <w:b/>
                        <w:bCs/>
                        <w:color w:val="000000"/>
                        <w:sz w:val="20"/>
                        <w:lang w:eastAsia="lt-LT"/>
                      </w:rPr>
                      <w:t>4</w:t>
                    </w:r>
                  </w:p>
                </w:tc>
                <w:tc>
                  <w:tcPr>
                    <w:tcW w:w="992"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jc w:val="center"/>
                      <w:rPr>
                        <w:sz w:val="20"/>
                        <w:lang w:eastAsia="lt-LT"/>
                      </w:rPr>
                    </w:pPr>
                    <w:r>
                      <w:rPr>
                        <w:b/>
                        <w:bCs/>
                        <w:color w:val="000000"/>
                        <w:sz w:val="20"/>
                        <w:lang w:eastAsia="lt-LT"/>
                      </w:rPr>
                      <w:t>4</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jc w:val="center"/>
                      <w:rPr>
                        <w:sz w:val="20"/>
                        <w:lang w:eastAsia="lt-LT"/>
                      </w:rPr>
                    </w:pPr>
                  </w:p>
                </w:tc>
                <w:tc>
                  <w:tcPr>
                    <w:tcW w:w="1134"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jc w:val="center"/>
                      <w:rPr>
                        <w:sz w:val="20"/>
                        <w:lang w:eastAsia="lt-LT"/>
                      </w:rPr>
                    </w:pPr>
                    <w:r>
                      <w:rPr>
                        <w:b/>
                        <w:bCs/>
                        <w:color w:val="000000"/>
                        <w:sz w:val="20"/>
                        <w:lang w:eastAsia="lt-LT"/>
                      </w:rPr>
                      <w:t>18</w:t>
                    </w:r>
                  </w:p>
                </w:tc>
                <w:tc>
                  <w:tcPr>
                    <w:tcW w:w="936" w:type="dxa"/>
                    <w:tcBorders>
                      <w:top w:val="single" w:sz="4" w:space="0" w:color="000000"/>
                      <w:left w:val="single" w:sz="4" w:space="0" w:color="000000"/>
                      <w:bottom w:val="single" w:sz="4" w:space="0" w:color="000000"/>
                      <w:right w:val="single" w:sz="4" w:space="0" w:color="000000"/>
                    </w:tcBorders>
                  </w:tcPr>
                  <w:p>
                    <w:pPr>
                      <w:jc w:val="center"/>
                      <w:rPr>
                        <w:b/>
                        <w:bCs/>
                        <w:color w:val="000000"/>
                        <w:sz w:val="20"/>
                        <w:lang w:eastAsia="lt-LT"/>
                      </w:rPr>
                    </w:pPr>
                    <w:r>
                      <w:rPr>
                        <w:b/>
                        <w:bCs/>
                        <w:color w:val="000000"/>
                        <w:sz w:val="20"/>
                        <w:lang w:eastAsia="lt-LT"/>
                      </w:rPr>
                      <w:t>18</w:t>
                    </w:r>
                  </w:p>
                </w:tc>
              </w:tr>
              <w:tr>
                <w:trPr>
                  <w:jc w:val="center"/>
                </w:trPr>
                <w:tc>
                  <w:tcPr>
                    <w:tcW w:w="221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rPr>
                        <w:szCs w:val="24"/>
                        <w:lang w:eastAsia="lt-LT"/>
                      </w:rPr>
                    </w:pPr>
                    <w:r>
                      <w:rPr>
                        <w:b/>
                        <w:bCs/>
                        <w:color w:val="000000"/>
                        <w:sz w:val="20"/>
                        <w:lang w:eastAsia="lt-LT"/>
                      </w:rPr>
                      <w:t>Iš viso asmenų, iš jų:</w:t>
                    </w:r>
                  </w:p>
                </w:tc>
                <w:tc>
                  <w:tcPr>
                    <w:tcW w:w="979"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28</w:t>
                    </w:r>
                  </w:p>
                </w:tc>
                <w:tc>
                  <w:tcPr>
                    <w:tcW w:w="100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32</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24</w:t>
                    </w:r>
                  </w:p>
                </w:tc>
                <w:tc>
                  <w:tcPr>
                    <w:tcW w:w="850"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21</w:t>
                    </w:r>
                  </w:p>
                </w:tc>
                <w:tc>
                  <w:tcPr>
                    <w:tcW w:w="992"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3</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11</w:t>
                    </w:r>
                  </w:p>
                </w:tc>
                <w:tc>
                  <w:tcPr>
                    <w:tcW w:w="1134"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39</w:t>
                    </w:r>
                  </w:p>
                </w:tc>
                <w:tc>
                  <w:tcPr>
                    <w:tcW w:w="936" w:type="dxa"/>
                    <w:tcBorders>
                      <w:top w:val="single" w:sz="4" w:space="0" w:color="000000"/>
                      <w:left w:val="single" w:sz="4" w:space="0" w:color="000000"/>
                      <w:bottom w:val="single" w:sz="4" w:space="0" w:color="000000"/>
                      <w:right w:val="single" w:sz="4" w:space="0" w:color="000000"/>
                    </w:tcBorders>
                  </w:tcPr>
                  <w:p>
                    <w:pPr>
                      <w:jc w:val="center"/>
                      <w:rPr>
                        <w:color w:val="000000"/>
                        <w:sz w:val="20"/>
                        <w:lang w:eastAsia="lt-LT"/>
                      </w:rPr>
                    </w:pPr>
                    <w:r>
                      <w:rPr>
                        <w:color w:val="000000"/>
                        <w:sz w:val="20"/>
                        <w:lang w:eastAsia="lt-LT"/>
                      </w:rPr>
                      <w:t>34</w:t>
                    </w:r>
                  </w:p>
                </w:tc>
              </w:tr>
              <w:tr>
                <w:trPr>
                  <w:jc w:val="center"/>
                </w:trPr>
                <w:tc>
                  <w:tcPr>
                    <w:tcW w:w="221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rPr>
                        <w:szCs w:val="24"/>
                        <w:lang w:eastAsia="lt-LT"/>
                      </w:rPr>
                    </w:pPr>
                    <w:r>
                      <w:rPr>
                        <w:color w:val="000000"/>
                        <w:sz w:val="20"/>
                        <w:lang w:eastAsia="lt-LT"/>
                      </w:rPr>
                      <w:t>Suaugę asmenys</w:t>
                    </w:r>
                  </w:p>
                </w:tc>
                <w:tc>
                  <w:tcPr>
                    <w:tcW w:w="979"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10</w:t>
                    </w:r>
                  </w:p>
                </w:tc>
                <w:tc>
                  <w:tcPr>
                    <w:tcW w:w="100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18</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17</w:t>
                    </w:r>
                  </w:p>
                </w:tc>
                <w:tc>
                  <w:tcPr>
                    <w:tcW w:w="850"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7</w:t>
                    </w:r>
                  </w:p>
                </w:tc>
                <w:tc>
                  <w:tcPr>
                    <w:tcW w:w="992"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3</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4</w:t>
                    </w:r>
                  </w:p>
                </w:tc>
                <w:tc>
                  <w:tcPr>
                    <w:tcW w:w="1134"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13</w:t>
                    </w:r>
                  </w:p>
                </w:tc>
                <w:tc>
                  <w:tcPr>
                    <w:tcW w:w="936" w:type="dxa"/>
                    <w:tcBorders>
                      <w:top w:val="single" w:sz="4" w:space="0" w:color="000000"/>
                      <w:left w:val="single" w:sz="4" w:space="0" w:color="000000"/>
                      <w:bottom w:val="single" w:sz="4" w:space="0" w:color="000000"/>
                      <w:right w:val="single" w:sz="4" w:space="0" w:color="000000"/>
                    </w:tcBorders>
                  </w:tcPr>
                  <w:p>
                    <w:pPr>
                      <w:jc w:val="center"/>
                      <w:rPr>
                        <w:color w:val="000000"/>
                        <w:sz w:val="20"/>
                        <w:lang w:eastAsia="lt-LT"/>
                      </w:rPr>
                    </w:pPr>
                    <w:r>
                      <w:rPr>
                        <w:color w:val="000000"/>
                        <w:sz w:val="20"/>
                        <w:lang w:eastAsia="lt-LT"/>
                      </w:rPr>
                      <w:t>15</w:t>
                    </w:r>
                  </w:p>
                </w:tc>
              </w:tr>
              <w:tr>
                <w:trPr>
                  <w:jc w:val="center"/>
                </w:trPr>
                <w:tc>
                  <w:tcPr>
                    <w:tcW w:w="221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rPr>
                        <w:szCs w:val="24"/>
                        <w:lang w:eastAsia="lt-LT"/>
                      </w:rPr>
                    </w:pPr>
                    <w:r>
                      <w:rPr>
                        <w:color w:val="000000"/>
                        <w:sz w:val="20"/>
                        <w:lang w:eastAsia="lt-LT"/>
                      </w:rPr>
                      <w:t>Vaikai</w:t>
                    </w:r>
                  </w:p>
                </w:tc>
                <w:tc>
                  <w:tcPr>
                    <w:tcW w:w="979"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18</w:t>
                    </w:r>
                  </w:p>
                </w:tc>
                <w:tc>
                  <w:tcPr>
                    <w:tcW w:w="100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14</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7</w:t>
                    </w:r>
                  </w:p>
                </w:tc>
                <w:tc>
                  <w:tcPr>
                    <w:tcW w:w="850"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14</w:t>
                    </w:r>
                  </w:p>
                </w:tc>
                <w:tc>
                  <w:tcPr>
                    <w:tcW w:w="992"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7</w:t>
                    </w:r>
                  </w:p>
                </w:tc>
                <w:tc>
                  <w:tcPr>
                    <w:tcW w:w="1134"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26</w:t>
                    </w:r>
                  </w:p>
                </w:tc>
                <w:tc>
                  <w:tcPr>
                    <w:tcW w:w="936" w:type="dxa"/>
                    <w:tcBorders>
                      <w:top w:val="single" w:sz="4" w:space="0" w:color="000000"/>
                      <w:left w:val="single" w:sz="4" w:space="0" w:color="000000"/>
                      <w:bottom w:val="single" w:sz="4" w:space="0" w:color="000000"/>
                      <w:right w:val="single" w:sz="4" w:space="0" w:color="000000"/>
                    </w:tcBorders>
                  </w:tcPr>
                  <w:p>
                    <w:pPr>
                      <w:jc w:val="center"/>
                      <w:rPr>
                        <w:color w:val="000000"/>
                        <w:sz w:val="20"/>
                        <w:lang w:eastAsia="lt-LT"/>
                      </w:rPr>
                    </w:pPr>
                    <w:r>
                      <w:rPr>
                        <w:color w:val="000000"/>
                        <w:sz w:val="20"/>
                        <w:lang w:eastAsia="lt-LT"/>
                      </w:rPr>
                      <w:t>26</w:t>
                    </w:r>
                  </w:p>
                </w:tc>
              </w:tr>
              <w:tr>
                <w:trPr>
                  <w:jc w:val="center"/>
                </w:trPr>
                <w:tc>
                  <w:tcPr>
                    <w:tcW w:w="221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rPr>
                        <w:szCs w:val="24"/>
                        <w:lang w:eastAsia="lt-LT"/>
                      </w:rPr>
                    </w:pPr>
                    <w:r>
                      <w:rPr>
                        <w:color w:val="000000"/>
                        <w:sz w:val="20"/>
                        <w:lang w:eastAsia="lt-LT"/>
                      </w:rPr>
                      <w:t>Rizikos šeimos</w:t>
                    </w:r>
                  </w:p>
                </w:tc>
                <w:tc>
                  <w:tcPr>
                    <w:tcW w:w="979"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10</w:t>
                    </w:r>
                  </w:p>
                </w:tc>
                <w:tc>
                  <w:tcPr>
                    <w:tcW w:w="100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10</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2</w:t>
                    </w:r>
                  </w:p>
                </w:tc>
                <w:tc>
                  <w:tcPr>
                    <w:tcW w:w="850"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3</w:t>
                    </w:r>
                  </w:p>
                </w:tc>
                <w:tc>
                  <w:tcPr>
                    <w:tcW w:w="992"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2</w:t>
                    </w:r>
                  </w:p>
                </w:tc>
                <w:tc>
                  <w:tcPr>
                    <w:tcW w:w="1134"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12</w:t>
                    </w:r>
                  </w:p>
                </w:tc>
                <w:tc>
                  <w:tcPr>
                    <w:tcW w:w="936" w:type="dxa"/>
                    <w:tcBorders>
                      <w:top w:val="single" w:sz="4" w:space="0" w:color="000000"/>
                      <w:left w:val="single" w:sz="4" w:space="0" w:color="000000"/>
                      <w:bottom w:val="single" w:sz="4" w:space="0" w:color="000000"/>
                      <w:right w:val="single" w:sz="4" w:space="0" w:color="000000"/>
                    </w:tcBorders>
                  </w:tcPr>
                  <w:p>
                    <w:pPr>
                      <w:jc w:val="center"/>
                      <w:rPr>
                        <w:color w:val="000000"/>
                        <w:sz w:val="20"/>
                        <w:lang w:eastAsia="lt-LT"/>
                      </w:rPr>
                    </w:pPr>
                    <w:r>
                      <w:rPr>
                        <w:color w:val="000000"/>
                        <w:sz w:val="20"/>
                        <w:lang w:eastAsia="lt-LT"/>
                      </w:rPr>
                      <w:t>13</w:t>
                    </w:r>
                  </w:p>
                </w:tc>
              </w:tr>
              <w:tr>
                <w:trPr>
                  <w:jc w:val="center"/>
                </w:trPr>
                <w:tc>
                  <w:tcPr>
                    <w:tcW w:w="221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rPr>
                        <w:szCs w:val="24"/>
                        <w:lang w:eastAsia="lt-LT"/>
                      </w:rPr>
                    </w:pPr>
                    <w:r>
                      <w:rPr>
                        <w:color w:val="000000"/>
                        <w:sz w:val="20"/>
                        <w:lang w:eastAsia="lt-LT"/>
                      </w:rPr>
                      <w:t>Asmenys po socialinės globos</w:t>
                    </w:r>
                  </w:p>
                </w:tc>
                <w:tc>
                  <w:tcPr>
                    <w:tcW w:w="979"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w:t>
                    </w:r>
                  </w:p>
                </w:tc>
                <w:tc>
                  <w:tcPr>
                    <w:tcW w:w="100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w:t>
                    </w:r>
                  </w:p>
                </w:tc>
                <w:tc>
                  <w:tcPr>
                    <w:tcW w:w="850"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w:t>
                    </w:r>
                  </w:p>
                </w:tc>
                <w:tc>
                  <w:tcPr>
                    <w:tcW w:w="936" w:type="dxa"/>
                    <w:tcBorders>
                      <w:top w:val="single" w:sz="4" w:space="0" w:color="000000"/>
                      <w:left w:val="single" w:sz="4" w:space="0" w:color="000000"/>
                      <w:bottom w:val="single" w:sz="4" w:space="0" w:color="000000"/>
                      <w:right w:val="single" w:sz="4" w:space="0" w:color="000000"/>
                    </w:tcBorders>
                  </w:tcPr>
                  <w:p>
                    <w:pPr>
                      <w:jc w:val="center"/>
                      <w:rPr>
                        <w:color w:val="000000"/>
                        <w:sz w:val="20"/>
                        <w:lang w:eastAsia="lt-LT"/>
                      </w:rPr>
                    </w:pPr>
                    <w:r>
                      <w:rPr>
                        <w:color w:val="000000"/>
                        <w:sz w:val="20"/>
                        <w:lang w:eastAsia="lt-LT"/>
                      </w:rPr>
                      <w:t>2</w:t>
                    </w:r>
                  </w:p>
                </w:tc>
              </w:tr>
              <w:tr>
                <w:trPr>
                  <w:jc w:val="center"/>
                </w:trPr>
                <w:tc>
                  <w:tcPr>
                    <w:tcW w:w="221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rPr>
                        <w:szCs w:val="24"/>
                        <w:lang w:eastAsia="lt-LT"/>
                      </w:rPr>
                    </w:pPr>
                    <w:r>
                      <w:rPr>
                        <w:color w:val="000000"/>
                        <w:sz w:val="20"/>
                        <w:lang w:eastAsia="lt-LT"/>
                      </w:rPr>
                      <w:t>Asmenys be vaikų</w:t>
                    </w:r>
                  </w:p>
                </w:tc>
                <w:tc>
                  <w:tcPr>
                    <w:tcW w:w="979"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w:t>
                    </w:r>
                  </w:p>
                </w:tc>
                <w:tc>
                  <w:tcPr>
                    <w:tcW w:w="100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9</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14</w:t>
                    </w:r>
                  </w:p>
                </w:tc>
                <w:tc>
                  <w:tcPr>
                    <w:tcW w:w="850"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3</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1</w:t>
                    </w:r>
                  </w:p>
                </w:tc>
                <w:tc>
                  <w:tcPr>
                    <w:tcW w:w="1134"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w:t>
                    </w:r>
                  </w:p>
                </w:tc>
                <w:tc>
                  <w:tcPr>
                    <w:tcW w:w="936" w:type="dxa"/>
                    <w:tcBorders>
                      <w:top w:val="single" w:sz="4" w:space="0" w:color="000000"/>
                      <w:left w:val="single" w:sz="4" w:space="0" w:color="000000"/>
                      <w:bottom w:val="single" w:sz="4" w:space="0" w:color="000000"/>
                      <w:right w:val="single" w:sz="4" w:space="0" w:color="000000"/>
                    </w:tcBorders>
                  </w:tcPr>
                  <w:p>
                    <w:pPr>
                      <w:jc w:val="center"/>
                      <w:rPr>
                        <w:color w:val="000000"/>
                        <w:sz w:val="20"/>
                        <w:lang w:eastAsia="lt-LT"/>
                      </w:rPr>
                    </w:pPr>
                    <w:r>
                      <w:rPr>
                        <w:color w:val="000000"/>
                        <w:sz w:val="20"/>
                        <w:lang w:eastAsia="lt-LT"/>
                      </w:rPr>
                      <w:t>2</w:t>
                    </w:r>
                  </w:p>
                </w:tc>
              </w:tr>
              <w:tr>
                <w:trPr>
                  <w:jc w:val="center"/>
                </w:trPr>
                <w:tc>
                  <w:tcPr>
                    <w:tcW w:w="221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tcPr>
                  <w:p>
                    <w:pPr>
                      <w:rPr>
                        <w:szCs w:val="24"/>
                        <w:lang w:eastAsia="lt-LT"/>
                      </w:rPr>
                    </w:pPr>
                    <w:r>
                      <w:rPr>
                        <w:color w:val="000000"/>
                        <w:sz w:val="20"/>
                        <w:lang w:eastAsia="lt-LT"/>
                      </w:rPr>
                      <w:t>Nukentėję nuo gaisro</w:t>
                    </w:r>
                  </w:p>
                </w:tc>
                <w:tc>
                  <w:tcPr>
                    <w:tcW w:w="979"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w:t>
                    </w:r>
                  </w:p>
                </w:tc>
                <w:tc>
                  <w:tcPr>
                    <w:tcW w:w="1005"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1</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w:t>
                    </w:r>
                  </w:p>
                </w:tc>
                <w:tc>
                  <w:tcPr>
                    <w:tcW w:w="850"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4</w:t>
                    </w:r>
                  </w:p>
                </w:tc>
                <w:tc>
                  <w:tcPr>
                    <w:tcW w:w="992"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w:t>
                    </w:r>
                  </w:p>
                </w:tc>
                <w:tc>
                  <w:tcPr>
                    <w:tcW w:w="851"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szCs w:val="24"/>
                        <w:lang w:eastAsia="lt-LT"/>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88" w:type="dxa"/>
                      <w:bottom w:w="0" w:type="dxa"/>
                      <w:right w:w="88" w:type="dxa"/>
                    </w:tcMar>
                    <w:vAlign w:val="center"/>
                  </w:tcPr>
                  <w:p>
                    <w:pPr>
                      <w:jc w:val="center"/>
                      <w:rPr>
                        <w:szCs w:val="24"/>
                        <w:lang w:eastAsia="lt-LT"/>
                      </w:rPr>
                    </w:pPr>
                    <w:r>
                      <w:rPr>
                        <w:color w:val="000000"/>
                        <w:sz w:val="20"/>
                        <w:lang w:eastAsia="lt-LT"/>
                      </w:rPr>
                      <w:t>-</w:t>
                    </w:r>
                  </w:p>
                </w:tc>
                <w:tc>
                  <w:tcPr>
                    <w:tcW w:w="936" w:type="dxa"/>
                    <w:tcBorders>
                      <w:top w:val="single" w:sz="4" w:space="0" w:color="000000"/>
                      <w:left w:val="single" w:sz="4" w:space="0" w:color="000000"/>
                      <w:bottom w:val="single" w:sz="4" w:space="0" w:color="000000"/>
                      <w:right w:val="single" w:sz="4" w:space="0" w:color="000000"/>
                    </w:tcBorders>
                  </w:tcPr>
                  <w:p>
                    <w:pPr>
                      <w:jc w:val="center"/>
                      <w:rPr>
                        <w:color w:val="000000"/>
                        <w:sz w:val="20"/>
                        <w:lang w:eastAsia="lt-LT"/>
                      </w:rPr>
                    </w:pPr>
                    <w:r>
                      <w:rPr>
                        <w:color w:val="000000"/>
                        <w:sz w:val="20"/>
                        <w:lang w:eastAsia="lt-LT"/>
                      </w:rPr>
                      <w:t>-</w:t>
                    </w:r>
                  </w:p>
                </w:tc>
              </w:tr>
            </w:tbl>
            <w:p>
              <w:pPr>
                <w:tabs>
                  <w:tab w:val="left" w:pos="720"/>
                </w:tabs>
                <w:rPr>
                  <w:szCs w:val="24"/>
                </w:rPr>
              </w:pPr>
            </w:p>
            <w:p>
              <w:pPr>
                <w:tabs>
                  <w:tab w:val="left" w:pos="851"/>
                </w:tabs>
                <w:ind w:firstLine="851"/>
                <w:jc w:val="both"/>
                <w:rPr>
                  <w:szCs w:val="24"/>
                </w:rPr>
              </w:pPr>
              <w:r>
                <w:rPr>
                  <w:szCs w:val="24"/>
                </w:rPr>
                <w:t>Poreikis dirbti su socialinės rizikos šeimomis, apgyvendintomis institucijose, yra pagrįstas. Būtina stiprinti socialinį darbą, nes tiek Savarankiško gyvenimo namuose, tiek Krizių centre yra po 1 socialinio darbo organizatorių. Be to, Savarankiško gyvenimo namuose, esančiuose prie Nakvynės namų, buvo numatyta teikti apgyvendinimo paslaugas rizikos šeimoms ar asmenims be vaikų, taip pat apgyvendinti šeimas (asmenis) nelaimių atvejais (gaisras, iškeldinimas, ištuokos, suaugusių šeimos narių atskyrimas nuo šeimos ir t.t.). Krizių centre taip pat yra numatyta teikti apgyvendinimo paslaugas esant intensyvioje krizėje. Tačiau kol kas ši paslauga teikiama ribotai.</w:t>
              </w:r>
            </w:p>
            <w:p>
              <w:pPr>
                <w:tabs>
                  <w:tab w:val="left" w:pos="851"/>
                </w:tabs>
                <w:ind w:firstLine="851"/>
                <w:jc w:val="both"/>
                <w:rPr>
                  <w:szCs w:val="24"/>
                </w:rPr>
              </w:pPr>
              <w:r>
                <w:rPr>
                  <w:szCs w:val="24"/>
                </w:rPr>
                <w:t xml:space="preserve">Savivaldybės administracija, įgyvendindama Perėjimo nuo institucinės globos prie šeimoje ir bendruomenėje teikiamų paslaugų neįgaliesiems ir likusiems be tėvų globos vaikams 2014–2020 metų veiksmų planą, parengė ir pateikė projektą Socialinės apsaugos ir darbo ministerijai, tačiau jis nebuvo patvirtintas. Todėl šią socialinę problemą imtasi spręsti savo jėgomis. </w:t>
              </w:r>
            </w:p>
            <w:p>
              <w:pPr>
                <w:tabs>
                  <w:tab w:val="left" w:pos="851"/>
                </w:tabs>
                <w:ind w:firstLine="851"/>
                <w:jc w:val="both"/>
                <w:rPr>
                  <w:color w:val="000000"/>
                  <w:szCs w:val="24"/>
                </w:rPr>
              </w:pPr>
              <w:r>
                <w:rPr>
                  <w:szCs w:val="24"/>
                </w:rPr>
                <w:t xml:space="preserve">Telšių rajone, patvirtinus paramos teikimo globėjams tvarką, nuo 2015 m. liepos 1 d. kiekvieną mėnesį yra mokami pagalbos pinigai po 75 Eur už 95 šeimoje globojamus vaikus. </w:t>
                <w:tab/>
                <w:t>Taip pat nuo 2015 m. Telšių rajono savivaldybės tarybos sprendimu organizuojama ir finansuojama tėvų globos netekusių vaikų socialinė globa šeimoje.</w:t>
              </w:r>
              <w:r>
                <w:rPr>
                  <w:color w:val="000000"/>
                  <w:szCs w:val="24"/>
                </w:rPr>
                <w:t xml:space="preserve"> Socialinė globa teikiama 18 vaikų 4 šeimose. Globėjui už vaikų socialinę globą šeimoje kiekvieną mėnesį yra mokama 3 MMA dydžio išmoka ir po 4 BSI dydžio išmokas už kiekvieną šeimoje globojamą vaiką. Globėjas iš gaunamų pajamų, skirtų globėjui, susimoka visus privalomus mokesčius.</w:t>
              </w:r>
            </w:p>
            <w:p>
              <w:pPr>
                <w:ind w:firstLine="851"/>
                <w:jc w:val="both"/>
                <w:rPr>
                  <w:szCs w:val="24"/>
                </w:rPr>
              </w:pPr>
              <w:r>
                <w:rPr>
                  <w:szCs w:val="24"/>
                </w:rPr>
                <w:t xml:space="preserve">Itin aktualus yra socialinės globos </w:t>
              </w:r>
              <w:r>
                <w:rPr>
                  <w:b/>
                  <w:szCs w:val="24"/>
                </w:rPr>
                <w:t>tėvų globos netekusiems vaikams</w:t>
              </w:r>
              <w:r>
                <w:rPr>
                  <w:szCs w:val="24"/>
                </w:rPr>
                <w:t xml:space="preserve"> pertvarkos klausimas. Telšių rajono savivaldybėje yra pakankamai finansinių priemonių, skatinančių socialinę globą šeimoje, kurios bus įgyvendinamos ir toliau. Tikėtis, jog šioje sistemoje bus pasiekti greiti rezultatai, sudėtinga. Tam tikslui būtina sustiprinti </w:t>
              </w:r>
              <w:r>
                <w:rPr>
                  <w:b/>
                  <w:szCs w:val="24"/>
                </w:rPr>
                <w:t>darbą su šeima</w:t>
              </w:r>
              <w:r>
                <w:rPr>
                  <w:szCs w:val="24"/>
                </w:rPr>
                <w:t xml:space="preserve">. Siūloma įkurti Paramos šeimai centrą esamų įstaigų struktūroje, tačiau sukoncentruojant paslaugas šeimai, sustiprinant paramos teikimą, teikiant operatyvesnę paramą, stiprinant psichologinės pagalbos teikimą, ypač kaimo teritorijose. Rajone tiek NVO, tiek bendruomenės nėra orientuotos į dalyvavimą socialinių paslaugų teikime, o be jų paramos tikėtis geresnių rezultatų taip pat sudėtinga. Tuo tikslu Savivaldybės tarybai 2017 m. bus teikiamas Tarybos sprendimo projektas dėl dienos centrų veiklos plėtros. Pritarus bus skelbiami projektai, kuriuose galės dalyvauti tik NVO ir bendruomenės. Tam Savivaldybės biudžete yra numatyta 30,0 tūkst. Eur. Tikimasi, jog tai bus pirmas žingsnis skatinant bendruomenes ir NVO įsijungti į socialinių paslaugų teikimą.      </w:t>
              </w:r>
            </w:p>
            <w:p>
              <w:pPr>
                <w:tabs>
                  <w:tab w:val="left" w:pos="0"/>
                </w:tabs>
                <w:jc w:val="both"/>
                <w:rPr>
                  <w:b/>
                  <w:bCs/>
                  <w:szCs w:val="24"/>
                </w:rPr>
              </w:pPr>
            </w:p>
            <w:sdt>
              <w:sdtPr>
                <w:alias w:val="6.1.2 pp."/>
                <w:tag w:val="part_c9e88cd349e14fa39e4346a4cb6e9951"/>
                <w:lock w:val="sdtLocked"/>
                <w:richText/>
              </w:sdtPr>
              <w:sdtContent>
                <w:p>
                  <w:pPr>
                    <w:widowControl w:val="0"/>
                    <w:tabs>
                      <w:tab w:val="left" w:pos="126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589"/>
                    <w:jc w:val="both"/>
                    <w:textAlignment w:val="baseline"/>
                    <w:rPr>
                      <w:b/>
                      <w:szCs w:val="24"/>
                    </w:rPr>
                  </w:pPr>
                  <w:sdt>
                    <w:sdtPr>
                      <w:alias w:val="Numeris"/>
                      <w:tag w:val="nr_c9e88cd349e14fa39e4346a4cb6e9951"/>
                      <w:lock w:val="sdtLocked"/>
                      <w:richText/>
                    </w:sdtPr>
                    <w:sdtContent>
                      <w:r>
                        <w:rPr>
                          <w:b/>
                          <w:szCs w:val="24"/>
                        </w:rPr>
                        <w:t>6.1.2</w:t>
                      </w:r>
                    </w:sdtContent>
                  </w:sdt>
                  <w:r>
                    <w:rPr>
                      <w:b/>
                      <w:szCs w:val="24"/>
                    </w:rPr>
                    <w:t>.</w:t>
                    <w:tab/>
                    <w:t>Senyvo amžiaus, neįgalūs asmenys</w:t>
                  </w:r>
                </w:p>
                <w:p>
                  <w:pPr>
                    <w:ind w:firstLine="720"/>
                    <w:jc w:val="both"/>
                    <w:rPr>
                      <w:color w:val="FF0000"/>
                      <w:szCs w:val="24"/>
                    </w:rPr>
                  </w:pPr>
                </w:p>
                <w:p>
                  <w:pPr>
                    <w:ind w:firstLine="900"/>
                    <w:jc w:val="both"/>
                    <w:rPr>
                      <w:szCs w:val="24"/>
                    </w:rPr>
                  </w:pPr>
                  <w:r>
                    <w:rPr>
                      <w:szCs w:val="24"/>
                    </w:rPr>
                    <w:t>Telšių rajone yra organizuojamos ir teikiamos šios paslaugos senyvo amžiaus ir neįgaliems asmenims: asmeninės higienos ir priežiūros; sociokultūrinės; transporto organizavimo; būsto pritaikymo, dienos socialinės globos dienos centruose ir asmens namuose; pagalbos (priežiūros), apgyvendinimo savarankiško gyvenimo namuose; trumpalaikės ir ilgalaikės socialinė globos institucijoje paslaugos.</w:t>
                  </w:r>
                </w:p>
                <w:p>
                  <w:pPr>
                    <w:ind w:firstLine="851"/>
                    <w:jc w:val="both"/>
                    <w:rPr>
                      <w:szCs w:val="24"/>
                    </w:rPr>
                  </w:pPr>
                  <w:r>
                    <w:rPr>
                      <w:b/>
                      <w:szCs w:val="24"/>
                    </w:rPr>
                    <w:t xml:space="preserve">Asmeninės higienos ir priežiūros paslaugų organizavimas, sociokultūrinės paslaugos </w:t>
                  </w:r>
                  <w:r>
                    <w:rPr>
                      <w:szCs w:val="24"/>
                    </w:rPr>
                    <w:t xml:space="preserve">teikiamos asmenims (šeimoms), kurie dėl nepakankamų pajamų, skurdo ar negalios negali ir neturi galimybės namuose pasirūpinti asmenine higiena ir išsiskalbti rūbų. Paslaugos teikiamos Telšių socialinių paslaugų centro dienos centruose, Nakvynės namuose nemokamai, kai asmens (šeimos)  pajamos vienam asmeniui neviršija 102 Eur (2 VRP). Šių paslaugų poreikis Telšių rajone didėja.</w:t>
                  </w:r>
                </w:p>
                <w:p>
                  <w:pPr>
                    <w:ind w:firstLine="851"/>
                    <w:jc w:val="both"/>
                    <w:rPr>
                      <w:szCs w:val="24"/>
                    </w:rPr>
                  </w:pPr>
                  <w:r>
                    <w:rPr>
                      <w:szCs w:val="24"/>
                    </w:rPr>
                    <w:t xml:space="preserve">Asmeninės higienos ir priežiūros paslaugos asmeniui (šeimai) teikiamos pirties (dušo) ne dažniau kaip vieną kartą per savaitę ir skalbimo paslaugos ne dažniau kaip du kartu per mėnesį, įvertinus socialinių paslaugų poreikį. Toks poreikis 2012 m.  įvertintas 14 asmenų / šeimų, 2013 m. –  10, 2014 m. –  20 , 2015 m. – 32 , 2016 m. – 34,  iš jų 2 pareiškėjams paslaugos suteiktos mokamai, 1 prašymas nepatenkintas. </w:t>
                  </w:r>
                </w:p>
                <w:p>
                  <w:pPr>
                    <w:ind w:firstLine="851"/>
                    <w:jc w:val="both"/>
                    <w:rPr>
                      <w:bCs/>
                      <w:szCs w:val="24"/>
                    </w:rPr>
                  </w:pPr>
                  <w:r>
                    <w:rPr>
                      <w:szCs w:val="24"/>
                    </w:rPr>
                    <w:t xml:space="preserve">Mitkaičių dienos centre 2014 m. suteikta paslaugų 24 asmenims / šeimoms, 2015 m. – 10, 2016 m. – 7; Upynos dienos centre: 2014 m. –  26, 2015 m. – 32, 2016 m. – 17; Žarėnų dienos centre: 2014 m. – 16,  2015 m. – 24, 2016 m. – 11.  </w:t>
                  </w:r>
                </w:p>
                <w:p>
                  <w:pPr>
                    <w:ind w:firstLine="851"/>
                    <w:jc w:val="both"/>
                    <w:rPr>
                      <w:bCs/>
                      <w:szCs w:val="24"/>
                    </w:rPr>
                  </w:pPr>
                  <w:r>
                    <w:rPr>
                      <w:b/>
                      <w:bCs/>
                      <w:szCs w:val="24"/>
                    </w:rPr>
                    <w:t>Sociokultūrinės paslaugos</w:t>
                  </w:r>
                  <w:r>
                    <w:rPr>
                      <w:bCs/>
                      <w:szCs w:val="24"/>
                    </w:rPr>
                    <w:t xml:space="preserve"> senyvo amžiaus ir neįgaliems asmenims yra teikiamos Telšių socialinių paslaugų įstaigų dienos centruose. Šiomis paslaugomis siekiama kuo daugiau asmenų įtraukti į veiklą, spręsti socialines problemas, mažinti socialinę atskirtį, įtraukti bendruomenę. </w:t>
                  </w:r>
                </w:p>
                <w:p>
                  <w:pPr>
                    <w:tabs>
                      <w:tab w:val="left" w:pos="851"/>
                    </w:tabs>
                    <w:ind w:firstLine="851"/>
                    <w:jc w:val="both"/>
                    <w:rPr>
                      <w:szCs w:val="24"/>
                    </w:rPr>
                  </w:pPr>
                  <w:r>
                    <w:rPr>
                      <w:b/>
                      <w:bCs/>
                      <w:iCs/>
                      <w:szCs w:val="24"/>
                    </w:rPr>
                    <w:t xml:space="preserve">Transporto organizavimo paslaugas </w:t>
                  </w:r>
                  <w:r>
                    <w:rPr>
                      <w:bCs/>
                      <w:iCs/>
                      <w:szCs w:val="24"/>
                    </w:rPr>
                    <w:t xml:space="preserve">teikia Telšių socialinių paslaugų centras. </w:t>
                  </w:r>
                  <w:r>
                    <w:rPr>
                      <w:szCs w:val="24"/>
                    </w:rPr>
                    <w:t>Per 2015 m. dėl šių paslaugų į Socialinės paramos ir rūpybos skyrių kreiptasi 238 kartus, 2016 m. – 277 kartus. Šių paslaugų poreikis nuolat didėja: 2014 m. paslauga suteikta 159, o 2015 m. – 280 asmenų.</w:t>
                  </w:r>
                  <w:r>
                    <w:rPr>
                      <w:szCs w:val="24"/>
                      <w:vertAlign w:val="superscript"/>
                    </w:rPr>
                    <w:footnoteReference w:id="25"/>
                  </w:r>
                  <w:r>
                    <w:rPr>
                      <w:szCs w:val="24"/>
                    </w:rPr>
                    <w:t xml:space="preserve"> </w:t>
                  </w:r>
                </w:p>
                <w:p>
                  <w:pPr>
                    <w:ind w:right="-2" w:firstLine="720"/>
                    <w:jc w:val="both"/>
                    <w:rPr>
                      <w:szCs w:val="24"/>
                    </w:rPr>
                  </w:pPr>
                  <w:r>
                    <w:rPr>
                      <w:szCs w:val="24"/>
                    </w:rPr>
                    <w:t xml:space="preserve">Nuo 2017 m. transporto organizavimo paslaugas gali teikti ir viena Telšių rajono NVO – Telšių neįgaliųjų ir neįgalių pensininkų draugija, kuriai 2016 m. spalio mėnesį yra paskirtas specialus </w:t>
                  </w:r>
                  <w:r>
                    <w:rPr>
                      <w:color w:val="363636"/>
                      <w:szCs w:val="24"/>
                      <w:lang w:val="en-GB" w:eastAsia="lt-LT"/>
                    </w:rPr>
                    <w:t xml:space="preserve">9 </w:t>
                  </w:r>
                  <w:r>
                    <w:rPr>
                      <w:color w:val="363636"/>
                      <w:szCs w:val="24"/>
                      <w:lang w:eastAsia="lt-LT"/>
                    </w:rPr>
                    <w:t xml:space="preserve">vietų (iš jų 3 pritaikytos neįgaliesiems) </w:t>
                  </w:r>
                  <w:r>
                    <w:rPr>
                      <w:szCs w:val="24"/>
                    </w:rPr>
                    <w:t>l</w:t>
                  </w:r>
                  <w:r>
                    <w:rPr>
                      <w:color w:val="363636"/>
                      <w:szCs w:val="24"/>
                      <w:lang w:eastAsia="lt-LT"/>
                    </w:rPr>
                    <w:t>engvasis automobilis Ford Transit Custom Kombi. Šis automobilis paskirtas vadovaujantis Lengvųjų automobilių, pritaikytų neįgaliesiems vežti, paskirstymo 2016–2018 metais tvarkos aprašu, patvirtintu Neįgaliųjų reikalų departamento direktoriaus 2016 m. rugpjūčio 30 d. įsakymu Nr. V-35 „Dėl lengvųjų automobilių, pritaikytų neįgaliesiems vežti, paskirstymo 2016–2018 metais tvarkos aprašo patvirtinimo“.</w:t>
                  </w:r>
                </w:p>
                <w:p>
                  <w:pPr>
                    <w:ind w:right="-2" w:firstLine="720"/>
                    <w:jc w:val="both"/>
                    <w:rPr>
                      <w:szCs w:val="24"/>
                    </w:rPr>
                  </w:pPr>
                  <w:r>
                    <w:rPr>
                      <w:szCs w:val="24"/>
                    </w:rPr>
                    <w:t xml:space="preserve">Lieka neišspręsta gulinčių asmenų vežimo problema, kadangi medicinos įstaigos tokias paslaugas ne visada gali suteikti, arba jų paslaugos yra labai brangios, o </w:t>
                  </w:r>
                  <w:r>
                    <w:rPr>
                      <w:bCs/>
                      <w:iCs/>
                      <w:szCs w:val="24"/>
                    </w:rPr>
                    <w:t>Telšių socialinių paslaugų centras neturi nei specialaus automobilio, nei tinkamo personalo, tokiai paslaugai teikti.</w:t>
                  </w:r>
                </w:p>
                <w:p>
                  <w:pPr>
                    <w:ind w:firstLine="851"/>
                    <w:jc w:val="both"/>
                    <w:rPr>
                      <w:szCs w:val="24"/>
                    </w:rPr>
                  </w:pPr>
                  <w:r>
                    <w:rPr>
                      <w:szCs w:val="24"/>
                    </w:rPr>
                    <w:t xml:space="preserve">Neįgaliems asmenims ypač aktualus </w:t>
                  </w:r>
                  <w:r>
                    <w:rPr>
                      <w:b/>
                      <w:szCs w:val="24"/>
                    </w:rPr>
                    <w:t xml:space="preserve">būsto ir gyvenamosios aplinkos pritaikymo </w:t>
                  </w:r>
                  <w:r>
                    <w:rPr>
                      <w:szCs w:val="24"/>
                    </w:rPr>
                    <w:t xml:space="preserve">klausimas. Telšių rajone 2016 m. pritaikyti būstai 11 neįgaliųjų asmenų, iš jų: 11 atlikti būsto pritaikymo darbai, 3 neįgaliesiems įrengti keltuvai. Šioms reikmėms iš valstybės biudžeto skirta 40,32 tūkst. Eur, iš Savivaldybės biudžeto ─ 27,4 tūkst. Eur, iš viso ─ 68,72 tūkst. Eur. Telšių rajone 2015 m. pritaikytas būstas 9 neįgaliems asmenims, iš jų: 6 atlikti būsto pritaikymo darbai, 3 skirta keltuvams įrengti. Šioms reikmėms iš valstybės biudžeto skirta 24,2 tūkst. Eur, iš Savivaldybės biudžeto ─ 20,9 tūkst. Eur, iš viso ─ 44,6 tūkst. Eur.  Papildomai skirta 20,7 Eur iš Savivaldybės biudžeto būsto pritaikymo darbams savarankiškai atlikti 3 neįgaliems asmenims.</w:t>
                  </w:r>
                </w:p>
              </w:sdtContent>
            </w:sdt>
          </w:sdtContent>
        </w:sdt>
        <w:sdt>
          <w:sdtPr>
            <w:alias w:val="poskyris"/>
            <w:tag w:val="part_7dae877ce20e4eaaab51da7ad770f4f3"/>
            <w:lock w:val="sdtLocked"/>
            <w:richText/>
          </w:sdtPr>
          <w:sdtContent>
            <w:p>
              <w:pPr>
                <w:ind w:firstLine="851"/>
                <w:jc w:val="center"/>
                <w:rPr>
                  <w:b/>
                  <w:szCs w:val="24"/>
                </w:rPr>
              </w:pPr>
              <w:sdt>
                <w:sdtPr>
                  <w:alias w:val="Pavadinimas"/>
                  <w:tag w:val="title_7dae877ce20e4eaaab51da7ad770f4f3"/>
                  <w:lock w:val="sdtLocked"/>
                  <w:richText/>
                </w:sdtPr>
                <w:sdtContent>
                  <w:r>
                    <w:rPr>
                      <w:b/>
                      <w:szCs w:val="24"/>
                    </w:rPr>
                    <w:t>Būsto pritaikymo statistiniai duomenys 2011─2016 m.</w:t>
                  </w:r>
                  <w:r>
                    <w:rPr>
                      <w:szCs w:val="24"/>
                      <w:vertAlign w:val="superscript"/>
                    </w:rPr>
                    <w:t xml:space="preserve"> </w:t>
                  </w:r>
                </w:sdtContent>
              </w:sdt>
              <w:r>
                <w:rPr>
                  <w:szCs w:val="24"/>
                  <w:vertAlign w:val="superscript"/>
                </w:rPr>
                <w:footnoteReference w:id="26"/>
              </w:r>
            </w:p>
            <w:tbl>
              <w:tblPr>
                <w:tblW w:w="97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6"/>
                <w:gridCol w:w="1117"/>
                <w:gridCol w:w="979"/>
                <w:gridCol w:w="1117"/>
                <w:gridCol w:w="979"/>
                <w:gridCol w:w="980"/>
                <w:gridCol w:w="967"/>
              </w:tblGrid>
              <w:tr>
                <w:tc>
                  <w:tcPr>
                    <w:tcW w:w="3606" w:type="dxa"/>
                    <w:tcBorders>
                      <w:tl2br w:val="single" w:sz="4" w:space="0" w:color="auto"/>
                    </w:tcBorders>
                    <w:shd w:val="clear" w:color="auto" w:fill="D9D9D9"/>
                  </w:tcPr>
                  <w:p>
                    <w:pPr>
                      <w:jc w:val="right"/>
                      <w:rPr>
                        <w:b/>
                        <w:sz w:val="20"/>
                        <w:lang w:eastAsia="lt-LT"/>
                      </w:rPr>
                    </w:pPr>
                    <w:r>
                      <w:rPr>
                        <w:b/>
                        <w:sz w:val="20"/>
                        <w:lang w:eastAsia="lt-LT"/>
                      </w:rPr>
                      <w:t xml:space="preserve">Metai </w:t>
                    </w:r>
                  </w:p>
                  <w:p>
                    <w:pPr>
                      <w:rPr>
                        <w:b/>
                        <w:sz w:val="20"/>
                        <w:lang w:eastAsia="lt-LT"/>
                      </w:rPr>
                    </w:pPr>
                    <w:r>
                      <w:rPr>
                        <w:b/>
                        <w:sz w:val="20"/>
                        <w:lang w:eastAsia="lt-LT"/>
                      </w:rPr>
                      <w:t>Rodikliai</w:t>
                    </w:r>
                  </w:p>
                </w:tc>
                <w:tc>
                  <w:tcPr>
                    <w:tcW w:w="1117" w:type="dxa"/>
                    <w:shd w:val="clear" w:color="auto" w:fill="D9D9D9"/>
                    <w:vAlign w:val="center"/>
                  </w:tcPr>
                  <w:p>
                    <w:pPr>
                      <w:jc w:val="center"/>
                      <w:rPr>
                        <w:b/>
                        <w:sz w:val="20"/>
                        <w:lang w:eastAsia="lt-LT"/>
                      </w:rPr>
                    </w:pPr>
                    <w:r>
                      <w:rPr>
                        <w:b/>
                        <w:color w:val="000000"/>
                        <w:sz w:val="20"/>
                        <w:lang w:eastAsia="lt-LT"/>
                      </w:rPr>
                      <w:t>2011</w:t>
                    </w:r>
                  </w:p>
                </w:tc>
                <w:tc>
                  <w:tcPr>
                    <w:tcW w:w="979" w:type="dxa"/>
                    <w:shd w:val="clear" w:color="auto" w:fill="D9D9D9"/>
                    <w:vAlign w:val="center"/>
                  </w:tcPr>
                  <w:p>
                    <w:pPr>
                      <w:jc w:val="center"/>
                      <w:rPr>
                        <w:b/>
                        <w:color w:val="000000"/>
                        <w:sz w:val="20"/>
                        <w:lang w:eastAsia="lt-LT"/>
                      </w:rPr>
                    </w:pPr>
                    <w:r>
                      <w:rPr>
                        <w:b/>
                        <w:color w:val="000000"/>
                        <w:sz w:val="20"/>
                        <w:lang w:eastAsia="lt-LT"/>
                      </w:rPr>
                      <w:t>2012</w:t>
                    </w:r>
                  </w:p>
                </w:tc>
                <w:tc>
                  <w:tcPr>
                    <w:tcW w:w="1117" w:type="dxa"/>
                    <w:shd w:val="clear" w:color="auto" w:fill="D9D9D9"/>
                    <w:vAlign w:val="center"/>
                  </w:tcPr>
                  <w:p>
                    <w:pPr>
                      <w:jc w:val="center"/>
                      <w:rPr>
                        <w:b/>
                        <w:color w:val="000000"/>
                        <w:sz w:val="20"/>
                        <w:lang w:eastAsia="lt-LT"/>
                      </w:rPr>
                    </w:pPr>
                    <w:r>
                      <w:rPr>
                        <w:b/>
                        <w:color w:val="000000"/>
                        <w:sz w:val="20"/>
                        <w:lang w:eastAsia="lt-LT"/>
                      </w:rPr>
                      <w:t>2013</w:t>
                    </w:r>
                  </w:p>
                </w:tc>
                <w:tc>
                  <w:tcPr>
                    <w:tcW w:w="979" w:type="dxa"/>
                    <w:shd w:val="clear" w:color="auto" w:fill="D9D9D9"/>
                    <w:vAlign w:val="center"/>
                  </w:tcPr>
                  <w:p>
                    <w:pPr>
                      <w:jc w:val="center"/>
                      <w:rPr>
                        <w:b/>
                        <w:color w:val="000000"/>
                        <w:sz w:val="20"/>
                        <w:lang w:eastAsia="lt-LT"/>
                      </w:rPr>
                    </w:pPr>
                    <w:r>
                      <w:rPr>
                        <w:b/>
                        <w:color w:val="000000"/>
                        <w:sz w:val="20"/>
                        <w:lang w:eastAsia="lt-LT"/>
                      </w:rPr>
                      <w:t>2014</w:t>
                    </w:r>
                  </w:p>
                </w:tc>
                <w:tc>
                  <w:tcPr>
                    <w:tcW w:w="980" w:type="dxa"/>
                    <w:shd w:val="clear" w:color="auto" w:fill="D9D9D9"/>
                    <w:vAlign w:val="center"/>
                  </w:tcPr>
                  <w:p>
                    <w:pPr>
                      <w:jc w:val="center"/>
                      <w:rPr>
                        <w:b/>
                        <w:color w:val="000000"/>
                        <w:sz w:val="20"/>
                        <w:lang w:eastAsia="lt-LT"/>
                      </w:rPr>
                    </w:pPr>
                    <w:r>
                      <w:rPr>
                        <w:b/>
                        <w:color w:val="000000"/>
                        <w:sz w:val="20"/>
                        <w:lang w:eastAsia="lt-LT"/>
                      </w:rPr>
                      <w:t>2015</w:t>
                    </w:r>
                  </w:p>
                </w:tc>
                <w:tc>
                  <w:tcPr>
                    <w:tcW w:w="967" w:type="dxa"/>
                    <w:shd w:val="clear" w:color="auto" w:fill="D9D9D9"/>
                    <w:vAlign w:val="center"/>
                  </w:tcPr>
                  <w:p>
                    <w:pPr>
                      <w:jc w:val="center"/>
                      <w:rPr>
                        <w:b/>
                        <w:color w:val="000000"/>
                        <w:sz w:val="20"/>
                        <w:lang w:eastAsia="lt-LT"/>
                      </w:rPr>
                    </w:pPr>
                    <w:r>
                      <w:rPr>
                        <w:b/>
                        <w:color w:val="000000"/>
                        <w:sz w:val="20"/>
                        <w:lang w:eastAsia="lt-LT"/>
                      </w:rPr>
                      <w:t>2016</w:t>
                    </w:r>
                  </w:p>
                </w:tc>
              </w:tr>
              <w:tr>
                <w:tc>
                  <w:tcPr>
                    <w:tcW w:w="3606" w:type="dxa"/>
                  </w:tcPr>
                  <w:p>
                    <w:pPr>
                      <w:rPr>
                        <w:sz w:val="20"/>
                        <w:lang w:eastAsia="lt-LT"/>
                      </w:rPr>
                    </w:pPr>
                    <w:r>
                      <w:rPr>
                        <w:color w:val="000000"/>
                        <w:sz w:val="20"/>
                        <w:lang w:eastAsia="lt-LT"/>
                      </w:rPr>
                      <w:t>Gauta prašymų.</w:t>
                    </w:r>
                  </w:p>
                </w:tc>
                <w:tc>
                  <w:tcPr>
                    <w:tcW w:w="1117" w:type="dxa"/>
                    <w:vAlign w:val="center"/>
                  </w:tcPr>
                  <w:p>
                    <w:pPr>
                      <w:jc w:val="center"/>
                      <w:rPr>
                        <w:sz w:val="20"/>
                        <w:lang w:eastAsia="lt-LT"/>
                      </w:rPr>
                    </w:pPr>
                    <w:r>
                      <w:rPr>
                        <w:sz w:val="20"/>
                        <w:lang w:eastAsia="lt-LT"/>
                      </w:rPr>
                      <w:t>5</w:t>
                    </w:r>
                  </w:p>
                </w:tc>
                <w:tc>
                  <w:tcPr>
                    <w:tcW w:w="979" w:type="dxa"/>
                    <w:vAlign w:val="center"/>
                  </w:tcPr>
                  <w:p>
                    <w:pPr>
                      <w:jc w:val="center"/>
                      <w:rPr>
                        <w:color w:val="000000"/>
                        <w:sz w:val="20"/>
                        <w:lang w:eastAsia="lt-LT"/>
                      </w:rPr>
                    </w:pPr>
                    <w:r>
                      <w:rPr>
                        <w:color w:val="000000"/>
                        <w:sz w:val="20"/>
                        <w:lang w:eastAsia="lt-LT"/>
                      </w:rPr>
                      <w:t>5</w:t>
                    </w:r>
                  </w:p>
                </w:tc>
                <w:tc>
                  <w:tcPr>
                    <w:tcW w:w="1117" w:type="dxa"/>
                    <w:vAlign w:val="center"/>
                  </w:tcPr>
                  <w:p>
                    <w:pPr>
                      <w:jc w:val="center"/>
                      <w:rPr>
                        <w:color w:val="000000"/>
                        <w:sz w:val="20"/>
                        <w:lang w:eastAsia="lt-LT"/>
                      </w:rPr>
                    </w:pPr>
                    <w:r>
                      <w:rPr>
                        <w:color w:val="000000"/>
                        <w:sz w:val="20"/>
                        <w:lang w:eastAsia="lt-LT"/>
                      </w:rPr>
                      <w:t>11</w:t>
                    </w:r>
                  </w:p>
                </w:tc>
                <w:tc>
                  <w:tcPr>
                    <w:tcW w:w="979" w:type="dxa"/>
                    <w:vAlign w:val="center"/>
                  </w:tcPr>
                  <w:p>
                    <w:pPr>
                      <w:jc w:val="center"/>
                      <w:rPr>
                        <w:sz w:val="20"/>
                        <w:lang w:eastAsia="lt-LT"/>
                      </w:rPr>
                    </w:pPr>
                    <w:r>
                      <w:rPr>
                        <w:sz w:val="20"/>
                        <w:lang w:eastAsia="lt-LT"/>
                      </w:rPr>
                      <w:t>7</w:t>
                    </w:r>
                  </w:p>
                </w:tc>
                <w:tc>
                  <w:tcPr>
                    <w:tcW w:w="980" w:type="dxa"/>
                    <w:vAlign w:val="center"/>
                  </w:tcPr>
                  <w:p>
                    <w:pPr>
                      <w:jc w:val="center"/>
                      <w:rPr>
                        <w:sz w:val="20"/>
                        <w:lang w:eastAsia="lt-LT"/>
                      </w:rPr>
                    </w:pPr>
                    <w:r>
                      <w:rPr>
                        <w:sz w:val="20"/>
                        <w:lang w:eastAsia="lt-LT"/>
                      </w:rPr>
                      <w:t>8</w:t>
                    </w:r>
                  </w:p>
                </w:tc>
                <w:tc>
                  <w:tcPr>
                    <w:tcW w:w="967" w:type="dxa"/>
                  </w:tcPr>
                  <w:p>
                    <w:pPr>
                      <w:jc w:val="center"/>
                      <w:rPr>
                        <w:sz w:val="20"/>
                        <w:lang w:eastAsia="lt-LT"/>
                      </w:rPr>
                    </w:pPr>
                    <w:r>
                      <w:rPr>
                        <w:sz w:val="20"/>
                        <w:lang w:eastAsia="lt-LT"/>
                      </w:rPr>
                      <w:t>7</w:t>
                    </w:r>
                  </w:p>
                </w:tc>
              </w:tr>
              <w:tr>
                <w:tc>
                  <w:tcPr>
                    <w:tcW w:w="3606" w:type="dxa"/>
                  </w:tcPr>
                  <w:p>
                    <w:pPr>
                      <w:rPr>
                        <w:sz w:val="20"/>
                        <w:lang w:eastAsia="lt-LT"/>
                      </w:rPr>
                    </w:pPr>
                    <w:r>
                      <w:rPr>
                        <w:color w:val="000000"/>
                        <w:sz w:val="20"/>
                        <w:lang w:eastAsia="lt-LT"/>
                      </w:rPr>
                      <w:t>Pritaikyta būstų</w:t>
                    </w:r>
                  </w:p>
                </w:tc>
                <w:tc>
                  <w:tcPr>
                    <w:tcW w:w="1117" w:type="dxa"/>
                    <w:vAlign w:val="center"/>
                  </w:tcPr>
                  <w:p>
                    <w:pPr>
                      <w:jc w:val="center"/>
                      <w:rPr>
                        <w:sz w:val="20"/>
                        <w:lang w:eastAsia="lt-LT"/>
                      </w:rPr>
                    </w:pPr>
                    <w:r>
                      <w:rPr>
                        <w:sz w:val="20"/>
                        <w:lang w:eastAsia="lt-LT"/>
                      </w:rPr>
                      <w:t>5</w:t>
                    </w:r>
                  </w:p>
                </w:tc>
                <w:tc>
                  <w:tcPr>
                    <w:tcW w:w="979" w:type="dxa"/>
                    <w:vAlign w:val="center"/>
                  </w:tcPr>
                  <w:p>
                    <w:pPr>
                      <w:jc w:val="center"/>
                      <w:rPr>
                        <w:color w:val="000000"/>
                        <w:sz w:val="20"/>
                        <w:lang w:eastAsia="lt-LT"/>
                      </w:rPr>
                    </w:pPr>
                    <w:r>
                      <w:rPr>
                        <w:color w:val="000000"/>
                        <w:sz w:val="20"/>
                        <w:lang w:eastAsia="lt-LT"/>
                      </w:rPr>
                      <w:t>1</w:t>
                    </w:r>
                  </w:p>
                </w:tc>
                <w:tc>
                  <w:tcPr>
                    <w:tcW w:w="1117" w:type="dxa"/>
                    <w:vAlign w:val="center"/>
                  </w:tcPr>
                  <w:p>
                    <w:pPr>
                      <w:jc w:val="center"/>
                      <w:rPr>
                        <w:color w:val="000000"/>
                        <w:sz w:val="20"/>
                        <w:lang w:eastAsia="lt-LT"/>
                      </w:rPr>
                    </w:pPr>
                    <w:r>
                      <w:rPr>
                        <w:color w:val="000000"/>
                        <w:sz w:val="20"/>
                        <w:lang w:eastAsia="lt-LT"/>
                      </w:rPr>
                      <w:t>1</w:t>
                    </w:r>
                  </w:p>
                </w:tc>
                <w:tc>
                  <w:tcPr>
                    <w:tcW w:w="979" w:type="dxa"/>
                    <w:vAlign w:val="center"/>
                  </w:tcPr>
                  <w:p>
                    <w:pPr>
                      <w:jc w:val="center"/>
                      <w:rPr>
                        <w:sz w:val="20"/>
                        <w:lang w:eastAsia="lt-LT"/>
                      </w:rPr>
                    </w:pPr>
                    <w:r>
                      <w:rPr>
                        <w:sz w:val="20"/>
                        <w:lang w:eastAsia="lt-LT"/>
                      </w:rPr>
                      <w:t>3</w:t>
                    </w:r>
                  </w:p>
                </w:tc>
                <w:tc>
                  <w:tcPr>
                    <w:tcW w:w="980" w:type="dxa"/>
                    <w:vAlign w:val="center"/>
                  </w:tcPr>
                  <w:p>
                    <w:pPr>
                      <w:jc w:val="center"/>
                      <w:rPr>
                        <w:sz w:val="20"/>
                        <w:lang w:eastAsia="lt-LT"/>
                      </w:rPr>
                    </w:pPr>
                    <w:r>
                      <w:rPr>
                        <w:sz w:val="20"/>
                        <w:lang w:eastAsia="lt-LT"/>
                      </w:rPr>
                      <w:t>9</w:t>
                    </w:r>
                  </w:p>
                </w:tc>
                <w:tc>
                  <w:tcPr>
                    <w:tcW w:w="967" w:type="dxa"/>
                  </w:tcPr>
                  <w:p>
                    <w:pPr>
                      <w:jc w:val="center"/>
                      <w:rPr>
                        <w:sz w:val="20"/>
                        <w:lang w:eastAsia="lt-LT"/>
                      </w:rPr>
                    </w:pPr>
                    <w:r>
                      <w:rPr>
                        <w:sz w:val="20"/>
                        <w:lang w:eastAsia="lt-LT"/>
                      </w:rPr>
                      <w:t>11</w:t>
                    </w:r>
                  </w:p>
                </w:tc>
              </w:tr>
              <w:tr>
                <w:tc>
                  <w:tcPr>
                    <w:tcW w:w="3606" w:type="dxa"/>
                  </w:tcPr>
                  <w:p>
                    <w:pPr>
                      <w:rPr>
                        <w:sz w:val="20"/>
                        <w:lang w:eastAsia="lt-LT"/>
                      </w:rPr>
                    </w:pPr>
                    <w:r>
                      <w:rPr>
                        <w:color w:val="000000"/>
                        <w:sz w:val="20"/>
                        <w:lang w:eastAsia="lt-LT"/>
                      </w:rPr>
                      <w:t>Valstybės biudžeto lėšos tūkst. Eur</w:t>
                    </w:r>
                  </w:p>
                </w:tc>
                <w:tc>
                  <w:tcPr>
                    <w:tcW w:w="1117" w:type="dxa"/>
                    <w:vAlign w:val="center"/>
                  </w:tcPr>
                  <w:p>
                    <w:pPr>
                      <w:jc w:val="center"/>
                      <w:rPr>
                        <w:sz w:val="20"/>
                        <w:lang w:eastAsia="lt-LT"/>
                      </w:rPr>
                    </w:pPr>
                    <w:r>
                      <w:rPr>
                        <w:sz w:val="20"/>
                        <w:lang w:eastAsia="lt-LT"/>
                      </w:rPr>
                      <w:t>19,5</w:t>
                    </w:r>
                  </w:p>
                </w:tc>
                <w:tc>
                  <w:tcPr>
                    <w:tcW w:w="979" w:type="dxa"/>
                    <w:vAlign w:val="center"/>
                  </w:tcPr>
                  <w:p>
                    <w:pPr>
                      <w:jc w:val="center"/>
                      <w:rPr>
                        <w:color w:val="000000"/>
                        <w:sz w:val="20"/>
                        <w:lang w:eastAsia="lt-LT"/>
                      </w:rPr>
                    </w:pPr>
                    <w:r>
                      <w:rPr>
                        <w:color w:val="000000"/>
                        <w:sz w:val="20"/>
                        <w:lang w:eastAsia="lt-LT"/>
                      </w:rPr>
                      <w:t>3,3</w:t>
                    </w:r>
                  </w:p>
                </w:tc>
                <w:tc>
                  <w:tcPr>
                    <w:tcW w:w="1117" w:type="dxa"/>
                    <w:vAlign w:val="center"/>
                  </w:tcPr>
                  <w:p>
                    <w:pPr>
                      <w:jc w:val="center"/>
                      <w:rPr>
                        <w:color w:val="000000"/>
                        <w:sz w:val="20"/>
                        <w:lang w:eastAsia="lt-LT"/>
                      </w:rPr>
                    </w:pPr>
                    <w:r>
                      <w:rPr>
                        <w:color w:val="000000"/>
                        <w:sz w:val="20"/>
                        <w:lang w:eastAsia="lt-LT"/>
                      </w:rPr>
                      <w:t>1,7</w:t>
                    </w:r>
                  </w:p>
                </w:tc>
                <w:tc>
                  <w:tcPr>
                    <w:tcW w:w="979" w:type="dxa"/>
                    <w:vAlign w:val="center"/>
                  </w:tcPr>
                  <w:p>
                    <w:pPr>
                      <w:jc w:val="center"/>
                      <w:rPr>
                        <w:color w:val="000000"/>
                        <w:sz w:val="20"/>
                        <w:lang w:eastAsia="lt-LT"/>
                      </w:rPr>
                    </w:pPr>
                    <w:r>
                      <w:rPr>
                        <w:color w:val="000000"/>
                        <w:sz w:val="20"/>
                        <w:lang w:eastAsia="lt-LT"/>
                      </w:rPr>
                      <w:t>9,4</w:t>
                    </w:r>
                  </w:p>
                </w:tc>
                <w:tc>
                  <w:tcPr>
                    <w:tcW w:w="980" w:type="dxa"/>
                    <w:vAlign w:val="center"/>
                  </w:tcPr>
                  <w:p>
                    <w:pPr>
                      <w:jc w:val="center"/>
                      <w:rPr>
                        <w:color w:val="000000"/>
                        <w:sz w:val="20"/>
                        <w:lang w:eastAsia="lt-LT"/>
                      </w:rPr>
                    </w:pPr>
                    <w:r>
                      <w:rPr>
                        <w:color w:val="000000"/>
                        <w:sz w:val="20"/>
                        <w:lang w:eastAsia="lt-LT"/>
                      </w:rPr>
                      <w:t>24,2</w:t>
                    </w:r>
                  </w:p>
                </w:tc>
                <w:tc>
                  <w:tcPr>
                    <w:tcW w:w="967" w:type="dxa"/>
                  </w:tcPr>
                  <w:p>
                    <w:pPr>
                      <w:jc w:val="center"/>
                      <w:rPr>
                        <w:sz w:val="20"/>
                        <w:lang w:eastAsia="lt-LT"/>
                      </w:rPr>
                    </w:pPr>
                    <w:r>
                      <w:rPr>
                        <w:sz w:val="20"/>
                        <w:lang w:eastAsia="lt-LT"/>
                      </w:rPr>
                      <w:t>40,317</w:t>
                    </w:r>
                  </w:p>
                </w:tc>
              </w:tr>
              <w:tr>
                <w:tc>
                  <w:tcPr>
                    <w:tcW w:w="3606" w:type="dxa"/>
                  </w:tcPr>
                  <w:p>
                    <w:pPr>
                      <w:rPr>
                        <w:sz w:val="20"/>
                        <w:lang w:eastAsia="lt-LT"/>
                      </w:rPr>
                    </w:pPr>
                    <w:r>
                      <w:rPr>
                        <w:color w:val="000000"/>
                        <w:sz w:val="20"/>
                        <w:lang w:eastAsia="lt-LT"/>
                      </w:rPr>
                      <w:t>Savivaldybės biudžeto lėšos tūkst. Eur</w:t>
                    </w:r>
                  </w:p>
                </w:tc>
                <w:tc>
                  <w:tcPr>
                    <w:tcW w:w="1117" w:type="dxa"/>
                    <w:vAlign w:val="center"/>
                  </w:tcPr>
                  <w:p>
                    <w:pPr>
                      <w:jc w:val="center"/>
                      <w:rPr>
                        <w:sz w:val="20"/>
                        <w:lang w:eastAsia="lt-LT"/>
                      </w:rPr>
                    </w:pPr>
                    <w:r>
                      <w:rPr>
                        <w:sz w:val="20"/>
                        <w:lang w:eastAsia="lt-LT"/>
                      </w:rPr>
                      <w:t>4,7</w:t>
                    </w:r>
                  </w:p>
                </w:tc>
                <w:tc>
                  <w:tcPr>
                    <w:tcW w:w="979" w:type="dxa"/>
                    <w:vAlign w:val="center"/>
                  </w:tcPr>
                  <w:p>
                    <w:pPr>
                      <w:jc w:val="center"/>
                      <w:rPr>
                        <w:color w:val="000000"/>
                        <w:sz w:val="20"/>
                        <w:lang w:eastAsia="lt-LT"/>
                      </w:rPr>
                    </w:pPr>
                    <w:r>
                      <w:rPr>
                        <w:color w:val="000000"/>
                        <w:sz w:val="20"/>
                        <w:lang w:eastAsia="lt-LT"/>
                      </w:rPr>
                      <w:t>0,8</w:t>
                    </w:r>
                  </w:p>
                </w:tc>
                <w:tc>
                  <w:tcPr>
                    <w:tcW w:w="1117" w:type="dxa"/>
                    <w:vAlign w:val="center"/>
                  </w:tcPr>
                  <w:p>
                    <w:pPr>
                      <w:jc w:val="center"/>
                      <w:rPr>
                        <w:color w:val="000000"/>
                        <w:sz w:val="20"/>
                        <w:lang w:eastAsia="lt-LT"/>
                      </w:rPr>
                    </w:pPr>
                    <w:r>
                      <w:rPr>
                        <w:color w:val="000000"/>
                        <w:sz w:val="20"/>
                        <w:lang w:eastAsia="lt-LT"/>
                      </w:rPr>
                      <w:t>0,5</w:t>
                    </w:r>
                  </w:p>
                </w:tc>
                <w:tc>
                  <w:tcPr>
                    <w:tcW w:w="979" w:type="dxa"/>
                    <w:vAlign w:val="center"/>
                  </w:tcPr>
                  <w:p>
                    <w:pPr>
                      <w:jc w:val="center"/>
                      <w:rPr>
                        <w:color w:val="000000"/>
                        <w:sz w:val="20"/>
                        <w:lang w:eastAsia="lt-LT"/>
                      </w:rPr>
                    </w:pPr>
                    <w:r>
                      <w:rPr>
                        <w:color w:val="000000"/>
                        <w:sz w:val="20"/>
                        <w:lang w:eastAsia="lt-LT"/>
                      </w:rPr>
                      <w:t>3,9</w:t>
                    </w:r>
                  </w:p>
                </w:tc>
                <w:tc>
                  <w:tcPr>
                    <w:tcW w:w="980" w:type="dxa"/>
                    <w:vAlign w:val="center"/>
                  </w:tcPr>
                  <w:p>
                    <w:pPr>
                      <w:jc w:val="center"/>
                      <w:rPr>
                        <w:color w:val="000000"/>
                        <w:sz w:val="20"/>
                        <w:lang w:eastAsia="lt-LT"/>
                      </w:rPr>
                    </w:pPr>
                    <w:r>
                      <w:rPr>
                        <w:color w:val="000000"/>
                        <w:sz w:val="20"/>
                        <w:lang w:eastAsia="lt-LT"/>
                      </w:rPr>
                      <w:t>41,1</w:t>
                    </w:r>
                  </w:p>
                </w:tc>
                <w:tc>
                  <w:tcPr>
                    <w:tcW w:w="967" w:type="dxa"/>
                  </w:tcPr>
                  <w:p>
                    <w:pPr>
                      <w:jc w:val="center"/>
                      <w:rPr>
                        <w:sz w:val="20"/>
                        <w:lang w:eastAsia="lt-LT"/>
                      </w:rPr>
                    </w:pPr>
                    <w:r>
                      <w:rPr>
                        <w:sz w:val="20"/>
                        <w:lang w:eastAsia="lt-LT"/>
                      </w:rPr>
                      <w:t>27,4</w:t>
                    </w:r>
                  </w:p>
                </w:tc>
              </w:tr>
              <w:tr>
                <w:tc>
                  <w:tcPr>
                    <w:tcW w:w="3606" w:type="dxa"/>
                  </w:tcPr>
                  <w:p>
                    <w:pPr>
                      <w:rPr>
                        <w:color w:val="000000"/>
                        <w:sz w:val="20"/>
                        <w:lang w:eastAsia="lt-LT"/>
                      </w:rPr>
                    </w:pPr>
                    <w:r>
                      <w:rPr>
                        <w:color w:val="000000"/>
                        <w:sz w:val="20"/>
                        <w:lang w:eastAsia="lt-LT"/>
                      </w:rPr>
                      <w:t>Bendra suma tūkst. Eur</w:t>
                    </w:r>
                  </w:p>
                </w:tc>
                <w:tc>
                  <w:tcPr>
                    <w:tcW w:w="1117" w:type="dxa"/>
                    <w:vAlign w:val="center"/>
                  </w:tcPr>
                  <w:p>
                    <w:pPr>
                      <w:jc w:val="center"/>
                      <w:rPr>
                        <w:sz w:val="20"/>
                        <w:lang w:eastAsia="lt-LT"/>
                      </w:rPr>
                    </w:pPr>
                    <w:r>
                      <w:rPr>
                        <w:sz w:val="20"/>
                        <w:lang w:eastAsia="lt-LT"/>
                      </w:rPr>
                      <w:t>24,2</w:t>
                    </w:r>
                  </w:p>
                </w:tc>
                <w:tc>
                  <w:tcPr>
                    <w:tcW w:w="979" w:type="dxa"/>
                    <w:vAlign w:val="center"/>
                  </w:tcPr>
                  <w:p>
                    <w:pPr>
                      <w:jc w:val="center"/>
                      <w:rPr>
                        <w:color w:val="000000"/>
                        <w:sz w:val="20"/>
                        <w:lang w:eastAsia="lt-LT"/>
                      </w:rPr>
                    </w:pPr>
                    <w:r>
                      <w:rPr>
                        <w:color w:val="000000"/>
                        <w:sz w:val="20"/>
                        <w:lang w:eastAsia="lt-LT"/>
                      </w:rPr>
                      <w:t>4,1</w:t>
                    </w:r>
                  </w:p>
                </w:tc>
                <w:tc>
                  <w:tcPr>
                    <w:tcW w:w="1117" w:type="dxa"/>
                    <w:vAlign w:val="center"/>
                  </w:tcPr>
                  <w:p>
                    <w:pPr>
                      <w:jc w:val="center"/>
                      <w:rPr>
                        <w:color w:val="000000"/>
                        <w:sz w:val="20"/>
                        <w:lang w:eastAsia="lt-LT"/>
                      </w:rPr>
                    </w:pPr>
                    <w:r>
                      <w:rPr>
                        <w:color w:val="000000"/>
                        <w:sz w:val="20"/>
                        <w:lang w:eastAsia="lt-LT"/>
                      </w:rPr>
                      <w:t>2,2</w:t>
                    </w:r>
                  </w:p>
                </w:tc>
                <w:tc>
                  <w:tcPr>
                    <w:tcW w:w="979" w:type="dxa"/>
                    <w:vAlign w:val="center"/>
                  </w:tcPr>
                  <w:p>
                    <w:pPr>
                      <w:jc w:val="center"/>
                      <w:rPr>
                        <w:color w:val="000000"/>
                        <w:sz w:val="20"/>
                        <w:lang w:eastAsia="lt-LT"/>
                      </w:rPr>
                    </w:pPr>
                    <w:r>
                      <w:rPr>
                        <w:color w:val="000000"/>
                        <w:sz w:val="20"/>
                        <w:lang w:eastAsia="lt-LT"/>
                      </w:rPr>
                      <w:t>13,3</w:t>
                    </w:r>
                  </w:p>
                </w:tc>
                <w:tc>
                  <w:tcPr>
                    <w:tcW w:w="980" w:type="dxa"/>
                    <w:vAlign w:val="center"/>
                  </w:tcPr>
                  <w:p>
                    <w:pPr>
                      <w:jc w:val="center"/>
                      <w:rPr>
                        <w:color w:val="000000"/>
                        <w:sz w:val="20"/>
                        <w:lang w:eastAsia="lt-LT"/>
                      </w:rPr>
                    </w:pPr>
                    <w:r>
                      <w:rPr>
                        <w:color w:val="000000"/>
                        <w:sz w:val="20"/>
                        <w:lang w:eastAsia="lt-LT"/>
                      </w:rPr>
                      <w:t>65,3</w:t>
                    </w:r>
                  </w:p>
                </w:tc>
                <w:tc>
                  <w:tcPr>
                    <w:tcW w:w="967" w:type="dxa"/>
                  </w:tcPr>
                  <w:p>
                    <w:pPr>
                      <w:jc w:val="center"/>
                      <w:rPr>
                        <w:sz w:val="20"/>
                        <w:lang w:eastAsia="lt-LT"/>
                      </w:rPr>
                    </w:pPr>
                    <w:r>
                      <w:rPr>
                        <w:sz w:val="20"/>
                        <w:lang w:eastAsia="lt-LT"/>
                      </w:rPr>
                      <w:t>68,72</w:t>
                    </w:r>
                  </w:p>
                </w:tc>
              </w:tr>
              <w:tr>
                <w:tc>
                  <w:tcPr>
                    <w:tcW w:w="3606" w:type="dxa"/>
                  </w:tcPr>
                  <w:p>
                    <w:pPr>
                      <w:rPr>
                        <w:color w:val="000000"/>
                        <w:sz w:val="20"/>
                        <w:lang w:eastAsia="lt-LT"/>
                      </w:rPr>
                    </w:pPr>
                    <w:r>
                      <w:rPr>
                        <w:color w:val="000000"/>
                        <w:sz w:val="20"/>
                        <w:lang w:eastAsia="lt-LT"/>
                      </w:rPr>
                      <w:t>Vidutinė būsto pritaikymo kaina tūkst. Eur</w:t>
                    </w:r>
                  </w:p>
                </w:tc>
                <w:tc>
                  <w:tcPr>
                    <w:tcW w:w="1117" w:type="dxa"/>
                    <w:vAlign w:val="center"/>
                  </w:tcPr>
                  <w:p>
                    <w:pPr>
                      <w:jc w:val="center"/>
                      <w:rPr>
                        <w:sz w:val="20"/>
                        <w:lang w:eastAsia="lt-LT"/>
                      </w:rPr>
                    </w:pPr>
                    <w:r>
                      <w:rPr>
                        <w:sz w:val="20"/>
                        <w:lang w:eastAsia="lt-LT"/>
                      </w:rPr>
                      <w:t>4,8</w:t>
                    </w:r>
                  </w:p>
                </w:tc>
                <w:tc>
                  <w:tcPr>
                    <w:tcW w:w="979" w:type="dxa"/>
                    <w:vAlign w:val="center"/>
                  </w:tcPr>
                  <w:p>
                    <w:pPr>
                      <w:jc w:val="center"/>
                      <w:rPr>
                        <w:color w:val="000000"/>
                        <w:sz w:val="20"/>
                        <w:lang w:eastAsia="lt-LT"/>
                      </w:rPr>
                    </w:pPr>
                    <w:r>
                      <w:rPr>
                        <w:color w:val="000000"/>
                        <w:sz w:val="20"/>
                        <w:lang w:eastAsia="lt-LT"/>
                      </w:rPr>
                      <w:t>4,1</w:t>
                    </w:r>
                  </w:p>
                </w:tc>
                <w:tc>
                  <w:tcPr>
                    <w:tcW w:w="1117" w:type="dxa"/>
                    <w:vAlign w:val="center"/>
                  </w:tcPr>
                  <w:p>
                    <w:pPr>
                      <w:jc w:val="center"/>
                      <w:rPr>
                        <w:color w:val="000000"/>
                        <w:sz w:val="20"/>
                        <w:lang w:eastAsia="lt-LT"/>
                      </w:rPr>
                    </w:pPr>
                    <w:r>
                      <w:rPr>
                        <w:color w:val="000000"/>
                        <w:sz w:val="20"/>
                        <w:lang w:eastAsia="lt-LT"/>
                      </w:rPr>
                      <w:t>2,2</w:t>
                    </w:r>
                  </w:p>
                </w:tc>
                <w:tc>
                  <w:tcPr>
                    <w:tcW w:w="979" w:type="dxa"/>
                    <w:vAlign w:val="center"/>
                  </w:tcPr>
                  <w:p>
                    <w:pPr>
                      <w:jc w:val="center"/>
                      <w:rPr>
                        <w:color w:val="000000"/>
                        <w:sz w:val="20"/>
                        <w:lang w:eastAsia="lt-LT"/>
                      </w:rPr>
                    </w:pPr>
                    <w:r>
                      <w:rPr>
                        <w:color w:val="000000"/>
                        <w:sz w:val="20"/>
                        <w:lang w:eastAsia="lt-LT"/>
                      </w:rPr>
                      <w:t>4,4</w:t>
                    </w:r>
                  </w:p>
                </w:tc>
                <w:tc>
                  <w:tcPr>
                    <w:tcW w:w="980" w:type="dxa"/>
                    <w:vAlign w:val="center"/>
                  </w:tcPr>
                  <w:p>
                    <w:pPr>
                      <w:jc w:val="center"/>
                      <w:rPr>
                        <w:color w:val="000000"/>
                        <w:sz w:val="20"/>
                        <w:lang w:eastAsia="lt-LT"/>
                      </w:rPr>
                    </w:pPr>
                    <w:r>
                      <w:rPr>
                        <w:color w:val="000000"/>
                        <w:sz w:val="20"/>
                        <w:lang w:eastAsia="lt-LT"/>
                      </w:rPr>
                      <w:t>7,3</w:t>
                    </w:r>
                  </w:p>
                </w:tc>
                <w:tc>
                  <w:tcPr>
                    <w:tcW w:w="967" w:type="dxa"/>
                    <w:vAlign w:val="center"/>
                  </w:tcPr>
                  <w:p>
                    <w:pPr>
                      <w:jc w:val="center"/>
                      <w:rPr>
                        <w:sz w:val="20"/>
                        <w:lang w:eastAsia="lt-LT"/>
                      </w:rPr>
                    </w:pPr>
                    <w:r>
                      <w:rPr>
                        <w:sz w:val="20"/>
                        <w:lang w:eastAsia="lt-LT"/>
                      </w:rPr>
                      <w:t>6,25</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szCs w:val="24"/>
                </w:rPr>
              </w:pPr>
            </w:p>
            <w:p>
              <w:pPr>
                <w:ind w:firstLine="851"/>
                <w:jc w:val="both"/>
                <w:rPr>
                  <w:szCs w:val="24"/>
                </w:rPr>
              </w:pPr>
              <w:r>
                <w:rPr>
                  <w:szCs w:val="24"/>
                </w:rPr>
                <w:t xml:space="preserve">Dėl senstančios visuomenės didėja </w:t>
              </w:r>
              <w:r>
                <w:rPr>
                  <w:b/>
                  <w:szCs w:val="24"/>
                </w:rPr>
                <w:t xml:space="preserve">specialiųjų socialinių paslaugų asmens namuose </w:t>
              </w:r>
              <w:r>
                <w:rPr>
                  <w:szCs w:val="24"/>
                </w:rPr>
                <w:t xml:space="preserve">poreikis. Specialiąsias socialines paslaugas asmens namuose, t. y. socialinę priežiūrą (pagalbą) ir dienos socialinę globą, teikia Telšių socialinių paslaugų centras. </w:t>
              </w:r>
              <w:r>
                <w:rPr>
                  <w:color w:val="000000"/>
                  <w:szCs w:val="24"/>
                </w:rPr>
                <w:t>Priežiūros (pagalbos) paslaugos asmens namuose per 2016 m. buvo suteiktos 150 asmenų: 76 Telšių mieste ir 74 kaimiškose seniūnijose. Paslaugos sustabdytos 25 asmenims dėl įvairių priežasčių.</w:t>
              </w:r>
              <w:r>
                <w:rPr>
                  <w:szCs w:val="24"/>
                </w:rPr>
                <w:t xml:space="preserve"> </w:t>
              </w:r>
              <w:r>
                <w:rPr>
                  <w:color w:val="000000"/>
                  <w:szCs w:val="24"/>
                </w:rPr>
                <w:t xml:space="preserve">Šios paslaugos teikiamos asmenims, kurių amžius yra nuo 43 </w:t>
              </w:r>
              <w:r>
                <w:rPr>
                  <w:szCs w:val="24"/>
                </w:rPr>
                <w:t>iki 96 metų. Pagalbos į namus paslaugų gavėjų skaičius nekinta, tačiau pastebimai didėja dienos socialinės globos poreikis. Jei 2015 m. paslaugos suteiktos 61 paslaugų gavėjams, tai 2016 m. ─ 71. Dienos socialinės globos paslaugos teikiamos nuo 2 iki 8 val. per parą iki 7 kartų per savaitę asmens namuose vienišiems asmenims su sunkia negalia. Statistiniai duomenys apie teikiamas paslaugas ir gavėjų skaičių pateikiami žemiau lentelėje.</w:t>
              </w:r>
            </w:p>
            <w:p>
              <w:pPr>
                <w:ind w:firstLine="851"/>
                <w:jc w:val="both"/>
                <w:rPr>
                  <w:szCs w:val="24"/>
                </w:rPr>
              </w:pPr>
            </w:p>
          </w:sdtContent>
        </w:sdt>
        <w:sdt>
          <w:sdtPr>
            <w:alias w:val="poskyris"/>
            <w:tag w:val="part_56a247c5efa3457d907c383458ab9acf"/>
            <w:lock w:val="sdtLocked"/>
            <w:richText/>
          </w:sdtPr>
          <w:sdtContent>
            <w:p>
              <w:pPr>
                <w:tabs>
                  <w:tab w:val="left" w:pos="570"/>
                  <w:tab w:val="left" w:pos="851"/>
                </w:tabs>
                <w:ind w:firstLine="851"/>
                <w:jc w:val="center"/>
                <w:rPr>
                  <w:szCs w:val="24"/>
                </w:rPr>
              </w:pPr>
              <w:sdt>
                <w:sdtPr>
                  <w:alias w:val="Pavadinimas"/>
                  <w:tag w:val="title_56a247c5efa3457d907c383458ab9acf"/>
                  <w:lock w:val="sdtLocked"/>
                  <w:richText/>
                </w:sdtPr>
                <w:sdtContent>
                  <w:r>
                    <w:rPr>
                      <w:b/>
                      <w:szCs w:val="24"/>
                    </w:rPr>
                    <w:t>Socialinių paslaugų gavėjų skaičius 2014─2016 m.</w:t>
                  </w:r>
                  <w:r>
                    <w:rPr>
                      <w:szCs w:val="24"/>
                      <w:vertAlign w:val="superscript"/>
                    </w:rPr>
                    <w:t xml:space="preserve"> </w:t>
                  </w:r>
                </w:sdtContent>
              </w:sdt>
              <w:r>
                <w:rPr>
                  <w:szCs w:val="24"/>
                  <w:vertAlign w:val="superscript"/>
                </w:rPr>
                <w:footnoteReference w:id="27"/>
              </w:r>
            </w:p>
            <w:tbl>
              <w:tblPr>
                <w:tblW w:w="99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1417"/>
                <w:gridCol w:w="1276"/>
                <w:gridCol w:w="1134"/>
                <w:gridCol w:w="1276"/>
                <w:gridCol w:w="1559"/>
                <w:gridCol w:w="1755"/>
                <w:gridCol w:w="993"/>
              </w:tblGrid>
              <w:tr>
                <w:trPr>
                  <w:trHeight w:val="417"/>
                </w:trPr>
                <w:tc>
                  <w:tcPr>
                    <w:tcW w:w="534" w:type="dxa"/>
                    <w:vMerge w:val="restart"/>
                    <w:shd w:val="clear" w:color="auto" w:fill="D9D9D9"/>
                    <w:vAlign w:val="center"/>
                  </w:tcPr>
                  <w:p>
                    <w:pPr>
                      <w:jc w:val="center"/>
                      <w:rPr>
                        <w:b/>
                        <w:sz w:val="20"/>
                      </w:rPr>
                    </w:pPr>
                    <w:r>
                      <w:rPr>
                        <w:b/>
                        <w:sz w:val="20"/>
                      </w:rPr>
                      <w:t>Eil. Nr.</w:t>
                    </w:r>
                  </w:p>
                </w:tc>
                <w:tc>
                  <w:tcPr>
                    <w:tcW w:w="1417" w:type="dxa"/>
                    <w:vMerge w:val="restart"/>
                    <w:tcBorders>
                      <w:tl2br w:val="single" w:sz="4" w:space="0" w:color="auto"/>
                    </w:tcBorders>
                    <w:shd w:val="clear" w:color="auto" w:fill="D9D9D9"/>
                    <w:vAlign w:val="center"/>
                  </w:tcPr>
                  <w:p>
                    <w:pPr>
                      <w:jc w:val="right"/>
                      <w:rPr>
                        <w:b/>
                        <w:sz w:val="20"/>
                      </w:rPr>
                    </w:pPr>
                    <w:r>
                      <w:rPr>
                        <w:b/>
                        <w:sz w:val="20"/>
                      </w:rPr>
                      <w:t>Rodikliai</w:t>
                    </w:r>
                  </w:p>
                  <w:p>
                    <w:pPr>
                      <w:rPr>
                        <w:b/>
                        <w:sz w:val="20"/>
                      </w:rPr>
                    </w:pPr>
                  </w:p>
                  <w:p>
                    <w:pPr>
                      <w:rPr>
                        <w:b/>
                        <w:sz w:val="20"/>
                      </w:rPr>
                    </w:pPr>
                    <w:r>
                      <w:rPr>
                        <w:b/>
                        <w:sz w:val="20"/>
                      </w:rPr>
                      <w:t>Seniūnijos</w:t>
                    </w:r>
                  </w:p>
                </w:tc>
                <w:tc>
                  <w:tcPr>
                    <w:tcW w:w="3686" w:type="dxa"/>
                    <w:gridSpan w:val="3"/>
                    <w:shd w:val="clear" w:color="auto" w:fill="D9D9D9"/>
                    <w:vAlign w:val="center"/>
                  </w:tcPr>
                  <w:p>
                    <w:pPr>
                      <w:jc w:val="center"/>
                      <w:rPr>
                        <w:b/>
                        <w:sz w:val="20"/>
                      </w:rPr>
                    </w:pPr>
                    <w:r>
                      <w:rPr>
                        <w:b/>
                        <w:sz w:val="20"/>
                      </w:rPr>
                      <w:t>Pagalbos į namus gavėjų skaičius</w:t>
                    </w:r>
                  </w:p>
                </w:tc>
                <w:tc>
                  <w:tcPr>
                    <w:tcW w:w="4307" w:type="dxa"/>
                    <w:gridSpan w:val="3"/>
                    <w:shd w:val="clear" w:color="auto" w:fill="D9D9D9"/>
                    <w:vAlign w:val="center"/>
                  </w:tcPr>
                  <w:p>
                    <w:pPr>
                      <w:jc w:val="center"/>
                      <w:rPr>
                        <w:b/>
                        <w:sz w:val="20"/>
                      </w:rPr>
                    </w:pPr>
                    <w:r>
                      <w:rPr>
                        <w:b/>
                        <w:sz w:val="20"/>
                      </w:rPr>
                      <w:t>Dienos socialinės globos namuose gavėjų skaičius</w:t>
                    </w:r>
                  </w:p>
                </w:tc>
              </w:tr>
              <w:tr>
                <w:trPr>
                  <w:trHeight w:val="234"/>
                </w:trPr>
                <w:tc>
                  <w:tcPr>
                    <w:tcW w:w="534" w:type="dxa"/>
                    <w:vMerge/>
                    <w:shd w:val="pct5" w:color="auto" w:fill="auto"/>
                    <w:textDirection w:val="btLr"/>
                    <w:vAlign w:val="bottom"/>
                  </w:tcPr>
                  <w:p>
                    <w:pPr>
                      <w:ind w:left="113" w:right="113"/>
                      <w:jc w:val="center"/>
                      <w:rPr>
                        <w:iCs/>
                        <w:sz w:val="20"/>
                      </w:rPr>
                    </w:pPr>
                  </w:p>
                </w:tc>
                <w:tc>
                  <w:tcPr>
                    <w:tcW w:w="1417" w:type="dxa"/>
                    <w:vMerge/>
                    <w:tcBorders>
                      <w:tl2br w:val="single" w:sz="4" w:space="0" w:color="auto"/>
                    </w:tcBorders>
                    <w:shd w:val="pct5" w:color="auto" w:fill="auto"/>
                    <w:textDirection w:val="btLr"/>
                    <w:vAlign w:val="bottom"/>
                  </w:tcPr>
                  <w:p>
                    <w:pPr>
                      <w:ind w:left="113" w:right="113"/>
                      <w:jc w:val="center"/>
                      <w:rPr>
                        <w:iCs/>
                        <w:sz w:val="20"/>
                      </w:rPr>
                    </w:pPr>
                  </w:p>
                </w:tc>
                <w:tc>
                  <w:tcPr>
                    <w:tcW w:w="1276" w:type="dxa"/>
                    <w:shd w:val="clear" w:color="auto" w:fill="D9D9D9"/>
                    <w:vAlign w:val="bottom"/>
                  </w:tcPr>
                  <w:p>
                    <w:pPr>
                      <w:jc w:val="center"/>
                      <w:rPr>
                        <w:b/>
                        <w:sz w:val="20"/>
                      </w:rPr>
                    </w:pPr>
                    <w:r>
                      <w:rPr>
                        <w:b/>
                        <w:sz w:val="20"/>
                      </w:rPr>
                      <w:t>2014 m.</w:t>
                    </w:r>
                  </w:p>
                </w:tc>
                <w:tc>
                  <w:tcPr>
                    <w:tcW w:w="1134" w:type="dxa"/>
                    <w:shd w:val="clear" w:color="auto" w:fill="D9D9D9"/>
                    <w:vAlign w:val="bottom"/>
                  </w:tcPr>
                  <w:p>
                    <w:pPr>
                      <w:jc w:val="center"/>
                      <w:rPr>
                        <w:b/>
                        <w:sz w:val="20"/>
                      </w:rPr>
                    </w:pPr>
                    <w:r>
                      <w:rPr>
                        <w:b/>
                        <w:sz w:val="20"/>
                      </w:rPr>
                      <w:t>2015 m.</w:t>
                    </w:r>
                  </w:p>
                </w:tc>
                <w:tc>
                  <w:tcPr>
                    <w:tcW w:w="1276" w:type="dxa"/>
                    <w:shd w:val="clear" w:color="auto" w:fill="D9D9D9"/>
                    <w:vAlign w:val="bottom"/>
                  </w:tcPr>
                  <w:p>
                    <w:pPr>
                      <w:jc w:val="center"/>
                      <w:rPr>
                        <w:b/>
                        <w:sz w:val="20"/>
                      </w:rPr>
                    </w:pPr>
                    <w:r>
                      <w:rPr>
                        <w:b/>
                        <w:sz w:val="20"/>
                      </w:rPr>
                      <w:t>2016 m.</w:t>
                    </w:r>
                  </w:p>
                </w:tc>
                <w:tc>
                  <w:tcPr>
                    <w:tcW w:w="1559" w:type="dxa"/>
                    <w:shd w:val="clear" w:color="auto" w:fill="D9D9D9"/>
                    <w:vAlign w:val="bottom"/>
                  </w:tcPr>
                  <w:p>
                    <w:pPr>
                      <w:jc w:val="center"/>
                      <w:rPr>
                        <w:b/>
                        <w:sz w:val="20"/>
                      </w:rPr>
                    </w:pPr>
                    <w:r>
                      <w:rPr>
                        <w:b/>
                        <w:sz w:val="20"/>
                      </w:rPr>
                      <w:t>2014 m.</w:t>
                    </w:r>
                  </w:p>
                </w:tc>
                <w:tc>
                  <w:tcPr>
                    <w:tcW w:w="1755" w:type="dxa"/>
                    <w:shd w:val="clear" w:color="auto" w:fill="D9D9D9"/>
                    <w:vAlign w:val="bottom"/>
                  </w:tcPr>
                  <w:p>
                    <w:pPr>
                      <w:jc w:val="center"/>
                      <w:rPr>
                        <w:b/>
                        <w:sz w:val="20"/>
                      </w:rPr>
                    </w:pPr>
                    <w:r>
                      <w:rPr>
                        <w:b/>
                        <w:sz w:val="20"/>
                      </w:rPr>
                      <w:t>2015 m.</w:t>
                    </w:r>
                  </w:p>
                </w:tc>
                <w:tc>
                  <w:tcPr>
                    <w:tcW w:w="993" w:type="dxa"/>
                    <w:shd w:val="clear" w:color="auto" w:fill="D9D9D9"/>
                    <w:vAlign w:val="bottom"/>
                  </w:tcPr>
                  <w:p>
                    <w:pPr>
                      <w:jc w:val="center"/>
                      <w:rPr>
                        <w:b/>
                        <w:sz w:val="20"/>
                      </w:rPr>
                    </w:pPr>
                    <w:r>
                      <w:rPr>
                        <w:b/>
                        <w:sz w:val="20"/>
                      </w:rPr>
                      <w:t>2016 m.</w:t>
                    </w:r>
                  </w:p>
                </w:tc>
              </w:tr>
              <w:tr>
                <w:trPr>
                  <w:trHeight w:val="130"/>
                </w:trPr>
                <w:tc>
                  <w:tcPr>
                    <w:tcW w:w="534" w:type="dxa"/>
                    <w:shd w:val="clear" w:color="auto" w:fill="auto"/>
                    <w:vAlign w:val="center"/>
                  </w:tcPr>
                  <w:p>
                    <w:pPr>
                      <w:jc w:val="center"/>
                      <w:rPr>
                        <w:iCs/>
                        <w:sz w:val="20"/>
                      </w:rPr>
                    </w:pPr>
                    <w:r>
                      <w:rPr>
                        <w:iCs/>
                        <w:sz w:val="20"/>
                      </w:rPr>
                      <w:t>1.</w:t>
                    </w:r>
                  </w:p>
                </w:tc>
                <w:tc>
                  <w:tcPr>
                    <w:tcW w:w="1417" w:type="dxa"/>
                    <w:shd w:val="clear" w:color="auto" w:fill="auto"/>
                    <w:vAlign w:val="center"/>
                  </w:tcPr>
                  <w:p>
                    <w:pPr>
                      <w:rPr>
                        <w:sz w:val="20"/>
                      </w:rPr>
                    </w:pPr>
                    <w:r>
                      <w:rPr>
                        <w:sz w:val="20"/>
                      </w:rPr>
                      <w:t xml:space="preserve">Telšių </w:t>
                    </w:r>
                  </w:p>
                </w:tc>
                <w:tc>
                  <w:tcPr>
                    <w:tcW w:w="1276" w:type="dxa"/>
                    <w:shd w:val="clear" w:color="auto" w:fill="auto"/>
                    <w:vAlign w:val="center"/>
                  </w:tcPr>
                  <w:p>
                    <w:pPr>
                      <w:jc w:val="center"/>
                      <w:rPr>
                        <w:sz w:val="20"/>
                      </w:rPr>
                    </w:pPr>
                    <w:r>
                      <w:rPr>
                        <w:sz w:val="20"/>
                      </w:rPr>
                      <w:t>69</w:t>
                    </w:r>
                  </w:p>
                </w:tc>
                <w:tc>
                  <w:tcPr>
                    <w:tcW w:w="1134" w:type="dxa"/>
                    <w:shd w:val="clear" w:color="auto" w:fill="auto"/>
                    <w:vAlign w:val="center"/>
                  </w:tcPr>
                  <w:p>
                    <w:pPr>
                      <w:jc w:val="center"/>
                      <w:rPr>
                        <w:sz w:val="20"/>
                      </w:rPr>
                    </w:pPr>
                    <w:r>
                      <w:rPr>
                        <w:sz w:val="20"/>
                      </w:rPr>
                      <w:t>72</w:t>
                    </w:r>
                  </w:p>
                </w:tc>
                <w:tc>
                  <w:tcPr>
                    <w:tcW w:w="1276" w:type="dxa"/>
                    <w:shd w:val="clear" w:color="auto" w:fill="auto"/>
                    <w:vAlign w:val="center"/>
                  </w:tcPr>
                  <w:p>
                    <w:pPr>
                      <w:jc w:val="center"/>
                      <w:rPr>
                        <w:sz w:val="20"/>
                      </w:rPr>
                    </w:pPr>
                    <w:r>
                      <w:rPr>
                        <w:sz w:val="20"/>
                      </w:rPr>
                      <w:t>76</w:t>
                    </w:r>
                  </w:p>
                </w:tc>
                <w:tc>
                  <w:tcPr>
                    <w:tcW w:w="1559" w:type="dxa"/>
                    <w:shd w:val="clear" w:color="auto" w:fill="auto"/>
                    <w:vAlign w:val="center"/>
                  </w:tcPr>
                  <w:p>
                    <w:pPr>
                      <w:jc w:val="center"/>
                      <w:rPr>
                        <w:sz w:val="20"/>
                      </w:rPr>
                    </w:pPr>
                    <w:r>
                      <w:rPr>
                        <w:sz w:val="20"/>
                      </w:rPr>
                      <w:t>38</w:t>
                    </w:r>
                  </w:p>
                </w:tc>
                <w:tc>
                  <w:tcPr>
                    <w:tcW w:w="1755" w:type="dxa"/>
                    <w:shd w:val="clear" w:color="auto" w:fill="auto"/>
                    <w:vAlign w:val="center"/>
                  </w:tcPr>
                  <w:p>
                    <w:pPr>
                      <w:jc w:val="center"/>
                      <w:rPr>
                        <w:sz w:val="20"/>
                      </w:rPr>
                    </w:pPr>
                    <w:r>
                      <w:rPr>
                        <w:sz w:val="20"/>
                      </w:rPr>
                      <w:t>48</w:t>
                    </w:r>
                  </w:p>
                </w:tc>
                <w:tc>
                  <w:tcPr>
                    <w:tcW w:w="993" w:type="dxa"/>
                    <w:shd w:val="clear" w:color="auto" w:fill="auto"/>
                    <w:vAlign w:val="center"/>
                  </w:tcPr>
                  <w:p>
                    <w:pPr>
                      <w:jc w:val="center"/>
                      <w:rPr>
                        <w:sz w:val="20"/>
                      </w:rPr>
                    </w:pPr>
                    <w:r>
                      <w:rPr>
                        <w:sz w:val="20"/>
                      </w:rPr>
                      <w:t>51</w:t>
                    </w:r>
                  </w:p>
                </w:tc>
              </w:tr>
              <w:tr>
                <w:trPr>
                  <w:trHeight w:val="176"/>
                </w:trPr>
                <w:tc>
                  <w:tcPr>
                    <w:tcW w:w="534" w:type="dxa"/>
                    <w:shd w:val="clear" w:color="auto" w:fill="auto"/>
                    <w:vAlign w:val="center"/>
                  </w:tcPr>
                  <w:p>
                    <w:pPr>
                      <w:jc w:val="center"/>
                      <w:rPr>
                        <w:iCs/>
                        <w:sz w:val="20"/>
                      </w:rPr>
                    </w:pPr>
                    <w:r>
                      <w:rPr>
                        <w:iCs/>
                        <w:sz w:val="20"/>
                      </w:rPr>
                      <w:t>2.</w:t>
                    </w:r>
                  </w:p>
                </w:tc>
                <w:tc>
                  <w:tcPr>
                    <w:tcW w:w="1417" w:type="dxa"/>
                    <w:shd w:val="clear" w:color="auto" w:fill="auto"/>
                    <w:vAlign w:val="center"/>
                  </w:tcPr>
                  <w:p>
                    <w:pPr>
                      <w:rPr>
                        <w:sz w:val="20"/>
                      </w:rPr>
                    </w:pPr>
                    <w:r>
                      <w:rPr>
                        <w:sz w:val="20"/>
                      </w:rPr>
                      <w:t xml:space="preserve">Nevarėnų </w:t>
                    </w:r>
                  </w:p>
                </w:tc>
                <w:tc>
                  <w:tcPr>
                    <w:tcW w:w="1276" w:type="dxa"/>
                    <w:shd w:val="clear" w:color="auto" w:fill="auto"/>
                    <w:vAlign w:val="center"/>
                  </w:tcPr>
                  <w:p>
                    <w:pPr>
                      <w:jc w:val="center"/>
                      <w:rPr>
                        <w:sz w:val="20"/>
                      </w:rPr>
                    </w:pPr>
                    <w:r>
                      <w:rPr>
                        <w:sz w:val="20"/>
                      </w:rPr>
                      <w:t>3</w:t>
                    </w:r>
                  </w:p>
                </w:tc>
                <w:tc>
                  <w:tcPr>
                    <w:tcW w:w="1134" w:type="dxa"/>
                    <w:shd w:val="clear" w:color="auto" w:fill="auto"/>
                    <w:vAlign w:val="center"/>
                  </w:tcPr>
                  <w:p>
                    <w:pPr>
                      <w:jc w:val="center"/>
                      <w:rPr>
                        <w:sz w:val="20"/>
                      </w:rPr>
                    </w:pPr>
                    <w:r>
                      <w:rPr>
                        <w:sz w:val="20"/>
                      </w:rPr>
                      <w:t>1</w:t>
                    </w:r>
                  </w:p>
                </w:tc>
                <w:tc>
                  <w:tcPr>
                    <w:tcW w:w="1276" w:type="dxa"/>
                    <w:shd w:val="clear" w:color="auto" w:fill="auto"/>
                    <w:vAlign w:val="center"/>
                  </w:tcPr>
                  <w:p>
                    <w:pPr>
                      <w:jc w:val="center"/>
                      <w:rPr>
                        <w:sz w:val="20"/>
                      </w:rPr>
                    </w:pPr>
                    <w:r>
                      <w:rPr>
                        <w:sz w:val="20"/>
                      </w:rPr>
                      <w:t>4</w:t>
                    </w:r>
                  </w:p>
                </w:tc>
                <w:tc>
                  <w:tcPr>
                    <w:tcW w:w="1559" w:type="dxa"/>
                    <w:shd w:val="clear" w:color="auto" w:fill="auto"/>
                    <w:vAlign w:val="center"/>
                  </w:tcPr>
                  <w:p>
                    <w:pPr>
                      <w:jc w:val="center"/>
                      <w:rPr>
                        <w:sz w:val="20"/>
                      </w:rPr>
                    </w:pPr>
                    <w:r>
                      <w:rPr>
                        <w:sz w:val="20"/>
                      </w:rPr>
                      <w:t>2</w:t>
                    </w:r>
                  </w:p>
                </w:tc>
                <w:tc>
                  <w:tcPr>
                    <w:tcW w:w="1755" w:type="dxa"/>
                    <w:shd w:val="clear" w:color="auto" w:fill="auto"/>
                    <w:vAlign w:val="center"/>
                  </w:tcPr>
                  <w:p>
                    <w:pPr>
                      <w:jc w:val="center"/>
                      <w:rPr>
                        <w:sz w:val="20"/>
                      </w:rPr>
                    </w:pPr>
                    <w:r>
                      <w:rPr>
                        <w:sz w:val="20"/>
                      </w:rPr>
                      <w:t>1</w:t>
                    </w:r>
                  </w:p>
                </w:tc>
                <w:tc>
                  <w:tcPr>
                    <w:tcW w:w="993" w:type="dxa"/>
                    <w:shd w:val="clear" w:color="auto" w:fill="auto"/>
                    <w:vAlign w:val="center"/>
                  </w:tcPr>
                  <w:p>
                    <w:pPr>
                      <w:jc w:val="center"/>
                      <w:rPr>
                        <w:sz w:val="20"/>
                      </w:rPr>
                    </w:pPr>
                    <w:r>
                      <w:rPr>
                        <w:sz w:val="20"/>
                      </w:rPr>
                      <w:t>2</w:t>
                    </w:r>
                  </w:p>
                </w:tc>
              </w:tr>
              <w:tr>
                <w:trPr>
                  <w:trHeight w:val="207"/>
                </w:trPr>
                <w:tc>
                  <w:tcPr>
                    <w:tcW w:w="534" w:type="dxa"/>
                    <w:shd w:val="clear" w:color="auto" w:fill="auto"/>
                    <w:vAlign w:val="center"/>
                  </w:tcPr>
                  <w:p>
                    <w:pPr>
                      <w:jc w:val="center"/>
                      <w:rPr>
                        <w:iCs/>
                        <w:sz w:val="20"/>
                      </w:rPr>
                    </w:pPr>
                    <w:r>
                      <w:rPr>
                        <w:iCs/>
                        <w:sz w:val="20"/>
                      </w:rPr>
                      <w:t>3.</w:t>
                    </w:r>
                  </w:p>
                </w:tc>
                <w:tc>
                  <w:tcPr>
                    <w:tcW w:w="1417" w:type="dxa"/>
                    <w:shd w:val="clear" w:color="auto" w:fill="auto"/>
                    <w:vAlign w:val="center"/>
                  </w:tcPr>
                  <w:p>
                    <w:pPr>
                      <w:rPr>
                        <w:sz w:val="20"/>
                      </w:rPr>
                    </w:pPr>
                    <w:r>
                      <w:rPr>
                        <w:sz w:val="20"/>
                      </w:rPr>
                      <w:t xml:space="preserve">Žarėnų </w:t>
                    </w:r>
                  </w:p>
                </w:tc>
                <w:tc>
                  <w:tcPr>
                    <w:tcW w:w="1276" w:type="dxa"/>
                    <w:shd w:val="clear" w:color="auto" w:fill="auto"/>
                    <w:vAlign w:val="center"/>
                  </w:tcPr>
                  <w:p>
                    <w:pPr>
                      <w:jc w:val="center"/>
                      <w:rPr>
                        <w:sz w:val="20"/>
                      </w:rPr>
                    </w:pPr>
                    <w:r>
                      <w:rPr>
                        <w:sz w:val="20"/>
                      </w:rPr>
                      <w:t>9</w:t>
                    </w:r>
                  </w:p>
                </w:tc>
                <w:tc>
                  <w:tcPr>
                    <w:tcW w:w="1134" w:type="dxa"/>
                    <w:shd w:val="clear" w:color="auto" w:fill="auto"/>
                    <w:vAlign w:val="center"/>
                  </w:tcPr>
                  <w:p>
                    <w:pPr>
                      <w:jc w:val="center"/>
                      <w:rPr>
                        <w:sz w:val="20"/>
                      </w:rPr>
                    </w:pPr>
                    <w:r>
                      <w:rPr>
                        <w:sz w:val="20"/>
                      </w:rPr>
                      <w:t>6</w:t>
                    </w:r>
                  </w:p>
                </w:tc>
                <w:tc>
                  <w:tcPr>
                    <w:tcW w:w="1276" w:type="dxa"/>
                    <w:shd w:val="clear" w:color="auto" w:fill="auto"/>
                    <w:vAlign w:val="center"/>
                  </w:tcPr>
                  <w:p>
                    <w:pPr>
                      <w:jc w:val="center"/>
                      <w:rPr>
                        <w:sz w:val="20"/>
                      </w:rPr>
                    </w:pPr>
                    <w:r>
                      <w:rPr>
                        <w:sz w:val="20"/>
                      </w:rPr>
                      <w:t>5</w:t>
                    </w:r>
                  </w:p>
                </w:tc>
                <w:tc>
                  <w:tcPr>
                    <w:tcW w:w="1559" w:type="dxa"/>
                    <w:shd w:val="clear" w:color="auto" w:fill="auto"/>
                    <w:vAlign w:val="center"/>
                  </w:tcPr>
                  <w:p>
                    <w:pPr>
                      <w:jc w:val="center"/>
                      <w:rPr>
                        <w:sz w:val="20"/>
                      </w:rPr>
                    </w:pPr>
                  </w:p>
                </w:tc>
                <w:tc>
                  <w:tcPr>
                    <w:tcW w:w="1755" w:type="dxa"/>
                    <w:shd w:val="clear" w:color="auto" w:fill="auto"/>
                    <w:vAlign w:val="center"/>
                  </w:tcPr>
                  <w:p>
                    <w:pPr>
                      <w:jc w:val="center"/>
                      <w:rPr>
                        <w:sz w:val="20"/>
                      </w:rPr>
                    </w:pPr>
                    <w:r>
                      <w:rPr>
                        <w:sz w:val="20"/>
                      </w:rPr>
                      <w:t>-</w:t>
                    </w:r>
                  </w:p>
                </w:tc>
                <w:tc>
                  <w:tcPr>
                    <w:tcW w:w="993" w:type="dxa"/>
                    <w:shd w:val="clear" w:color="auto" w:fill="auto"/>
                    <w:vAlign w:val="center"/>
                  </w:tcPr>
                  <w:p>
                    <w:pPr>
                      <w:jc w:val="center"/>
                      <w:rPr>
                        <w:sz w:val="20"/>
                      </w:rPr>
                    </w:pPr>
                    <w:r>
                      <w:rPr>
                        <w:sz w:val="20"/>
                      </w:rPr>
                      <w:t>-</w:t>
                    </w:r>
                  </w:p>
                </w:tc>
              </w:tr>
              <w:tr>
                <w:trPr>
                  <w:trHeight w:val="212"/>
                </w:trPr>
                <w:tc>
                  <w:tcPr>
                    <w:tcW w:w="534" w:type="dxa"/>
                    <w:shd w:val="clear" w:color="auto" w:fill="auto"/>
                    <w:vAlign w:val="center"/>
                  </w:tcPr>
                  <w:p>
                    <w:pPr>
                      <w:jc w:val="center"/>
                      <w:rPr>
                        <w:iCs/>
                        <w:sz w:val="20"/>
                      </w:rPr>
                    </w:pPr>
                    <w:r>
                      <w:rPr>
                        <w:iCs/>
                        <w:sz w:val="20"/>
                      </w:rPr>
                      <w:t>4.</w:t>
                    </w:r>
                  </w:p>
                </w:tc>
                <w:tc>
                  <w:tcPr>
                    <w:tcW w:w="1417" w:type="dxa"/>
                    <w:shd w:val="clear" w:color="auto" w:fill="auto"/>
                    <w:vAlign w:val="center"/>
                  </w:tcPr>
                  <w:p>
                    <w:pPr>
                      <w:rPr>
                        <w:sz w:val="20"/>
                      </w:rPr>
                    </w:pPr>
                    <w:r>
                      <w:rPr>
                        <w:sz w:val="20"/>
                      </w:rPr>
                      <w:t xml:space="preserve">Viešvienų </w:t>
                    </w:r>
                  </w:p>
                </w:tc>
                <w:tc>
                  <w:tcPr>
                    <w:tcW w:w="1276" w:type="dxa"/>
                    <w:shd w:val="clear" w:color="auto" w:fill="auto"/>
                    <w:vAlign w:val="center"/>
                  </w:tcPr>
                  <w:p>
                    <w:pPr>
                      <w:jc w:val="center"/>
                      <w:rPr>
                        <w:sz w:val="20"/>
                      </w:rPr>
                    </w:pPr>
                    <w:r>
                      <w:rPr>
                        <w:sz w:val="20"/>
                      </w:rPr>
                      <w:t>6</w:t>
                    </w:r>
                  </w:p>
                </w:tc>
                <w:tc>
                  <w:tcPr>
                    <w:tcW w:w="1134" w:type="dxa"/>
                    <w:shd w:val="clear" w:color="auto" w:fill="auto"/>
                    <w:vAlign w:val="center"/>
                  </w:tcPr>
                  <w:p>
                    <w:pPr>
                      <w:jc w:val="center"/>
                      <w:rPr>
                        <w:sz w:val="20"/>
                      </w:rPr>
                    </w:pPr>
                    <w:r>
                      <w:rPr>
                        <w:sz w:val="20"/>
                      </w:rPr>
                      <w:t>5</w:t>
                    </w:r>
                  </w:p>
                </w:tc>
                <w:tc>
                  <w:tcPr>
                    <w:tcW w:w="1276" w:type="dxa"/>
                    <w:shd w:val="clear" w:color="auto" w:fill="auto"/>
                    <w:vAlign w:val="center"/>
                  </w:tcPr>
                  <w:p>
                    <w:pPr>
                      <w:jc w:val="center"/>
                      <w:rPr>
                        <w:sz w:val="20"/>
                      </w:rPr>
                    </w:pPr>
                    <w:r>
                      <w:rPr>
                        <w:sz w:val="20"/>
                      </w:rPr>
                      <w:t>4</w:t>
                    </w:r>
                  </w:p>
                </w:tc>
                <w:tc>
                  <w:tcPr>
                    <w:tcW w:w="1559" w:type="dxa"/>
                    <w:shd w:val="clear" w:color="auto" w:fill="auto"/>
                    <w:vAlign w:val="center"/>
                  </w:tcPr>
                  <w:p>
                    <w:pPr>
                      <w:jc w:val="center"/>
                      <w:rPr>
                        <w:sz w:val="20"/>
                      </w:rPr>
                    </w:pPr>
                    <w:r>
                      <w:rPr>
                        <w:sz w:val="20"/>
                      </w:rPr>
                      <w:t>2</w:t>
                    </w:r>
                  </w:p>
                </w:tc>
                <w:tc>
                  <w:tcPr>
                    <w:tcW w:w="1755" w:type="dxa"/>
                    <w:shd w:val="clear" w:color="auto" w:fill="auto"/>
                    <w:vAlign w:val="center"/>
                  </w:tcPr>
                  <w:p>
                    <w:pPr>
                      <w:jc w:val="center"/>
                      <w:rPr>
                        <w:sz w:val="20"/>
                      </w:rPr>
                    </w:pPr>
                    <w:r>
                      <w:rPr>
                        <w:sz w:val="20"/>
                      </w:rPr>
                      <w:t>1</w:t>
                    </w:r>
                  </w:p>
                </w:tc>
                <w:tc>
                  <w:tcPr>
                    <w:tcW w:w="993" w:type="dxa"/>
                    <w:shd w:val="clear" w:color="auto" w:fill="auto"/>
                    <w:vAlign w:val="center"/>
                  </w:tcPr>
                  <w:p>
                    <w:pPr>
                      <w:jc w:val="center"/>
                      <w:rPr>
                        <w:sz w:val="20"/>
                      </w:rPr>
                    </w:pPr>
                    <w:r>
                      <w:rPr>
                        <w:sz w:val="20"/>
                      </w:rPr>
                      <w:t>2</w:t>
                    </w:r>
                  </w:p>
                </w:tc>
              </w:tr>
              <w:tr>
                <w:trPr>
                  <w:trHeight w:val="115"/>
                </w:trPr>
                <w:tc>
                  <w:tcPr>
                    <w:tcW w:w="534" w:type="dxa"/>
                    <w:shd w:val="clear" w:color="auto" w:fill="auto"/>
                    <w:vAlign w:val="center"/>
                  </w:tcPr>
                  <w:p>
                    <w:pPr>
                      <w:jc w:val="center"/>
                      <w:rPr>
                        <w:iCs/>
                        <w:sz w:val="20"/>
                      </w:rPr>
                    </w:pPr>
                    <w:r>
                      <w:rPr>
                        <w:iCs/>
                        <w:sz w:val="20"/>
                      </w:rPr>
                      <w:t>5.</w:t>
                    </w:r>
                  </w:p>
                </w:tc>
                <w:tc>
                  <w:tcPr>
                    <w:tcW w:w="1417" w:type="dxa"/>
                    <w:shd w:val="clear" w:color="auto" w:fill="auto"/>
                    <w:vAlign w:val="center"/>
                  </w:tcPr>
                  <w:p>
                    <w:pPr>
                      <w:rPr>
                        <w:sz w:val="20"/>
                      </w:rPr>
                    </w:pPr>
                    <w:r>
                      <w:rPr>
                        <w:sz w:val="20"/>
                      </w:rPr>
                      <w:t xml:space="preserve">Upynos </w:t>
                    </w:r>
                  </w:p>
                </w:tc>
                <w:tc>
                  <w:tcPr>
                    <w:tcW w:w="1276" w:type="dxa"/>
                    <w:shd w:val="clear" w:color="auto" w:fill="auto"/>
                    <w:vAlign w:val="center"/>
                  </w:tcPr>
                  <w:p>
                    <w:pPr>
                      <w:jc w:val="center"/>
                      <w:rPr>
                        <w:sz w:val="20"/>
                      </w:rPr>
                    </w:pPr>
                    <w:r>
                      <w:rPr>
                        <w:sz w:val="20"/>
                      </w:rPr>
                      <w:t>10</w:t>
                    </w:r>
                  </w:p>
                </w:tc>
                <w:tc>
                  <w:tcPr>
                    <w:tcW w:w="1134" w:type="dxa"/>
                    <w:shd w:val="clear" w:color="auto" w:fill="auto"/>
                    <w:vAlign w:val="center"/>
                  </w:tcPr>
                  <w:p>
                    <w:pPr>
                      <w:jc w:val="center"/>
                      <w:rPr>
                        <w:sz w:val="20"/>
                      </w:rPr>
                    </w:pPr>
                    <w:r>
                      <w:rPr>
                        <w:sz w:val="20"/>
                      </w:rPr>
                      <w:t>12</w:t>
                    </w:r>
                  </w:p>
                </w:tc>
                <w:tc>
                  <w:tcPr>
                    <w:tcW w:w="1276" w:type="dxa"/>
                    <w:shd w:val="clear" w:color="auto" w:fill="auto"/>
                    <w:vAlign w:val="center"/>
                  </w:tcPr>
                  <w:p>
                    <w:pPr>
                      <w:jc w:val="center"/>
                      <w:rPr>
                        <w:sz w:val="20"/>
                      </w:rPr>
                    </w:pPr>
                    <w:r>
                      <w:rPr>
                        <w:sz w:val="20"/>
                      </w:rPr>
                      <w:t>11</w:t>
                    </w:r>
                  </w:p>
                </w:tc>
                <w:tc>
                  <w:tcPr>
                    <w:tcW w:w="1559" w:type="dxa"/>
                    <w:shd w:val="clear" w:color="auto" w:fill="auto"/>
                    <w:vAlign w:val="center"/>
                  </w:tcPr>
                  <w:p>
                    <w:pPr>
                      <w:jc w:val="center"/>
                      <w:rPr>
                        <w:sz w:val="20"/>
                      </w:rPr>
                    </w:pPr>
                  </w:p>
                </w:tc>
                <w:tc>
                  <w:tcPr>
                    <w:tcW w:w="1755" w:type="dxa"/>
                    <w:shd w:val="clear" w:color="auto" w:fill="auto"/>
                    <w:vAlign w:val="center"/>
                  </w:tcPr>
                  <w:p>
                    <w:pPr>
                      <w:jc w:val="center"/>
                      <w:rPr>
                        <w:sz w:val="20"/>
                      </w:rPr>
                    </w:pPr>
                    <w:r>
                      <w:rPr>
                        <w:sz w:val="20"/>
                      </w:rPr>
                      <w:t>-</w:t>
                    </w:r>
                  </w:p>
                </w:tc>
                <w:tc>
                  <w:tcPr>
                    <w:tcW w:w="993" w:type="dxa"/>
                    <w:shd w:val="clear" w:color="auto" w:fill="auto"/>
                    <w:vAlign w:val="center"/>
                  </w:tcPr>
                  <w:p>
                    <w:pPr>
                      <w:jc w:val="center"/>
                      <w:rPr>
                        <w:sz w:val="20"/>
                      </w:rPr>
                    </w:pPr>
                    <w:r>
                      <w:rPr>
                        <w:sz w:val="20"/>
                      </w:rPr>
                      <w:t>1</w:t>
                    </w:r>
                  </w:p>
                </w:tc>
              </w:tr>
              <w:tr>
                <w:trPr>
                  <w:trHeight w:val="62"/>
                </w:trPr>
                <w:tc>
                  <w:tcPr>
                    <w:tcW w:w="534" w:type="dxa"/>
                    <w:shd w:val="clear" w:color="auto" w:fill="auto"/>
                    <w:vAlign w:val="center"/>
                  </w:tcPr>
                  <w:p>
                    <w:pPr>
                      <w:jc w:val="center"/>
                      <w:rPr>
                        <w:iCs/>
                        <w:sz w:val="20"/>
                      </w:rPr>
                    </w:pPr>
                    <w:r>
                      <w:rPr>
                        <w:iCs/>
                        <w:sz w:val="20"/>
                      </w:rPr>
                      <w:t>6.</w:t>
                    </w:r>
                  </w:p>
                </w:tc>
                <w:tc>
                  <w:tcPr>
                    <w:tcW w:w="1417" w:type="dxa"/>
                    <w:shd w:val="clear" w:color="auto" w:fill="auto"/>
                    <w:vAlign w:val="center"/>
                  </w:tcPr>
                  <w:p>
                    <w:pPr>
                      <w:rPr>
                        <w:sz w:val="20"/>
                      </w:rPr>
                    </w:pPr>
                    <w:r>
                      <w:rPr>
                        <w:sz w:val="20"/>
                      </w:rPr>
                      <w:t xml:space="preserve">Degaičių </w:t>
                    </w:r>
                  </w:p>
                </w:tc>
                <w:tc>
                  <w:tcPr>
                    <w:tcW w:w="1276" w:type="dxa"/>
                    <w:shd w:val="clear" w:color="auto" w:fill="auto"/>
                    <w:vAlign w:val="center"/>
                  </w:tcPr>
                  <w:p>
                    <w:pPr>
                      <w:jc w:val="center"/>
                      <w:rPr>
                        <w:sz w:val="20"/>
                      </w:rPr>
                    </w:pPr>
                    <w:r>
                      <w:rPr>
                        <w:sz w:val="20"/>
                      </w:rPr>
                      <w:t>4</w:t>
                    </w:r>
                  </w:p>
                </w:tc>
                <w:tc>
                  <w:tcPr>
                    <w:tcW w:w="1134" w:type="dxa"/>
                    <w:shd w:val="clear" w:color="auto" w:fill="auto"/>
                    <w:vAlign w:val="center"/>
                  </w:tcPr>
                  <w:p>
                    <w:pPr>
                      <w:jc w:val="center"/>
                      <w:rPr>
                        <w:sz w:val="20"/>
                      </w:rPr>
                    </w:pPr>
                    <w:r>
                      <w:rPr>
                        <w:sz w:val="20"/>
                      </w:rPr>
                      <w:t>4</w:t>
                    </w:r>
                  </w:p>
                </w:tc>
                <w:tc>
                  <w:tcPr>
                    <w:tcW w:w="1276" w:type="dxa"/>
                    <w:shd w:val="clear" w:color="auto" w:fill="auto"/>
                    <w:vAlign w:val="center"/>
                  </w:tcPr>
                  <w:p>
                    <w:pPr>
                      <w:jc w:val="center"/>
                      <w:rPr>
                        <w:sz w:val="20"/>
                      </w:rPr>
                    </w:pPr>
                    <w:r>
                      <w:rPr>
                        <w:sz w:val="20"/>
                      </w:rPr>
                      <w:t>3</w:t>
                    </w:r>
                  </w:p>
                </w:tc>
                <w:tc>
                  <w:tcPr>
                    <w:tcW w:w="1559" w:type="dxa"/>
                    <w:shd w:val="clear" w:color="auto" w:fill="auto"/>
                    <w:vAlign w:val="center"/>
                  </w:tcPr>
                  <w:p>
                    <w:pPr>
                      <w:jc w:val="center"/>
                      <w:rPr>
                        <w:sz w:val="20"/>
                      </w:rPr>
                    </w:pPr>
                  </w:p>
                </w:tc>
                <w:tc>
                  <w:tcPr>
                    <w:tcW w:w="1755" w:type="dxa"/>
                    <w:shd w:val="clear" w:color="auto" w:fill="auto"/>
                    <w:vAlign w:val="center"/>
                  </w:tcPr>
                  <w:p>
                    <w:pPr>
                      <w:jc w:val="center"/>
                      <w:rPr>
                        <w:sz w:val="20"/>
                      </w:rPr>
                    </w:pPr>
                    <w:r>
                      <w:rPr>
                        <w:sz w:val="20"/>
                      </w:rPr>
                      <w:t>-</w:t>
                    </w:r>
                  </w:p>
                </w:tc>
                <w:tc>
                  <w:tcPr>
                    <w:tcW w:w="993" w:type="dxa"/>
                    <w:shd w:val="clear" w:color="auto" w:fill="auto"/>
                    <w:vAlign w:val="center"/>
                  </w:tcPr>
                  <w:p>
                    <w:pPr>
                      <w:jc w:val="center"/>
                      <w:rPr>
                        <w:sz w:val="20"/>
                      </w:rPr>
                    </w:pPr>
                    <w:r>
                      <w:rPr>
                        <w:sz w:val="20"/>
                      </w:rPr>
                      <w:t>-</w:t>
                    </w:r>
                  </w:p>
                </w:tc>
              </w:tr>
              <w:tr>
                <w:trPr>
                  <w:trHeight w:val="135"/>
                </w:trPr>
                <w:tc>
                  <w:tcPr>
                    <w:tcW w:w="534" w:type="dxa"/>
                    <w:shd w:val="clear" w:color="auto" w:fill="auto"/>
                    <w:vAlign w:val="center"/>
                  </w:tcPr>
                  <w:p>
                    <w:pPr>
                      <w:jc w:val="center"/>
                      <w:rPr>
                        <w:iCs/>
                        <w:sz w:val="20"/>
                      </w:rPr>
                    </w:pPr>
                    <w:r>
                      <w:rPr>
                        <w:iCs/>
                        <w:sz w:val="20"/>
                      </w:rPr>
                      <w:t>7.</w:t>
                    </w:r>
                  </w:p>
                </w:tc>
                <w:tc>
                  <w:tcPr>
                    <w:tcW w:w="1417" w:type="dxa"/>
                    <w:shd w:val="clear" w:color="auto" w:fill="auto"/>
                    <w:vAlign w:val="center"/>
                  </w:tcPr>
                  <w:p>
                    <w:pPr>
                      <w:rPr>
                        <w:sz w:val="20"/>
                      </w:rPr>
                    </w:pPr>
                    <w:r>
                      <w:rPr>
                        <w:sz w:val="20"/>
                      </w:rPr>
                      <w:t xml:space="preserve">Varnių </w:t>
                    </w:r>
                  </w:p>
                </w:tc>
                <w:tc>
                  <w:tcPr>
                    <w:tcW w:w="1276" w:type="dxa"/>
                    <w:shd w:val="clear" w:color="auto" w:fill="auto"/>
                    <w:vAlign w:val="center"/>
                  </w:tcPr>
                  <w:p>
                    <w:pPr>
                      <w:jc w:val="center"/>
                      <w:rPr>
                        <w:sz w:val="20"/>
                      </w:rPr>
                    </w:pPr>
                    <w:r>
                      <w:rPr>
                        <w:sz w:val="20"/>
                      </w:rPr>
                      <w:t>27</w:t>
                    </w:r>
                  </w:p>
                </w:tc>
                <w:tc>
                  <w:tcPr>
                    <w:tcW w:w="1134" w:type="dxa"/>
                    <w:shd w:val="clear" w:color="auto" w:fill="auto"/>
                    <w:vAlign w:val="center"/>
                  </w:tcPr>
                  <w:p>
                    <w:pPr>
                      <w:jc w:val="center"/>
                      <w:rPr>
                        <w:sz w:val="20"/>
                      </w:rPr>
                    </w:pPr>
                    <w:r>
                      <w:rPr>
                        <w:sz w:val="20"/>
                      </w:rPr>
                      <w:t>27</w:t>
                    </w:r>
                  </w:p>
                </w:tc>
                <w:tc>
                  <w:tcPr>
                    <w:tcW w:w="1276" w:type="dxa"/>
                    <w:shd w:val="clear" w:color="auto" w:fill="auto"/>
                    <w:vAlign w:val="center"/>
                  </w:tcPr>
                  <w:p>
                    <w:pPr>
                      <w:jc w:val="center"/>
                      <w:rPr>
                        <w:sz w:val="20"/>
                      </w:rPr>
                    </w:pPr>
                    <w:r>
                      <w:rPr>
                        <w:sz w:val="20"/>
                      </w:rPr>
                      <w:t>21</w:t>
                    </w:r>
                  </w:p>
                </w:tc>
                <w:tc>
                  <w:tcPr>
                    <w:tcW w:w="1559" w:type="dxa"/>
                    <w:shd w:val="clear" w:color="auto" w:fill="auto"/>
                    <w:vAlign w:val="center"/>
                  </w:tcPr>
                  <w:p>
                    <w:pPr>
                      <w:jc w:val="center"/>
                      <w:rPr>
                        <w:sz w:val="20"/>
                      </w:rPr>
                    </w:pPr>
                    <w:r>
                      <w:rPr>
                        <w:sz w:val="20"/>
                      </w:rPr>
                      <w:t>4</w:t>
                    </w:r>
                  </w:p>
                </w:tc>
                <w:tc>
                  <w:tcPr>
                    <w:tcW w:w="1755" w:type="dxa"/>
                    <w:shd w:val="clear" w:color="auto" w:fill="auto"/>
                    <w:vAlign w:val="center"/>
                  </w:tcPr>
                  <w:p>
                    <w:pPr>
                      <w:jc w:val="center"/>
                      <w:rPr>
                        <w:sz w:val="20"/>
                      </w:rPr>
                    </w:pPr>
                    <w:r>
                      <w:rPr>
                        <w:sz w:val="20"/>
                      </w:rPr>
                      <w:t>4</w:t>
                    </w:r>
                  </w:p>
                </w:tc>
                <w:tc>
                  <w:tcPr>
                    <w:tcW w:w="993" w:type="dxa"/>
                    <w:shd w:val="clear" w:color="auto" w:fill="auto"/>
                    <w:vAlign w:val="center"/>
                  </w:tcPr>
                  <w:p>
                    <w:pPr>
                      <w:jc w:val="center"/>
                      <w:rPr>
                        <w:sz w:val="20"/>
                      </w:rPr>
                    </w:pPr>
                    <w:r>
                      <w:rPr>
                        <w:sz w:val="20"/>
                      </w:rPr>
                      <w:t>6</w:t>
                    </w:r>
                  </w:p>
                </w:tc>
              </w:tr>
              <w:tr>
                <w:trPr>
                  <w:trHeight w:val="177"/>
                </w:trPr>
                <w:tc>
                  <w:tcPr>
                    <w:tcW w:w="534" w:type="dxa"/>
                    <w:shd w:val="clear" w:color="auto" w:fill="auto"/>
                    <w:vAlign w:val="center"/>
                  </w:tcPr>
                  <w:p>
                    <w:pPr>
                      <w:jc w:val="center"/>
                      <w:rPr>
                        <w:iCs/>
                        <w:sz w:val="20"/>
                      </w:rPr>
                    </w:pPr>
                    <w:r>
                      <w:rPr>
                        <w:iCs/>
                        <w:sz w:val="20"/>
                      </w:rPr>
                      <w:t>8.</w:t>
                    </w:r>
                  </w:p>
                </w:tc>
                <w:tc>
                  <w:tcPr>
                    <w:tcW w:w="1417" w:type="dxa"/>
                    <w:shd w:val="clear" w:color="auto" w:fill="auto"/>
                    <w:vAlign w:val="center"/>
                  </w:tcPr>
                  <w:p>
                    <w:pPr>
                      <w:rPr>
                        <w:sz w:val="20"/>
                      </w:rPr>
                    </w:pPr>
                    <w:r>
                      <w:rPr>
                        <w:sz w:val="20"/>
                      </w:rPr>
                      <w:t xml:space="preserve">Luokės </w:t>
                    </w:r>
                  </w:p>
                </w:tc>
                <w:tc>
                  <w:tcPr>
                    <w:tcW w:w="1276" w:type="dxa"/>
                    <w:shd w:val="clear" w:color="auto" w:fill="auto"/>
                    <w:vAlign w:val="center"/>
                  </w:tcPr>
                  <w:p>
                    <w:pPr>
                      <w:jc w:val="center"/>
                      <w:rPr>
                        <w:sz w:val="20"/>
                      </w:rPr>
                    </w:pPr>
                    <w:r>
                      <w:rPr>
                        <w:sz w:val="20"/>
                      </w:rPr>
                      <w:t>6</w:t>
                    </w:r>
                  </w:p>
                </w:tc>
                <w:tc>
                  <w:tcPr>
                    <w:tcW w:w="1134" w:type="dxa"/>
                    <w:shd w:val="clear" w:color="auto" w:fill="auto"/>
                    <w:vAlign w:val="center"/>
                  </w:tcPr>
                  <w:p>
                    <w:pPr>
                      <w:jc w:val="center"/>
                      <w:rPr>
                        <w:sz w:val="20"/>
                      </w:rPr>
                    </w:pPr>
                    <w:r>
                      <w:rPr>
                        <w:sz w:val="20"/>
                      </w:rPr>
                      <w:t>5</w:t>
                    </w:r>
                  </w:p>
                </w:tc>
                <w:tc>
                  <w:tcPr>
                    <w:tcW w:w="1276" w:type="dxa"/>
                    <w:shd w:val="clear" w:color="auto" w:fill="auto"/>
                    <w:vAlign w:val="center"/>
                  </w:tcPr>
                  <w:p>
                    <w:pPr>
                      <w:jc w:val="center"/>
                      <w:rPr>
                        <w:sz w:val="20"/>
                      </w:rPr>
                    </w:pPr>
                    <w:r>
                      <w:rPr>
                        <w:sz w:val="20"/>
                      </w:rPr>
                      <w:t>5</w:t>
                    </w:r>
                  </w:p>
                </w:tc>
                <w:tc>
                  <w:tcPr>
                    <w:tcW w:w="1559" w:type="dxa"/>
                    <w:shd w:val="clear" w:color="auto" w:fill="auto"/>
                    <w:vAlign w:val="center"/>
                  </w:tcPr>
                  <w:p>
                    <w:pPr>
                      <w:jc w:val="center"/>
                      <w:rPr>
                        <w:sz w:val="20"/>
                      </w:rPr>
                    </w:pPr>
                  </w:p>
                </w:tc>
                <w:tc>
                  <w:tcPr>
                    <w:tcW w:w="1755" w:type="dxa"/>
                    <w:shd w:val="clear" w:color="auto" w:fill="auto"/>
                    <w:vAlign w:val="center"/>
                  </w:tcPr>
                  <w:p>
                    <w:pPr>
                      <w:jc w:val="center"/>
                      <w:rPr>
                        <w:sz w:val="20"/>
                      </w:rPr>
                    </w:pPr>
                    <w:r>
                      <w:rPr>
                        <w:sz w:val="20"/>
                      </w:rPr>
                      <w:t>1</w:t>
                    </w:r>
                  </w:p>
                </w:tc>
                <w:tc>
                  <w:tcPr>
                    <w:tcW w:w="993" w:type="dxa"/>
                    <w:shd w:val="clear" w:color="auto" w:fill="auto"/>
                    <w:vAlign w:val="center"/>
                  </w:tcPr>
                  <w:p>
                    <w:pPr>
                      <w:jc w:val="center"/>
                      <w:rPr>
                        <w:sz w:val="20"/>
                      </w:rPr>
                    </w:pPr>
                    <w:r>
                      <w:rPr>
                        <w:sz w:val="20"/>
                      </w:rPr>
                      <w:t>1</w:t>
                    </w:r>
                  </w:p>
                </w:tc>
              </w:tr>
              <w:tr>
                <w:trPr>
                  <w:trHeight w:val="271"/>
                </w:trPr>
                <w:tc>
                  <w:tcPr>
                    <w:tcW w:w="534" w:type="dxa"/>
                    <w:shd w:val="clear" w:color="auto" w:fill="auto"/>
                    <w:vAlign w:val="center"/>
                  </w:tcPr>
                  <w:p>
                    <w:pPr>
                      <w:jc w:val="center"/>
                      <w:rPr>
                        <w:iCs/>
                        <w:sz w:val="20"/>
                      </w:rPr>
                    </w:pPr>
                    <w:r>
                      <w:rPr>
                        <w:iCs/>
                        <w:sz w:val="20"/>
                      </w:rPr>
                      <w:t>9.</w:t>
                    </w:r>
                  </w:p>
                </w:tc>
                <w:tc>
                  <w:tcPr>
                    <w:tcW w:w="1417" w:type="dxa"/>
                    <w:shd w:val="clear" w:color="auto" w:fill="auto"/>
                    <w:vAlign w:val="center"/>
                  </w:tcPr>
                  <w:p>
                    <w:pPr>
                      <w:rPr>
                        <w:sz w:val="20"/>
                      </w:rPr>
                    </w:pPr>
                    <w:r>
                      <w:rPr>
                        <w:sz w:val="20"/>
                      </w:rPr>
                      <w:t xml:space="preserve">Gadūnavo </w:t>
                    </w:r>
                  </w:p>
                </w:tc>
                <w:tc>
                  <w:tcPr>
                    <w:tcW w:w="1276" w:type="dxa"/>
                    <w:shd w:val="clear" w:color="auto" w:fill="auto"/>
                    <w:vAlign w:val="center"/>
                  </w:tcPr>
                  <w:p>
                    <w:pPr>
                      <w:jc w:val="center"/>
                      <w:rPr>
                        <w:sz w:val="20"/>
                      </w:rPr>
                    </w:pPr>
                    <w:r>
                      <w:rPr>
                        <w:sz w:val="20"/>
                      </w:rPr>
                      <w:t>10</w:t>
                    </w:r>
                  </w:p>
                </w:tc>
                <w:tc>
                  <w:tcPr>
                    <w:tcW w:w="1134" w:type="dxa"/>
                    <w:shd w:val="clear" w:color="auto" w:fill="auto"/>
                    <w:vAlign w:val="center"/>
                  </w:tcPr>
                  <w:p>
                    <w:pPr>
                      <w:jc w:val="center"/>
                      <w:rPr>
                        <w:sz w:val="20"/>
                      </w:rPr>
                    </w:pPr>
                    <w:r>
                      <w:rPr>
                        <w:sz w:val="20"/>
                      </w:rPr>
                      <w:t>11</w:t>
                    </w:r>
                  </w:p>
                </w:tc>
                <w:tc>
                  <w:tcPr>
                    <w:tcW w:w="1276" w:type="dxa"/>
                    <w:shd w:val="clear" w:color="auto" w:fill="auto"/>
                    <w:vAlign w:val="center"/>
                  </w:tcPr>
                  <w:p>
                    <w:pPr>
                      <w:jc w:val="center"/>
                      <w:rPr>
                        <w:sz w:val="20"/>
                      </w:rPr>
                    </w:pPr>
                    <w:r>
                      <w:rPr>
                        <w:sz w:val="20"/>
                      </w:rPr>
                      <w:t>10</w:t>
                    </w:r>
                  </w:p>
                </w:tc>
                <w:tc>
                  <w:tcPr>
                    <w:tcW w:w="1559" w:type="dxa"/>
                    <w:shd w:val="clear" w:color="auto" w:fill="auto"/>
                    <w:vAlign w:val="center"/>
                  </w:tcPr>
                  <w:p>
                    <w:pPr>
                      <w:jc w:val="center"/>
                      <w:rPr>
                        <w:sz w:val="20"/>
                      </w:rPr>
                    </w:pPr>
                  </w:p>
                </w:tc>
                <w:tc>
                  <w:tcPr>
                    <w:tcW w:w="1755" w:type="dxa"/>
                    <w:shd w:val="clear" w:color="auto" w:fill="auto"/>
                    <w:vAlign w:val="center"/>
                  </w:tcPr>
                  <w:p>
                    <w:pPr>
                      <w:jc w:val="center"/>
                      <w:rPr>
                        <w:sz w:val="20"/>
                      </w:rPr>
                    </w:pPr>
                    <w:r>
                      <w:rPr>
                        <w:sz w:val="20"/>
                      </w:rPr>
                      <w:t>-</w:t>
                    </w:r>
                  </w:p>
                </w:tc>
                <w:tc>
                  <w:tcPr>
                    <w:tcW w:w="993" w:type="dxa"/>
                    <w:shd w:val="clear" w:color="auto" w:fill="auto"/>
                    <w:vAlign w:val="center"/>
                  </w:tcPr>
                  <w:p>
                    <w:pPr>
                      <w:jc w:val="center"/>
                      <w:rPr>
                        <w:sz w:val="20"/>
                      </w:rPr>
                    </w:pPr>
                    <w:r>
                      <w:rPr>
                        <w:sz w:val="20"/>
                      </w:rPr>
                      <w:t>1</w:t>
                    </w:r>
                  </w:p>
                </w:tc>
              </w:tr>
              <w:tr>
                <w:trPr>
                  <w:trHeight w:val="132"/>
                </w:trPr>
                <w:tc>
                  <w:tcPr>
                    <w:tcW w:w="534" w:type="dxa"/>
                    <w:shd w:val="clear" w:color="auto" w:fill="auto"/>
                    <w:vAlign w:val="center"/>
                  </w:tcPr>
                  <w:p>
                    <w:pPr>
                      <w:jc w:val="center"/>
                      <w:rPr>
                        <w:iCs/>
                        <w:sz w:val="20"/>
                      </w:rPr>
                    </w:pPr>
                    <w:r>
                      <w:rPr>
                        <w:iCs/>
                        <w:sz w:val="20"/>
                      </w:rPr>
                      <w:t>10.</w:t>
                    </w:r>
                  </w:p>
                </w:tc>
                <w:tc>
                  <w:tcPr>
                    <w:tcW w:w="1417" w:type="dxa"/>
                    <w:shd w:val="clear" w:color="auto" w:fill="auto"/>
                    <w:vAlign w:val="center"/>
                  </w:tcPr>
                  <w:p>
                    <w:pPr>
                      <w:rPr>
                        <w:sz w:val="20"/>
                      </w:rPr>
                    </w:pPr>
                    <w:r>
                      <w:rPr>
                        <w:sz w:val="20"/>
                      </w:rPr>
                      <w:t xml:space="preserve">Tryškių </w:t>
                    </w:r>
                  </w:p>
                </w:tc>
                <w:tc>
                  <w:tcPr>
                    <w:tcW w:w="1276" w:type="dxa"/>
                    <w:shd w:val="clear" w:color="auto" w:fill="auto"/>
                    <w:vAlign w:val="center"/>
                  </w:tcPr>
                  <w:p>
                    <w:pPr>
                      <w:jc w:val="center"/>
                      <w:rPr>
                        <w:sz w:val="20"/>
                      </w:rPr>
                    </w:pPr>
                    <w:r>
                      <w:rPr>
                        <w:sz w:val="20"/>
                      </w:rPr>
                      <w:t>11</w:t>
                    </w:r>
                  </w:p>
                </w:tc>
                <w:tc>
                  <w:tcPr>
                    <w:tcW w:w="1134" w:type="dxa"/>
                    <w:shd w:val="clear" w:color="auto" w:fill="auto"/>
                    <w:vAlign w:val="center"/>
                  </w:tcPr>
                  <w:p>
                    <w:pPr>
                      <w:jc w:val="center"/>
                      <w:rPr>
                        <w:sz w:val="20"/>
                      </w:rPr>
                    </w:pPr>
                    <w:r>
                      <w:rPr>
                        <w:sz w:val="20"/>
                      </w:rPr>
                      <w:t>12</w:t>
                    </w:r>
                  </w:p>
                </w:tc>
                <w:tc>
                  <w:tcPr>
                    <w:tcW w:w="1276" w:type="dxa"/>
                    <w:shd w:val="clear" w:color="auto" w:fill="auto"/>
                    <w:vAlign w:val="center"/>
                  </w:tcPr>
                  <w:p>
                    <w:pPr>
                      <w:jc w:val="center"/>
                      <w:rPr>
                        <w:sz w:val="20"/>
                      </w:rPr>
                    </w:pPr>
                    <w:r>
                      <w:rPr>
                        <w:sz w:val="20"/>
                      </w:rPr>
                      <w:t>9</w:t>
                    </w:r>
                  </w:p>
                </w:tc>
                <w:tc>
                  <w:tcPr>
                    <w:tcW w:w="1559" w:type="dxa"/>
                    <w:shd w:val="clear" w:color="auto" w:fill="auto"/>
                    <w:vAlign w:val="center"/>
                  </w:tcPr>
                  <w:p>
                    <w:pPr>
                      <w:jc w:val="center"/>
                      <w:rPr>
                        <w:sz w:val="20"/>
                      </w:rPr>
                    </w:pPr>
                    <w:r>
                      <w:rPr>
                        <w:sz w:val="20"/>
                      </w:rPr>
                      <w:t>4</w:t>
                    </w:r>
                  </w:p>
                </w:tc>
                <w:tc>
                  <w:tcPr>
                    <w:tcW w:w="1755" w:type="dxa"/>
                    <w:shd w:val="clear" w:color="auto" w:fill="auto"/>
                    <w:vAlign w:val="center"/>
                  </w:tcPr>
                  <w:p>
                    <w:pPr>
                      <w:jc w:val="center"/>
                      <w:rPr>
                        <w:sz w:val="20"/>
                      </w:rPr>
                    </w:pPr>
                    <w:r>
                      <w:rPr>
                        <w:sz w:val="20"/>
                      </w:rPr>
                      <w:t>5</w:t>
                    </w:r>
                  </w:p>
                </w:tc>
                <w:tc>
                  <w:tcPr>
                    <w:tcW w:w="993" w:type="dxa"/>
                    <w:shd w:val="clear" w:color="auto" w:fill="auto"/>
                    <w:vAlign w:val="center"/>
                  </w:tcPr>
                  <w:p>
                    <w:pPr>
                      <w:jc w:val="center"/>
                      <w:rPr>
                        <w:sz w:val="20"/>
                      </w:rPr>
                    </w:pPr>
                    <w:r>
                      <w:rPr>
                        <w:sz w:val="20"/>
                      </w:rPr>
                      <w:t>6</w:t>
                    </w:r>
                  </w:p>
                </w:tc>
              </w:tr>
              <w:tr>
                <w:trPr>
                  <w:trHeight w:val="130"/>
                </w:trPr>
                <w:tc>
                  <w:tcPr>
                    <w:tcW w:w="534" w:type="dxa"/>
                    <w:tcBorders>
                      <w:bottom w:val="single" w:sz="4" w:space="0" w:color="auto"/>
                    </w:tcBorders>
                    <w:shd w:val="clear" w:color="auto" w:fill="auto"/>
                    <w:vAlign w:val="center"/>
                  </w:tcPr>
                  <w:p>
                    <w:pPr>
                      <w:jc w:val="center"/>
                      <w:rPr>
                        <w:iCs/>
                        <w:sz w:val="20"/>
                      </w:rPr>
                    </w:pPr>
                    <w:r>
                      <w:rPr>
                        <w:iCs/>
                        <w:sz w:val="20"/>
                      </w:rPr>
                      <w:t>11.</w:t>
                    </w:r>
                  </w:p>
                </w:tc>
                <w:tc>
                  <w:tcPr>
                    <w:tcW w:w="1417" w:type="dxa"/>
                    <w:tcBorders>
                      <w:bottom w:val="single" w:sz="4" w:space="0" w:color="auto"/>
                    </w:tcBorders>
                    <w:shd w:val="clear" w:color="auto" w:fill="auto"/>
                    <w:vAlign w:val="center"/>
                  </w:tcPr>
                  <w:p>
                    <w:pPr>
                      <w:rPr>
                        <w:sz w:val="20"/>
                      </w:rPr>
                    </w:pPr>
                    <w:r>
                      <w:rPr>
                        <w:sz w:val="20"/>
                      </w:rPr>
                      <w:t xml:space="preserve">Ryškėnų </w:t>
                    </w:r>
                  </w:p>
                </w:tc>
                <w:tc>
                  <w:tcPr>
                    <w:tcW w:w="1276" w:type="dxa"/>
                    <w:tcBorders>
                      <w:bottom w:val="single" w:sz="4" w:space="0" w:color="auto"/>
                    </w:tcBorders>
                    <w:shd w:val="clear" w:color="auto" w:fill="auto"/>
                    <w:vAlign w:val="center"/>
                  </w:tcPr>
                  <w:p>
                    <w:pPr>
                      <w:jc w:val="center"/>
                      <w:rPr>
                        <w:sz w:val="20"/>
                      </w:rPr>
                    </w:pPr>
                    <w:r>
                      <w:rPr>
                        <w:sz w:val="20"/>
                      </w:rPr>
                      <w:t>5</w:t>
                    </w:r>
                  </w:p>
                </w:tc>
                <w:tc>
                  <w:tcPr>
                    <w:tcW w:w="1134" w:type="dxa"/>
                    <w:tcBorders>
                      <w:bottom w:val="single" w:sz="4" w:space="0" w:color="auto"/>
                    </w:tcBorders>
                    <w:shd w:val="clear" w:color="auto" w:fill="auto"/>
                    <w:vAlign w:val="center"/>
                  </w:tcPr>
                  <w:p>
                    <w:pPr>
                      <w:jc w:val="center"/>
                      <w:rPr>
                        <w:sz w:val="20"/>
                      </w:rPr>
                    </w:pPr>
                    <w:r>
                      <w:rPr>
                        <w:sz w:val="20"/>
                      </w:rPr>
                      <w:t>5</w:t>
                    </w:r>
                  </w:p>
                </w:tc>
                <w:tc>
                  <w:tcPr>
                    <w:tcW w:w="1276" w:type="dxa"/>
                    <w:tcBorders>
                      <w:bottom w:val="single" w:sz="4" w:space="0" w:color="auto"/>
                    </w:tcBorders>
                    <w:shd w:val="clear" w:color="auto" w:fill="auto"/>
                    <w:vAlign w:val="center"/>
                  </w:tcPr>
                  <w:p>
                    <w:pPr>
                      <w:jc w:val="center"/>
                      <w:rPr>
                        <w:sz w:val="20"/>
                      </w:rPr>
                    </w:pPr>
                    <w:r>
                      <w:rPr>
                        <w:sz w:val="20"/>
                      </w:rPr>
                      <w:t>2</w:t>
                    </w:r>
                  </w:p>
                </w:tc>
                <w:tc>
                  <w:tcPr>
                    <w:tcW w:w="1559" w:type="dxa"/>
                    <w:tcBorders>
                      <w:bottom w:val="single" w:sz="4" w:space="0" w:color="auto"/>
                    </w:tcBorders>
                    <w:shd w:val="clear" w:color="auto" w:fill="auto"/>
                    <w:vAlign w:val="center"/>
                  </w:tcPr>
                  <w:p>
                    <w:pPr>
                      <w:jc w:val="center"/>
                      <w:rPr>
                        <w:sz w:val="20"/>
                      </w:rPr>
                    </w:pPr>
                    <w:r>
                      <w:rPr>
                        <w:sz w:val="20"/>
                      </w:rPr>
                      <w:t>3</w:t>
                    </w:r>
                  </w:p>
                </w:tc>
                <w:tc>
                  <w:tcPr>
                    <w:tcW w:w="1755" w:type="dxa"/>
                    <w:tcBorders>
                      <w:bottom w:val="single" w:sz="4" w:space="0" w:color="auto"/>
                    </w:tcBorders>
                    <w:shd w:val="clear" w:color="auto" w:fill="auto"/>
                    <w:vAlign w:val="center"/>
                  </w:tcPr>
                  <w:p>
                    <w:pPr>
                      <w:jc w:val="center"/>
                      <w:rPr>
                        <w:sz w:val="20"/>
                      </w:rPr>
                    </w:pPr>
                    <w:r>
                      <w:rPr>
                        <w:sz w:val="20"/>
                      </w:rPr>
                      <w:t>1</w:t>
                    </w:r>
                  </w:p>
                </w:tc>
                <w:tc>
                  <w:tcPr>
                    <w:tcW w:w="993" w:type="dxa"/>
                    <w:tcBorders>
                      <w:bottom w:val="single" w:sz="4" w:space="0" w:color="auto"/>
                    </w:tcBorders>
                    <w:shd w:val="clear" w:color="auto" w:fill="auto"/>
                    <w:vAlign w:val="center"/>
                  </w:tcPr>
                  <w:p>
                    <w:pPr>
                      <w:jc w:val="center"/>
                      <w:rPr>
                        <w:sz w:val="20"/>
                      </w:rPr>
                    </w:pPr>
                    <w:r>
                      <w:rPr>
                        <w:sz w:val="20"/>
                      </w:rPr>
                      <w:t>1</w:t>
                    </w:r>
                  </w:p>
                </w:tc>
              </w:tr>
              <w:tr>
                <w:trPr>
                  <w:trHeight w:val="126"/>
                </w:trPr>
                <w:tc>
                  <w:tcPr>
                    <w:tcW w:w="534" w:type="dxa"/>
                    <w:shd w:val="clear" w:color="auto" w:fill="D9D9D9"/>
                    <w:vAlign w:val="center"/>
                  </w:tcPr>
                  <w:p>
                    <w:pPr>
                      <w:jc w:val="center"/>
                      <w:rPr>
                        <w:iCs/>
                        <w:sz w:val="20"/>
                      </w:rPr>
                    </w:pPr>
                    <w:r>
                      <w:rPr>
                        <w:iCs/>
                        <w:sz w:val="20"/>
                      </w:rPr>
                      <w:t>12.</w:t>
                    </w:r>
                  </w:p>
                </w:tc>
                <w:tc>
                  <w:tcPr>
                    <w:tcW w:w="1417" w:type="dxa"/>
                    <w:shd w:val="clear" w:color="auto" w:fill="D9D9D9"/>
                    <w:vAlign w:val="center"/>
                  </w:tcPr>
                  <w:p>
                    <w:pPr>
                      <w:rPr>
                        <w:b/>
                        <w:sz w:val="20"/>
                      </w:rPr>
                    </w:pPr>
                    <w:r>
                      <w:rPr>
                        <w:b/>
                        <w:sz w:val="20"/>
                      </w:rPr>
                      <w:t>Iš viso</w:t>
                    </w:r>
                  </w:p>
                </w:tc>
                <w:tc>
                  <w:tcPr>
                    <w:tcW w:w="1276" w:type="dxa"/>
                    <w:shd w:val="clear" w:color="auto" w:fill="D9D9D9"/>
                    <w:vAlign w:val="center"/>
                  </w:tcPr>
                  <w:p>
                    <w:pPr>
                      <w:jc w:val="center"/>
                      <w:rPr>
                        <w:b/>
                        <w:sz w:val="20"/>
                      </w:rPr>
                    </w:pPr>
                    <w:r>
                      <w:rPr>
                        <w:b/>
                        <w:sz w:val="20"/>
                      </w:rPr>
                      <w:t>160</w:t>
                    </w:r>
                  </w:p>
                </w:tc>
                <w:tc>
                  <w:tcPr>
                    <w:tcW w:w="1134" w:type="dxa"/>
                    <w:shd w:val="clear" w:color="auto" w:fill="D9D9D9"/>
                    <w:vAlign w:val="center"/>
                  </w:tcPr>
                  <w:p>
                    <w:pPr>
                      <w:jc w:val="center"/>
                      <w:rPr>
                        <w:b/>
                        <w:sz w:val="20"/>
                      </w:rPr>
                    </w:pPr>
                    <w:r>
                      <w:rPr>
                        <w:b/>
                        <w:sz w:val="20"/>
                      </w:rPr>
                      <w:t>160</w:t>
                    </w:r>
                  </w:p>
                </w:tc>
                <w:tc>
                  <w:tcPr>
                    <w:tcW w:w="1276" w:type="dxa"/>
                    <w:shd w:val="clear" w:color="auto" w:fill="D9D9D9"/>
                    <w:vAlign w:val="center"/>
                  </w:tcPr>
                  <w:p>
                    <w:pPr>
                      <w:jc w:val="center"/>
                      <w:rPr>
                        <w:b/>
                        <w:sz w:val="20"/>
                      </w:rPr>
                    </w:pPr>
                    <w:r>
                      <w:rPr>
                        <w:b/>
                        <w:sz w:val="20"/>
                      </w:rPr>
                      <w:t>150</w:t>
                    </w:r>
                  </w:p>
                </w:tc>
                <w:tc>
                  <w:tcPr>
                    <w:tcW w:w="1559" w:type="dxa"/>
                    <w:shd w:val="clear" w:color="auto" w:fill="D9D9D9"/>
                    <w:vAlign w:val="center"/>
                  </w:tcPr>
                  <w:p>
                    <w:pPr>
                      <w:jc w:val="center"/>
                      <w:rPr>
                        <w:b/>
                        <w:sz w:val="20"/>
                      </w:rPr>
                    </w:pPr>
                    <w:r>
                      <w:rPr>
                        <w:b/>
                        <w:sz w:val="20"/>
                      </w:rPr>
                      <w:t>53</w:t>
                    </w:r>
                  </w:p>
                </w:tc>
                <w:tc>
                  <w:tcPr>
                    <w:tcW w:w="1755" w:type="dxa"/>
                    <w:shd w:val="clear" w:color="auto" w:fill="D9D9D9"/>
                    <w:vAlign w:val="center"/>
                  </w:tcPr>
                  <w:p>
                    <w:pPr>
                      <w:jc w:val="center"/>
                      <w:rPr>
                        <w:b/>
                        <w:sz w:val="20"/>
                      </w:rPr>
                    </w:pPr>
                    <w:r>
                      <w:rPr>
                        <w:b/>
                        <w:sz w:val="20"/>
                      </w:rPr>
                      <w:t>61</w:t>
                    </w:r>
                  </w:p>
                </w:tc>
                <w:tc>
                  <w:tcPr>
                    <w:tcW w:w="993" w:type="dxa"/>
                    <w:shd w:val="clear" w:color="auto" w:fill="D9D9D9"/>
                    <w:vAlign w:val="center"/>
                  </w:tcPr>
                  <w:p>
                    <w:pPr>
                      <w:jc w:val="center"/>
                      <w:rPr>
                        <w:b/>
                        <w:sz w:val="20"/>
                      </w:rPr>
                    </w:pPr>
                    <w:r>
                      <w:rPr>
                        <w:b/>
                        <w:sz w:val="20"/>
                      </w:rPr>
                      <w:t>71</w:t>
                    </w:r>
                  </w:p>
                </w:tc>
              </w:tr>
            </w:tbl>
            <w:p>
              <w:pPr>
                <w:tabs>
                  <w:tab w:val="left" w:pos="851"/>
                  <w:tab w:val="left" w:pos="9540"/>
                </w:tabs>
                <w:rPr>
                  <w:szCs w:val="24"/>
                </w:rPr>
              </w:pPr>
            </w:p>
            <w:p>
              <w:pPr>
                <w:tabs>
                  <w:tab w:val="left" w:pos="851"/>
                  <w:tab w:val="left" w:pos="9540"/>
                </w:tabs>
                <w:ind w:firstLine="851"/>
                <w:jc w:val="both"/>
                <w:rPr>
                  <w:szCs w:val="24"/>
                </w:rPr>
              </w:pPr>
              <w:r>
                <w:rPr>
                  <w:b/>
                  <w:szCs w:val="24"/>
                </w:rPr>
                <w:t>Dienos socialinė globa institucijoje</w:t>
              </w:r>
              <w:r>
                <w:rPr>
                  <w:szCs w:val="24"/>
                </w:rPr>
                <w:t xml:space="preserve"> yra teikiama Telšių dienos centre, nors tokios galimybės yra ir visose dienos centruose. Per 2015 m. dienos socialinės globos paslaugos suteiktos  1 asmeniui. Per 2016 m.</w:t>
              </w:r>
              <w:r>
                <w:rPr>
                  <w:b/>
                  <w:i/>
                  <w:szCs w:val="24"/>
                  <w:lang w:val="en-GB"/>
                </w:rPr>
                <w:t xml:space="preserve"> </w:t>
              </w:r>
              <w:r>
                <w:rPr>
                  <w:szCs w:val="24"/>
                </w:rPr>
                <w:t xml:space="preserve">priimti 3 nauji prašymai ir dienos socialinės globos paslaugos institucijoje suteiktos 4 asmenims su sunkia negalia. Poreikio nėra, nes artimieji yra labiau linkę palikti senyvo amžiaus ar neįgalius asmenis namuose vienus, prižiūrimus samdomų asmenų arba slaugo patys. Senyvo amžiaus savarankiškai gyvenantys asmenys nėra aktyvūs ir juos sudėtinga sudominti dienos centrų veikla. </w:t>
              </w:r>
            </w:p>
            <w:p>
              <w:pPr>
                <w:ind w:firstLine="851"/>
                <w:jc w:val="both"/>
                <w:rPr>
                  <w:szCs w:val="24"/>
                </w:rPr>
              </w:pPr>
              <w:r>
                <w:rPr>
                  <w:szCs w:val="24"/>
                </w:rPr>
                <w:t xml:space="preserve">Nėra teikiama dienos socialinė globa asmenims su psichikos negalia dienos centruose, nes teikti kartu ir senyvo amžiaus asmenims neįmanoma dėl žmogiškųjų resursų stokos ir psichologinio klimato. Paslaugų poreikis yra. </w:t>
              </w:r>
            </w:p>
            <w:p>
              <w:p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trike/>
                  <w:szCs w:val="24"/>
                </w:rPr>
              </w:pPr>
              <w:r>
                <w:rPr>
                  <w:szCs w:val="24"/>
                </w:rPr>
                <w:t xml:space="preserve">Neįgaliems asmenims su kompleksine negalia dienos socialinė globa teikiama Telšių „Vilties“ mokykloje. Dienos socialinės globos skyrius teikia bendrąsias ir specialiąsias socialines paslaugas neįgaliesiems asmenims, vyresniems kaip 21 metų amžiaus, atsižvelgiant į jų specialiuosius poreikius. </w:t>
              </w:r>
            </w:p>
            <w:p>
              <w:pPr>
                <w:ind w:firstLine="851"/>
                <w:jc w:val="both"/>
                <w:rPr>
                  <w:b/>
                  <w:i/>
                  <w:szCs w:val="24"/>
                  <w:vertAlign w:val="superscript"/>
                </w:rPr>
              </w:pPr>
              <w:r>
                <w:rPr>
                  <w:szCs w:val="24"/>
                </w:rPr>
                <w:t>Dienos socialinės globos paslaugų gavėjų dinamika 2013–2016 m. pavaizduota žemiau lentelėje.</w:t>
              </w:r>
              <w:r>
                <w:rPr>
                  <w:szCs w:val="24"/>
                  <w:vertAlign w:val="superscript"/>
                </w:rPr>
                <w:t xml:space="preserve"> </w:t>
                <w:footnoteReference w:id="28"/>
              </w:r>
              <w:r>
                <w:rPr>
                  <w:b/>
                  <w:i/>
                  <w:szCs w:val="24"/>
                  <w:vertAlign w:val="superscript"/>
                </w:rPr>
                <w:t xml:space="preserve"> </w:t>
              </w:r>
            </w:p>
          </w:sdtContent>
        </w:sdt>
        <w:sdt>
          <w:sdtPr>
            <w:alias w:val="poskyris"/>
            <w:tag w:val="part_cb1740b786494fef9b66a021e26ffb54"/>
            <w:lock w:val="sdtLocked"/>
            <w:richText/>
          </w:sdtPr>
          <w:sdtContent>
            <w:p>
              <w:pPr>
                <w:ind w:firstLine="851"/>
                <w:jc w:val="center"/>
                <w:rPr>
                  <w:b/>
                  <w:szCs w:val="24"/>
                </w:rPr>
              </w:pPr>
              <w:sdt>
                <w:sdtPr>
                  <w:alias w:val="Pavadinimas"/>
                  <w:tag w:val="title_cb1740b786494fef9b66a021e26ffb54"/>
                  <w:lock w:val="sdtLocked"/>
                  <w:richText/>
                </w:sdtPr>
                <w:sdtContent>
                  <w:r>
                    <w:rPr>
                      <w:b/>
                      <w:szCs w:val="24"/>
                    </w:rPr>
                    <w:t>Dienos socialinės globos gavėjų statistika 2013–2016 m.</w:t>
                  </w:r>
                </w:sdtContent>
              </w:sdt>
            </w:p>
            <w:tbl>
              <w:tblPr>
                <w:tblW w:w="9129" w:type="dxa"/>
                <w:jc w:val="center"/>
                <w:tblInd w:w="-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3"/>
                <w:gridCol w:w="4520"/>
                <w:gridCol w:w="992"/>
                <w:gridCol w:w="1276"/>
                <w:gridCol w:w="879"/>
                <w:gridCol w:w="879"/>
              </w:tblGrid>
              <w:tr>
                <w:trPr>
                  <w:trHeight w:val="440"/>
                  <w:jc w:val="center"/>
                </w:trPr>
                <w:tc>
                  <w:tcPr>
                    <w:tcW w:w="583" w:type="dxa"/>
                    <w:shd w:val="clear" w:color="auto" w:fill="D9D9D9"/>
                    <w:vAlign w:val="center"/>
                  </w:tcPr>
                  <w:p>
                    <w:pPr>
                      <w:jc w:val="center"/>
                      <w:rPr>
                        <w:b/>
                        <w:sz w:val="20"/>
                      </w:rPr>
                    </w:pPr>
                    <w:r>
                      <w:rPr>
                        <w:b/>
                        <w:sz w:val="20"/>
                      </w:rPr>
                      <w:t>Eil. Nr.</w:t>
                    </w:r>
                  </w:p>
                </w:tc>
                <w:tc>
                  <w:tcPr>
                    <w:tcW w:w="4520" w:type="dxa"/>
                    <w:tcBorders>
                      <w:tl2br w:val="single" w:sz="4" w:space="0" w:color="auto"/>
                    </w:tcBorders>
                    <w:shd w:val="clear" w:color="auto" w:fill="D9D9D9"/>
                    <w:vAlign w:val="center"/>
                  </w:tcPr>
                  <w:p>
                    <w:pPr>
                      <w:ind w:firstLine="3763"/>
                      <w:rPr>
                        <w:b/>
                        <w:sz w:val="20"/>
                      </w:rPr>
                    </w:pPr>
                    <w:r>
                      <w:rPr>
                        <w:b/>
                        <w:sz w:val="20"/>
                      </w:rPr>
                      <w:t xml:space="preserve">Metai           Organizacija                                                     </w:t>
                    </w:r>
                  </w:p>
                </w:tc>
                <w:tc>
                  <w:tcPr>
                    <w:tcW w:w="992" w:type="dxa"/>
                    <w:shd w:val="clear" w:color="auto" w:fill="D9D9D9"/>
                    <w:vAlign w:val="center"/>
                  </w:tcPr>
                  <w:p>
                    <w:pPr>
                      <w:jc w:val="center"/>
                      <w:rPr>
                        <w:b/>
                        <w:sz w:val="20"/>
                      </w:rPr>
                    </w:pPr>
                    <w:r>
                      <w:rPr>
                        <w:b/>
                        <w:sz w:val="20"/>
                      </w:rPr>
                      <w:t xml:space="preserve">2013 </w:t>
                    </w:r>
                  </w:p>
                </w:tc>
                <w:tc>
                  <w:tcPr>
                    <w:tcW w:w="1276" w:type="dxa"/>
                    <w:shd w:val="clear" w:color="auto" w:fill="D9D9D9"/>
                    <w:vAlign w:val="center"/>
                  </w:tcPr>
                  <w:p>
                    <w:pPr>
                      <w:jc w:val="center"/>
                      <w:rPr>
                        <w:b/>
                        <w:sz w:val="20"/>
                      </w:rPr>
                    </w:pPr>
                    <w:r>
                      <w:rPr>
                        <w:b/>
                        <w:sz w:val="20"/>
                      </w:rPr>
                      <w:t xml:space="preserve">2014 </w:t>
                    </w:r>
                  </w:p>
                </w:tc>
                <w:tc>
                  <w:tcPr>
                    <w:tcW w:w="879" w:type="dxa"/>
                    <w:shd w:val="clear" w:color="auto" w:fill="D9D9D9"/>
                    <w:vAlign w:val="center"/>
                  </w:tcPr>
                  <w:p>
                    <w:pPr>
                      <w:jc w:val="center"/>
                      <w:rPr>
                        <w:b/>
                        <w:sz w:val="20"/>
                      </w:rPr>
                    </w:pPr>
                    <w:r>
                      <w:rPr>
                        <w:b/>
                        <w:sz w:val="20"/>
                      </w:rPr>
                      <w:t>2015</w:t>
                    </w:r>
                  </w:p>
                </w:tc>
                <w:tc>
                  <w:tcPr>
                    <w:tcW w:w="879" w:type="dxa"/>
                    <w:shd w:val="clear" w:color="auto" w:fill="D9D9D9"/>
                    <w:vAlign w:val="center"/>
                  </w:tcPr>
                  <w:p>
                    <w:pPr>
                      <w:jc w:val="center"/>
                      <w:rPr>
                        <w:b/>
                        <w:sz w:val="20"/>
                      </w:rPr>
                    </w:pPr>
                    <w:r>
                      <w:rPr>
                        <w:b/>
                        <w:sz w:val="20"/>
                      </w:rPr>
                      <w:t>2016</w:t>
                    </w:r>
                  </w:p>
                </w:tc>
              </w:tr>
              <w:tr>
                <w:trPr>
                  <w:jc w:val="center"/>
                </w:trPr>
                <w:tc>
                  <w:tcPr>
                    <w:tcW w:w="583" w:type="dxa"/>
                    <w:vAlign w:val="center"/>
                  </w:tcPr>
                  <w:p>
                    <w:pPr>
                      <w:jc w:val="center"/>
                      <w:rPr>
                        <w:sz w:val="20"/>
                      </w:rPr>
                    </w:pPr>
                    <w:r>
                      <w:rPr>
                        <w:sz w:val="20"/>
                      </w:rPr>
                      <w:t>1.</w:t>
                    </w:r>
                  </w:p>
                </w:tc>
                <w:tc>
                  <w:tcPr>
                    <w:tcW w:w="4520" w:type="dxa"/>
                    <w:vAlign w:val="center"/>
                  </w:tcPr>
                  <w:p>
                    <w:pPr>
                      <w:rPr>
                        <w:sz w:val="20"/>
                      </w:rPr>
                    </w:pPr>
                    <w:r>
                      <w:rPr>
                        <w:sz w:val="20"/>
                      </w:rPr>
                      <w:t>Telšių dienos centras</w:t>
                    </w:r>
                  </w:p>
                </w:tc>
                <w:tc>
                  <w:tcPr>
                    <w:tcW w:w="992" w:type="dxa"/>
                    <w:vAlign w:val="center"/>
                  </w:tcPr>
                  <w:p>
                    <w:pPr>
                      <w:jc w:val="center"/>
                      <w:rPr>
                        <w:sz w:val="20"/>
                      </w:rPr>
                    </w:pPr>
                    <w:r>
                      <w:rPr>
                        <w:sz w:val="20"/>
                      </w:rPr>
                      <w:t>─</w:t>
                    </w:r>
                  </w:p>
                </w:tc>
                <w:tc>
                  <w:tcPr>
                    <w:tcW w:w="1276" w:type="dxa"/>
                    <w:vAlign w:val="center"/>
                  </w:tcPr>
                  <w:p>
                    <w:pPr>
                      <w:jc w:val="center"/>
                      <w:rPr>
                        <w:sz w:val="20"/>
                      </w:rPr>
                    </w:pPr>
                    <w:r>
                      <w:rPr>
                        <w:sz w:val="20"/>
                      </w:rPr>
                      <w:t>3</w:t>
                    </w:r>
                  </w:p>
                </w:tc>
                <w:tc>
                  <w:tcPr>
                    <w:tcW w:w="879" w:type="dxa"/>
                  </w:tcPr>
                  <w:p>
                    <w:pPr>
                      <w:jc w:val="center"/>
                      <w:rPr>
                        <w:sz w:val="20"/>
                      </w:rPr>
                    </w:pPr>
                    <w:r>
                      <w:rPr>
                        <w:sz w:val="20"/>
                      </w:rPr>
                      <w:t>1</w:t>
                    </w:r>
                  </w:p>
                </w:tc>
                <w:tc>
                  <w:tcPr>
                    <w:tcW w:w="879" w:type="dxa"/>
                  </w:tcPr>
                  <w:p>
                    <w:pPr>
                      <w:jc w:val="center"/>
                      <w:rPr>
                        <w:sz w:val="20"/>
                      </w:rPr>
                    </w:pPr>
                    <w:r>
                      <w:rPr>
                        <w:sz w:val="20"/>
                      </w:rPr>
                      <w:t>4</w:t>
                    </w:r>
                  </w:p>
                </w:tc>
              </w:tr>
              <w:tr>
                <w:trPr>
                  <w:jc w:val="center"/>
                </w:trPr>
                <w:tc>
                  <w:tcPr>
                    <w:tcW w:w="583" w:type="dxa"/>
                    <w:vAlign w:val="center"/>
                  </w:tcPr>
                  <w:p>
                    <w:pPr>
                      <w:jc w:val="center"/>
                      <w:rPr>
                        <w:sz w:val="20"/>
                      </w:rPr>
                    </w:pPr>
                    <w:r>
                      <w:rPr>
                        <w:sz w:val="20"/>
                      </w:rPr>
                      <w:t>2.</w:t>
                    </w:r>
                  </w:p>
                </w:tc>
                <w:tc>
                  <w:tcPr>
                    <w:tcW w:w="4520" w:type="dxa"/>
                    <w:vAlign w:val="center"/>
                  </w:tcPr>
                  <w:p>
                    <w:pPr>
                      <w:rPr>
                        <w:sz w:val="20"/>
                      </w:rPr>
                    </w:pPr>
                    <w:r>
                      <w:rPr>
                        <w:sz w:val="20"/>
                      </w:rPr>
                      <w:t>„Vilties“ mokyklos Dienos socialinės globos skyrius</w:t>
                    </w:r>
                  </w:p>
                </w:tc>
                <w:tc>
                  <w:tcPr>
                    <w:tcW w:w="992" w:type="dxa"/>
                    <w:vAlign w:val="center"/>
                  </w:tcPr>
                  <w:p>
                    <w:pPr>
                      <w:jc w:val="center"/>
                      <w:rPr>
                        <w:sz w:val="20"/>
                      </w:rPr>
                    </w:pPr>
                    <w:r>
                      <w:rPr>
                        <w:sz w:val="20"/>
                      </w:rPr>
                      <w:t>14</w:t>
                    </w:r>
                  </w:p>
                </w:tc>
                <w:tc>
                  <w:tcPr>
                    <w:tcW w:w="1276" w:type="dxa"/>
                    <w:vAlign w:val="center"/>
                  </w:tcPr>
                  <w:p>
                    <w:pPr>
                      <w:jc w:val="center"/>
                      <w:rPr>
                        <w:sz w:val="20"/>
                      </w:rPr>
                    </w:pPr>
                    <w:r>
                      <w:rPr>
                        <w:sz w:val="20"/>
                      </w:rPr>
                      <w:t>15</w:t>
                    </w:r>
                  </w:p>
                </w:tc>
                <w:tc>
                  <w:tcPr>
                    <w:tcW w:w="879" w:type="dxa"/>
                    <w:vAlign w:val="center"/>
                  </w:tcPr>
                  <w:p>
                    <w:pPr>
                      <w:jc w:val="center"/>
                      <w:rPr>
                        <w:sz w:val="20"/>
                      </w:rPr>
                    </w:pPr>
                    <w:r>
                      <w:rPr>
                        <w:sz w:val="20"/>
                      </w:rPr>
                      <w:t>22</w:t>
                    </w:r>
                  </w:p>
                </w:tc>
                <w:tc>
                  <w:tcPr>
                    <w:tcW w:w="879" w:type="dxa"/>
                  </w:tcPr>
                  <w:p>
                    <w:pPr>
                      <w:jc w:val="center"/>
                      <w:rPr>
                        <w:sz w:val="20"/>
                      </w:rPr>
                    </w:pPr>
                    <w:r>
                      <w:rPr>
                        <w:sz w:val="20"/>
                      </w:rPr>
                      <w:t>27</w:t>
                    </w:r>
                  </w:p>
                </w:tc>
              </w:tr>
              <w:tr>
                <w:trPr>
                  <w:jc w:val="center"/>
                </w:trPr>
                <w:tc>
                  <w:tcPr>
                    <w:tcW w:w="583" w:type="dxa"/>
                    <w:tcBorders>
                      <w:bottom w:val="single" w:sz="4" w:space="0" w:color="auto"/>
                    </w:tcBorders>
                    <w:vAlign w:val="center"/>
                  </w:tcPr>
                  <w:p>
                    <w:pPr>
                      <w:jc w:val="center"/>
                      <w:rPr>
                        <w:sz w:val="20"/>
                      </w:rPr>
                    </w:pPr>
                    <w:r>
                      <w:rPr>
                        <w:sz w:val="20"/>
                      </w:rPr>
                      <w:t>3.</w:t>
                    </w:r>
                  </w:p>
                </w:tc>
                <w:tc>
                  <w:tcPr>
                    <w:tcW w:w="4520" w:type="dxa"/>
                    <w:tcBorders>
                      <w:bottom w:val="single" w:sz="4" w:space="0" w:color="auto"/>
                    </w:tcBorders>
                    <w:vAlign w:val="center"/>
                  </w:tcPr>
                  <w:p>
                    <w:pPr>
                      <w:rPr>
                        <w:sz w:val="20"/>
                      </w:rPr>
                    </w:pPr>
                    <w:r>
                      <w:rPr>
                        <w:sz w:val="20"/>
                      </w:rPr>
                      <w:t>Gedrimų savarankiški gyvenimo namai</w:t>
                    </w:r>
                  </w:p>
                </w:tc>
                <w:tc>
                  <w:tcPr>
                    <w:tcW w:w="992" w:type="dxa"/>
                    <w:tcBorders>
                      <w:bottom w:val="single" w:sz="4" w:space="0" w:color="auto"/>
                    </w:tcBorders>
                    <w:vAlign w:val="center"/>
                  </w:tcPr>
                  <w:p>
                    <w:pPr>
                      <w:jc w:val="center"/>
                      <w:rPr>
                        <w:sz w:val="20"/>
                      </w:rPr>
                    </w:pPr>
                    <w:r>
                      <w:rPr>
                        <w:sz w:val="20"/>
                      </w:rPr>
                      <w:t>7</w:t>
                    </w:r>
                  </w:p>
                </w:tc>
                <w:tc>
                  <w:tcPr>
                    <w:tcW w:w="1276" w:type="dxa"/>
                    <w:tcBorders>
                      <w:bottom w:val="single" w:sz="4" w:space="0" w:color="auto"/>
                    </w:tcBorders>
                    <w:vAlign w:val="center"/>
                  </w:tcPr>
                  <w:p>
                    <w:pPr>
                      <w:jc w:val="center"/>
                      <w:rPr>
                        <w:sz w:val="20"/>
                      </w:rPr>
                    </w:pPr>
                    <w:r>
                      <w:rPr>
                        <w:sz w:val="20"/>
                      </w:rPr>
                      <w:t>7</w:t>
                    </w:r>
                  </w:p>
                </w:tc>
                <w:tc>
                  <w:tcPr>
                    <w:tcW w:w="879" w:type="dxa"/>
                    <w:tcBorders>
                      <w:bottom w:val="single" w:sz="4" w:space="0" w:color="auto"/>
                    </w:tcBorders>
                    <w:vAlign w:val="center"/>
                  </w:tcPr>
                  <w:p>
                    <w:pPr>
                      <w:jc w:val="center"/>
                      <w:rPr>
                        <w:sz w:val="20"/>
                      </w:rPr>
                    </w:pPr>
                    <w:r>
                      <w:rPr>
                        <w:sz w:val="20"/>
                      </w:rPr>
                      <w:t>8</w:t>
                    </w:r>
                  </w:p>
                </w:tc>
                <w:tc>
                  <w:tcPr>
                    <w:tcW w:w="879" w:type="dxa"/>
                    <w:tcBorders>
                      <w:bottom w:val="single" w:sz="4" w:space="0" w:color="auto"/>
                    </w:tcBorders>
                  </w:tcPr>
                  <w:p>
                    <w:pPr>
                      <w:jc w:val="center"/>
                      <w:rPr>
                        <w:sz w:val="20"/>
                      </w:rPr>
                    </w:pPr>
                    <w:r>
                      <w:rPr>
                        <w:sz w:val="20"/>
                      </w:rPr>
                      <w:t>8</w:t>
                    </w:r>
                  </w:p>
                </w:tc>
              </w:tr>
              <w:tr>
                <w:trPr>
                  <w:jc w:val="center"/>
                </w:trPr>
                <w:tc>
                  <w:tcPr>
                    <w:tcW w:w="583" w:type="dxa"/>
                    <w:shd w:val="clear" w:color="auto" w:fill="D9D9D9"/>
                  </w:tcPr>
                  <w:p>
                    <w:pPr>
                      <w:jc w:val="center"/>
                      <w:rPr>
                        <w:b/>
                        <w:sz w:val="20"/>
                      </w:rPr>
                    </w:pPr>
                    <w:r>
                      <w:rPr>
                        <w:b/>
                        <w:sz w:val="20"/>
                      </w:rPr>
                      <w:t>4.</w:t>
                    </w:r>
                  </w:p>
                </w:tc>
                <w:tc>
                  <w:tcPr>
                    <w:tcW w:w="4520" w:type="dxa"/>
                    <w:shd w:val="clear" w:color="auto" w:fill="D9D9D9"/>
                  </w:tcPr>
                  <w:p>
                    <w:pPr>
                      <w:rPr>
                        <w:b/>
                        <w:sz w:val="20"/>
                      </w:rPr>
                    </w:pPr>
                    <w:r>
                      <w:rPr>
                        <w:b/>
                        <w:sz w:val="20"/>
                      </w:rPr>
                      <w:t>Iš viso:</w:t>
                    </w:r>
                  </w:p>
                </w:tc>
                <w:tc>
                  <w:tcPr>
                    <w:tcW w:w="992" w:type="dxa"/>
                    <w:shd w:val="clear" w:color="auto" w:fill="D9D9D9"/>
                  </w:tcPr>
                  <w:p>
                    <w:pPr>
                      <w:jc w:val="center"/>
                      <w:rPr>
                        <w:b/>
                        <w:sz w:val="20"/>
                      </w:rPr>
                    </w:pPr>
                    <w:r>
                      <w:rPr>
                        <w:b/>
                        <w:sz w:val="20"/>
                      </w:rPr>
                      <w:t>21</w:t>
                    </w:r>
                  </w:p>
                </w:tc>
                <w:tc>
                  <w:tcPr>
                    <w:tcW w:w="1276" w:type="dxa"/>
                    <w:shd w:val="clear" w:color="auto" w:fill="D9D9D9"/>
                  </w:tcPr>
                  <w:p>
                    <w:pPr>
                      <w:jc w:val="center"/>
                      <w:rPr>
                        <w:b/>
                        <w:sz w:val="20"/>
                      </w:rPr>
                    </w:pPr>
                    <w:r>
                      <w:rPr>
                        <w:b/>
                        <w:sz w:val="20"/>
                      </w:rPr>
                      <w:t>25</w:t>
                    </w:r>
                  </w:p>
                </w:tc>
                <w:tc>
                  <w:tcPr>
                    <w:tcW w:w="879" w:type="dxa"/>
                    <w:shd w:val="clear" w:color="auto" w:fill="D9D9D9"/>
                  </w:tcPr>
                  <w:p>
                    <w:pPr>
                      <w:jc w:val="center"/>
                      <w:rPr>
                        <w:b/>
                        <w:sz w:val="20"/>
                      </w:rPr>
                    </w:pPr>
                    <w:r>
                      <w:rPr>
                        <w:b/>
                        <w:sz w:val="20"/>
                      </w:rPr>
                      <w:t>31</w:t>
                    </w:r>
                  </w:p>
                </w:tc>
                <w:tc>
                  <w:tcPr>
                    <w:tcW w:w="879" w:type="dxa"/>
                    <w:shd w:val="clear" w:color="auto" w:fill="D9D9D9"/>
                  </w:tcPr>
                  <w:p>
                    <w:pPr>
                      <w:jc w:val="center"/>
                      <w:rPr>
                        <w:b/>
                        <w:sz w:val="20"/>
                      </w:rPr>
                    </w:pPr>
                    <w:r>
                      <w:rPr>
                        <w:b/>
                        <w:sz w:val="20"/>
                      </w:rPr>
                      <w:t>39</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18"/>
                  <w:szCs w:val="18"/>
                </w:rPr>
              </w:pPr>
            </w:p>
            <w:p>
              <w:pPr>
                <w:ind w:firstLine="851"/>
                <w:jc w:val="both"/>
                <w:rPr>
                  <w:szCs w:val="24"/>
                </w:rPr>
              </w:pPr>
              <w:r>
                <w:rPr>
                  <w:szCs w:val="24"/>
                </w:rPr>
                <w:t xml:space="preserve">Neįgaliems asmenims nuo 18 metų amžiaus (su intelekto sutrikimo ar psichine negalia) neteikiamos paslaugos jų namuose ar trumpalaikė socialinės globa institucijoje. Dienos socialinės globos skyrius galėtų teikti šias paslaugas išplėtus paslaugų infrastruktūrą ir padidinus darbuotojų skaičių. </w:t>
              </w:r>
            </w:p>
            <w:p>
              <w:pPr>
                <w:ind w:firstLine="851"/>
                <w:jc w:val="both"/>
                <w:rPr>
                  <w:szCs w:val="24"/>
                </w:rPr>
              </w:pPr>
              <w:r>
                <w:rPr>
                  <w:b/>
                  <w:szCs w:val="24"/>
                </w:rPr>
                <w:t xml:space="preserve">Apgyvendinimas savarankiško gyvenimo namuose </w:t>
              </w:r>
              <w:r>
                <w:rPr>
                  <w:szCs w:val="24"/>
                </w:rPr>
                <w:t>senyvo amžiaus ir darbingo amžiaus neįgaliems asmenims teikiamas Gedrimų savarankiško gyvenimo namuose. Per 2015 m. paslaugos suteiktos 42 asmenims (2014 m. – 43), iš jų: 7 darbingo amžiaus neįgaliems asmenims ir 34 pensinio amžiaus asmenims, 18 moterų ir 25 vyrams. Metų pabaigoje poreikis patenkintas.</w:t>
              </w:r>
            </w:p>
            <w:p>
              <w:pPr>
                <w:ind w:firstLine="851"/>
                <w:jc w:val="both"/>
                <w:rPr>
                  <w:szCs w:val="24"/>
                </w:rPr>
              </w:pPr>
              <w:r>
                <w:rPr>
                  <w:b/>
                  <w:szCs w:val="24"/>
                </w:rPr>
                <w:t>Trumpalaikė ir ilgalaikė socialinė</w:t>
              </w:r>
              <w:r>
                <w:rPr>
                  <w:szCs w:val="24"/>
                </w:rPr>
                <w:t xml:space="preserve"> globa Telšių rajone teikiama Telšių rajono senelių globos namuose (60 vietų), VPSPC (30 vietų), perkamos valstybinėse socialinės globos ir viešosiose įstaigose (13 asmenų). </w:t>
              </w:r>
            </w:p>
            <w:p>
              <w:pPr>
                <w:ind w:firstLine="851"/>
                <w:jc w:val="both"/>
                <w:rPr>
                  <w:szCs w:val="24"/>
                </w:rPr>
              </w:pPr>
              <w:r>
                <w:rPr>
                  <w:szCs w:val="24"/>
                </w:rPr>
                <w:t xml:space="preserve">Poreikis gauti paslaugas institucijoje 2015 m. padidėjo. Jei 2013–2014 m. eilės buvo minimalios, todėl ilgalaikės socialinės globos poreikis buvo patenkinamas 100 proc., tai 2015 m. pradžioje paslaugoms gauti buvo užregistruota 17 prašymų. Siekiant užtikrinti paslaugų teikimą šiems asmenims buvo organizuotos alternatyvios paslaugos: 4 teikiama dienos socialinė globa; 1 ─ pagalba į namus; 1 ─ VPSPC, 2 ─ privačiuose socialinės  globos namuose; 1─ Gedrimų savarankiško gyvenimo namuose; 4 gydomi ligoninėse; 2 ─ Telšių nakvynės namuose; 2 slaugė namuose artimieji.</w:t>
              </w:r>
            </w:p>
            <w:p>
              <w:pPr>
                <w:tabs>
                  <w:tab w:val="left" w:pos="840"/>
                  <w:tab w:val="left" w:pos="1260"/>
                </w:tabs>
                <w:ind w:right="-39" w:firstLine="840"/>
                <w:jc w:val="both"/>
                <w:rPr>
                  <w:szCs w:val="24"/>
                </w:rPr>
              </w:pPr>
              <w:r>
                <w:rPr>
                  <w:szCs w:val="24"/>
                </w:rPr>
                <w:t xml:space="preserve">VPSPC teikiama trumpalaikė socialinė globa, o nuo 2015 m. pradžios ir ilgalaikė socialinė globa. Paslaugų poreikis didėja, todėl artimiausiu metu planuojama didinti lovų skaičių nuo 25 iki 30. </w:t>
              </w:r>
            </w:p>
            <w:p>
              <w:pPr>
                <w:ind w:firstLine="720"/>
                <w:jc w:val="both"/>
                <w:rPr>
                  <w:szCs w:val="24"/>
                </w:rPr>
              </w:pPr>
              <w:r>
                <w:rPr>
                  <w:szCs w:val="24"/>
                </w:rPr>
                <w:t xml:space="preserve">Savivaldybėje nėra registruotų privačių / parapinių socialinės globos namų senyvo amžiaus ar neįgaliems asmenims teikėjų, taip pat artimieji  prašo paskirti ilgalaikę socialinę globą kitame rajone, priklausomai nuo jų gyvenamosios vietos, todėl ilgalaikės socialinės globos paslaugos finansuojamos privačiuose socialinės globos namuose, esančiuose kituose rajonuose. </w:t>
              </w:r>
            </w:p>
            <w:p>
              <w:pPr>
                <w:ind w:firstLine="851"/>
                <w:jc w:val="both"/>
                <w:rPr>
                  <w:szCs w:val="24"/>
                </w:rPr>
              </w:pPr>
              <w:r>
                <w:rPr>
                  <w:szCs w:val="24"/>
                </w:rPr>
                <w:t>Per 2015 m. paslaugos pirktos senyvo amžiaus asmenims šiose įstaigose: VšĮ „Senjorų Eldoradas“ – 1; Žemaičių Kalvarijos „Caritas“ socialiniuose globos namuose – 1; Šv. Juozapo globos namuose – 2; Antavilių pensionate – 1. VšĮ „Vilties erdvė“ pirktos paslaugos 1 neįgaliam darbingo amžiaus asmeniui.</w:t>
              </w:r>
            </w:p>
            <w:p>
              <w:pPr>
                <w:ind w:firstLine="720"/>
                <w:jc w:val="both"/>
                <w:rPr>
                  <w:i/>
                  <w:szCs w:val="24"/>
                </w:rPr>
              </w:pPr>
              <w:r>
                <w:rPr>
                  <w:szCs w:val="24"/>
                </w:rPr>
                <w:t>Žemiau nurodyta ilgalaikės / trumpalaikės socialinės globos gavėjų statistika ir laukiančiųjų eilėje skaičius.</w:t>
              </w:r>
            </w:p>
          </w:sdtContent>
        </w:sdt>
        <w:sdt>
          <w:sdtPr>
            <w:alias w:val="poskyris"/>
            <w:tag w:val="part_89b5e1122dd34c258919ac83e312f118"/>
            <w:lock w:val="sdtLocked"/>
            <w:richText/>
          </w:sdtPr>
          <w:sdtContent>
            <w:p>
              <w:pPr>
                <w:jc w:val="center"/>
                <w:rPr>
                  <w:b/>
                  <w:szCs w:val="24"/>
                </w:rPr>
              </w:pPr>
              <w:sdt>
                <w:sdtPr>
                  <w:alias w:val="Pavadinimas"/>
                  <w:tag w:val="title_89b5e1122dd34c258919ac83e312f118"/>
                  <w:lock w:val="sdtLocked"/>
                  <w:richText/>
                </w:sdtPr>
                <w:sdtContent>
                  <w:r>
                    <w:rPr>
                      <w:b/>
                      <w:szCs w:val="24"/>
                    </w:rPr>
                    <w:t>Paslaugų gavėjų statistika 2014─2016 m.</w:t>
                  </w:r>
                  <w:r>
                    <w:rPr>
                      <w:b/>
                      <w:i/>
                      <w:szCs w:val="24"/>
                      <w:vertAlign w:val="superscript"/>
                    </w:rPr>
                    <w:t xml:space="preserve"> </w:t>
                  </w:r>
                </w:sdtContent>
              </w:sdt>
              <w:r>
                <w:rPr>
                  <w:szCs w:val="24"/>
                  <w:vertAlign w:val="superscript"/>
                </w:rPr>
                <w:footnoteReference w:id="29"/>
              </w:r>
            </w:p>
            <w:tbl>
              <w:tblPr>
                <w:tblW w:w="9338" w:type="dxa"/>
                <w:jc w:val="center"/>
                <w:tblInd w:w="-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
                <w:gridCol w:w="3119"/>
                <w:gridCol w:w="708"/>
                <w:gridCol w:w="1123"/>
                <w:gridCol w:w="720"/>
                <w:gridCol w:w="1283"/>
                <w:gridCol w:w="709"/>
                <w:gridCol w:w="1116"/>
              </w:tblGrid>
              <w:tr>
                <w:trPr>
                  <w:trHeight w:val="530"/>
                  <w:tblHeader/>
                  <w:jc w:val="center"/>
                </w:trPr>
                <w:tc>
                  <w:tcPr>
                    <w:tcW w:w="560" w:type="dxa"/>
                    <w:vMerge w:val="restart"/>
                    <w:shd w:val="pct5" w:color="auto" w:fill="auto"/>
                    <w:vAlign w:val="center"/>
                  </w:tcPr>
                  <w:p>
                    <w:pPr>
                      <w:jc w:val="center"/>
                      <w:rPr>
                        <w:b/>
                        <w:sz w:val="20"/>
                      </w:rPr>
                    </w:pPr>
                    <w:r>
                      <w:rPr>
                        <w:b/>
                        <w:sz w:val="20"/>
                      </w:rPr>
                      <w:t>Eil.</w:t>
                    </w:r>
                  </w:p>
                  <w:p>
                    <w:pPr>
                      <w:jc w:val="center"/>
                      <w:rPr>
                        <w:b/>
                        <w:sz w:val="20"/>
                      </w:rPr>
                    </w:pPr>
                    <w:r>
                      <w:rPr>
                        <w:b/>
                        <w:sz w:val="20"/>
                      </w:rPr>
                      <w:t>Nr.</w:t>
                    </w:r>
                  </w:p>
                </w:tc>
                <w:tc>
                  <w:tcPr>
                    <w:tcW w:w="3119" w:type="dxa"/>
                    <w:vMerge w:val="restart"/>
                    <w:tcBorders>
                      <w:tl2br w:val="single" w:sz="4" w:space="0" w:color="auto"/>
                    </w:tcBorders>
                    <w:shd w:val="pct5" w:color="auto" w:fill="auto"/>
                    <w:vAlign w:val="center"/>
                  </w:tcPr>
                  <w:p>
                    <w:pPr>
                      <w:jc w:val="right"/>
                      <w:rPr>
                        <w:b/>
                        <w:sz w:val="20"/>
                      </w:rPr>
                    </w:pPr>
                    <w:r>
                      <w:rPr>
                        <w:b/>
                        <w:sz w:val="20"/>
                      </w:rPr>
                      <w:t>Metai / Gavėjai</w:t>
                    </w:r>
                  </w:p>
                  <w:p>
                    <w:pPr>
                      <w:rPr>
                        <w:b/>
                        <w:sz w:val="20"/>
                      </w:rPr>
                    </w:pPr>
                  </w:p>
                  <w:p>
                    <w:pPr>
                      <w:rPr>
                        <w:b/>
                        <w:sz w:val="20"/>
                      </w:rPr>
                    </w:pPr>
                    <w:r>
                      <w:rPr>
                        <w:b/>
                        <w:sz w:val="20"/>
                      </w:rPr>
                      <w:t xml:space="preserve">Institucija       </w:t>
                    </w:r>
                  </w:p>
                </w:tc>
                <w:tc>
                  <w:tcPr>
                    <w:tcW w:w="708" w:type="dxa"/>
                    <w:vMerge w:val="restart"/>
                    <w:shd w:val="pct5" w:color="auto" w:fill="auto"/>
                    <w:vAlign w:val="center"/>
                  </w:tcPr>
                  <w:p>
                    <w:pPr>
                      <w:jc w:val="center"/>
                      <w:rPr>
                        <w:b/>
                        <w:sz w:val="18"/>
                        <w:szCs w:val="18"/>
                      </w:rPr>
                    </w:pPr>
                    <w:r>
                      <w:rPr>
                        <w:b/>
                        <w:sz w:val="18"/>
                        <w:szCs w:val="18"/>
                      </w:rPr>
                      <w:t>Viso</w:t>
                    </w:r>
                  </w:p>
                </w:tc>
                <w:tc>
                  <w:tcPr>
                    <w:tcW w:w="1123" w:type="dxa"/>
                    <w:shd w:val="pct5" w:color="auto" w:fill="auto"/>
                    <w:vAlign w:val="center"/>
                  </w:tcPr>
                  <w:p>
                    <w:pPr>
                      <w:jc w:val="center"/>
                      <w:rPr>
                        <w:b/>
                        <w:sz w:val="18"/>
                        <w:szCs w:val="18"/>
                      </w:rPr>
                    </w:pPr>
                  </w:p>
                </w:tc>
                <w:tc>
                  <w:tcPr>
                    <w:tcW w:w="720" w:type="dxa"/>
                    <w:vMerge w:val="restart"/>
                    <w:shd w:val="pct5" w:color="auto" w:fill="auto"/>
                    <w:vAlign w:val="center"/>
                  </w:tcPr>
                  <w:p>
                    <w:pPr>
                      <w:jc w:val="center"/>
                      <w:rPr>
                        <w:b/>
                        <w:sz w:val="18"/>
                        <w:szCs w:val="18"/>
                      </w:rPr>
                    </w:pPr>
                    <w:r>
                      <w:rPr>
                        <w:b/>
                        <w:sz w:val="18"/>
                        <w:szCs w:val="18"/>
                      </w:rPr>
                      <w:t>Iš viso</w:t>
                    </w:r>
                  </w:p>
                </w:tc>
                <w:tc>
                  <w:tcPr>
                    <w:tcW w:w="1283" w:type="dxa"/>
                    <w:shd w:val="pct5" w:color="auto" w:fill="auto"/>
                    <w:vAlign w:val="center"/>
                  </w:tcPr>
                  <w:p>
                    <w:pPr>
                      <w:jc w:val="center"/>
                      <w:rPr>
                        <w:b/>
                        <w:sz w:val="18"/>
                        <w:szCs w:val="18"/>
                      </w:rPr>
                    </w:pPr>
                  </w:p>
                </w:tc>
                <w:tc>
                  <w:tcPr>
                    <w:tcW w:w="709" w:type="dxa"/>
                    <w:vMerge w:val="restart"/>
                    <w:shd w:val="pct5" w:color="auto" w:fill="auto"/>
                    <w:vAlign w:val="center"/>
                  </w:tcPr>
                  <w:p>
                    <w:pPr>
                      <w:jc w:val="center"/>
                      <w:rPr>
                        <w:b/>
                        <w:sz w:val="18"/>
                        <w:szCs w:val="18"/>
                      </w:rPr>
                    </w:pPr>
                    <w:r>
                      <w:rPr>
                        <w:b/>
                        <w:sz w:val="18"/>
                        <w:szCs w:val="18"/>
                      </w:rPr>
                      <w:t>Iš viso</w:t>
                    </w:r>
                  </w:p>
                </w:tc>
                <w:tc>
                  <w:tcPr>
                    <w:tcW w:w="1116" w:type="dxa"/>
                    <w:shd w:val="pct5" w:color="auto" w:fill="auto"/>
                    <w:vAlign w:val="center"/>
                  </w:tcPr>
                  <w:p>
                    <w:pPr>
                      <w:jc w:val="center"/>
                      <w:rPr>
                        <w:b/>
                        <w:sz w:val="18"/>
                        <w:szCs w:val="18"/>
                      </w:rPr>
                    </w:pPr>
                  </w:p>
                </w:tc>
              </w:tr>
              <w:tr>
                <w:trPr>
                  <w:trHeight w:val="530"/>
                  <w:tblHeader/>
                  <w:jc w:val="center"/>
                </w:trPr>
                <w:tc>
                  <w:tcPr>
                    <w:tcW w:w="560" w:type="dxa"/>
                    <w:vMerge/>
                    <w:shd w:val="pct5" w:color="auto" w:fill="auto"/>
                    <w:vAlign w:val="center"/>
                  </w:tcPr>
                  <w:p>
                    <w:pPr>
                      <w:jc w:val="center"/>
                      <w:rPr>
                        <w:b/>
                        <w:sz w:val="20"/>
                      </w:rPr>
                    </w:pPr>
                  </w:p>
                </w:tc>
                <w:tc>
                  <w:tcPr>
                    <w:tcW w:w="3119" w:type="dxa"/>
                    <w:vMerge/>
                    <w:tcBorders>
                      <w:tl2br w:val="single" w:sz="4" w:space="0" w:color="auto"/>
                    </w:tcBorders>
                    <w:shd w:val="pct5" w:color="auto" w:fill="auto"/>
                    <w:vAlign w:val="center"/>
                  </w:tcPr>
                  <w:p>
                    <w:pPr>
                      <w:jc w:val="right"/>
                      <w:rPr>
                        <w:b/>
                        <w:sz w:val="20"/>
                      </w:rPr>
                    </w:pPr>
                  </w:p>
                </w:tc>
                <w:tc>
                  <w:tcPr>
                    <w:tcW w:w="708" w:type="dxa"/>
                    <w:vMerge/>
                    <w:shd w:val="pct5" w:color="auto" w:fill="auto"/>
                    <w:vAlign w:val="center"/>
                  </w:tcPr>
                  <w:p>
                    <w:pPr>
                      <w:jc w:val="center"/>
                      <w:rPr>
                        <w:b/>
                        <w:sz w:val="18"/>
                        <w:szCs w:val="18"/>
                      </w:rPr>
                    </w:pPr>
                  </w:p>
                </w:tc>
                <w:tc>
                  <w:tcPr>
                    <w:tcW w:w="1123" w:type="dxa"/>
                    <w:shd w:val="pct5" w:color="auto" w:fill="auto"/>
                    <w:vAlign w:val="center"/>
                  </w:tcPr>
                  <w:p>
                    <w:pPr>
                      <w:jc w:val="center"/>
                      <w:rPr>
                        <w:b/>
                        <w:sz w:val="18"/>
                        <w:szCs w:val="18"/>
                      </w:rPr>
                    </w:pPr>
                    <w:r>
                      <w:rPr>
                        <w:b/>
                        <w:sz w:val="18"/>
                        <w:szCs w:val="18"/>
                      </w:rPr>
                      <w:t>Iš jų su sunkia negalia</w:t>
                    </w:r>
                  </w:p>
                </w:tc>
                <w:tc>
                  <w:tcPr>
                    <w:tcW w:w="720" w:type="dxa"/>
                    <w:vMerge/>
                    <w:shd w:val="pct5" w:color="auto" w:fill="auto"/>
                    <w:vAlign w:val="center"/>
                  </w:tcPr>
                  <w:p>
                    <w:pPr>
                      <w:jc w:val="center"/>
                      <w:rPr>
                        <w:b/>
                        <w:sz w:val="18"/>
                        <w:szCs w:val="18"/>
                      </w:rPr>
                    </w:pPr>
                  </w:p>
                </w:tc>
                <w:tc>
                  <w:tcPr>
                    <w:tcW w:w="1283" w:type="dxa"/>
                    <w:shd w:val="pct5" w:color="auto" w:fill="auto"/>
                    <w:vAlign w:val="center"/>
                  </w:tcPr>
                  <w:p>
                    <w:pPr>
                      <w:jc w:val="center"/>
                      <w:rPr>
                        <w:b/>
                        <w:sz w:val="18"/>
                        <w:szCs w:val="18"/>
                      </w:rPr>
                    </w:pPr>
                    <w:r>
                      <w:rPr>
                        <w:b/>
                        <w:sz w:val="18"/>
                        <w:szCs w:val="18"/>
                      </w:rPr>
                      <w:t>Iš jų su sunkia negalia</w:t>
                    </w:r>
                  </w:p>
                </w:tc>
                <w:tc>
                  <w:tcPr>
                    <w:tcW w:w="709" w:type="dxa"/>
                    <w:vMerge/>
                    <w:shd w:val="pct5" w:color="auto" w:fill="auto"/>
                    <w:vAlign w:val="center"/>
                  </w:tcPr>
                  <w:p>
                    <w:pPr>
                      <w:jc w:val="center"/>
                      <w:rPr>
                        <w:b/>
                        <w:sz w:val="18"/>
                        <w:szCs w:val="18"/>
                      </w:rPr>
                    </w:pPr>
                  </w:p>
                </w:tc>
                <w:tc>
                  <w:tcPr>
                    <w:tcW w:w="1116" w:type="dxa"/>
                    <w:shd w:val="pct5" w:color="auto" w:fill="auto"/>
                    <w:vAlign w:val="center"/>
                  </w:tcPr>
                  <w:p>
                    <w:pPr>
                      <w:jc w:val="center"/>
                      <w:rPr>
                        <w:b/>
                        <w:sz w:val="18"/>
                        <w:szCs w:val="18"/>
                      </w:rPr>
                    </w:pPr>
                    <w:r>
                      <w:rPr>
                        <w:b/>
                        <w:sz w:val="18"/>
                        <w:szCs w:val="18"/>
                      </w:rPr>
                      <w:t>Iš jų su sunkia negalia</w:t>
                    </w:r>
                  </w:p>
                </w:tc>
              </w:tr>
              <w:tr>
                <w:trPr>
                  <w:trHeight w:val="302"/>
                  <w:tblHeader/>
                  <w:jc w:val="center"/>
                </w:trPr>
                <w:tc>
                  <w:tcPr>
                    <w:tcW w:w="560" w:type="dxa"/>
                    <w:vMerge/>
                    <w:shd w:val="pct5" w:color="auto" w:fill="auto"/>
                    <w:vAlign w:val="center"/>
                  </w:tcPr>
                  <w:p>
                    <w:pPr>
                      <w:jc w:val="center"/>
                      <w:rPr>
                        <w:b/>
                        <w:sz w:val="20"/>
                      </w:rPr>
                    </w:pPr>
                  </w:p>
                </w:tc>
                <w:tc>
                  <w:tcPr>
                    <w:tcW w:w="3119" w:type="dxa"/>
                    <w:vMerge/>
                    <w:tcBorders>
                      <w:tl2br w:val="single" w:sz="4" w:space="0" w:color="auto"/>
                    </w:tcBorders>
                    <w:shd w:val="pct5" w:color="auto" w:fill="auto"/>
                    <w:vAlign w:val="center"/>
                  </w:tcPr>
                  <w:p>
                    <w:pPr>
                      <w:rPr>
                        <w:b/>
                        <w:sz w:val="20"/>
                      </w:rPr>
                    </w:pPr>
                  </w:p>
                </w:tc>
                <w:tc>
                  <w:tcPr>
                    <w:tcW w:w="1831" w:type="dxa"/>
                    <w:gridSpan w:val="2"/>
                    <w:shd w:val="pct5" w:color="auto" w:fill="auto"/>
                    <w:vAlign w:val="center"/>
                  </w:tcPr>
                  <w:p>
                    <w:pPr>
                      <w:jc w:val="center"/>
                      <w:rPr>
                        <w:b/>
                        <w:sz w:val="20"/>
                      </w:rPr>
                    </w:pPr>
                    <w:r>
                      <w:rPr>
                        <w:b/>
                        <w:sz w:val="20"/>
                      </w:rPr>
                      <w:t>2014 m.</w:t>
                    </w:r>
                  </w:p>
                </w:tc>
                <w:tc>
                  <w:tcPr>
                    <w:tcW w:w="2003" w:type="dxa"/>
                    <w:gridSpan w:val="2"/>
                    <w:shd w:val="pct5" w:color="auto" w:fill="auto"/>
                    <w:vAlign w:val="center"/>
                  </w:tcPr>
                  <w:p>
                    <w:pPr>
                      <w:jc w:val="center"/>
                      <w:rPr>
                        <w:b/>
                        <w:sz w:val="20"/>
                      </w:rPr>
                    </w:pPr>
                    <w:r>
                      <w:rPr>
                        <w:b/>
                        <w:sz w:val="20"/>
                      </w:rPr>
                      <w:t>2015 m.</w:t>
                    </w:r>
                  </w:p>
                </w:tc>
                <w:tc>
                  <w:tcPr>
                    <w:tcW w:w="1825" w:type="dxa"/>
                    <w:gridSpan w:val="2"/>
                    <w:shd w:val="pct5" w:color="auto" w:fill="auto"/>
                    <w:vAlign w:val="center"/>
                  </w:tcPr>
                  <w:p>
                    <w:pPr>
                      <w:jc w:val="center"/>
                      <w:rPr>
                        <w:b/>
                        <w:sz w:val="20"/>
                      </w:rPr>
                    </w:pPr>
                    <w:r>
                      <w:rPr>
                        <w:b/>
                        <w:sz w:val="20"/>
                      </w:rPr>
                      <w:t xml:space="preserve">2016 m. </w:t>
                    </w:r>
                  </w:p>
                </w:tc>
              </w:tr>
              <w:tr>
                <w:trPr>
                  <w:jc w:val="center"/>
                </w:trPr>
                <w:tc>
                  <w:tcPr>
                    <w:tcW w:w="560" w:type="dxa"/>
                    <w:vMerge w:val="restart"/>
                    <w:vAlign w:val="center"/>
                  </w:tcPr>
                  <w:p>
                    <w:pPr>
                      <w:rPr>
                        <w:sz w:val="20"/>
                      </w:rPr>
                    </w:pPr>
                    <w:r>
                      <w:rPr>
                        <w:sz w:val="20"/>
                      </w:rPr>
                      <w:t>1.</w:t>
                    </w:r>
                  </w:p>
                </w:tc>
                <w:tc>
                  <w:tcPr>
                    <w:tcW w:w="3119" w:type="dxa"/>
                    <w:vAlign w:val="center"/>
                  </w:tcPr>
                  <w:p>
                    <w:pPr>
                      <w:rPr>
                        <w:sz w:val="20"/>
                      </w:rPr>
                    </w:pPr>
                    <w:r>
                      <w:rPr>
                        <w:sz w:val="20"/>
                      </w:rPr>
                      <w:t>Telšių rajono senelių globos namai</w:t>
                    </w:r>
                  </w:p>
                </w:tc>
                <w:tc>
                  <w:tcPr>
                    <w:tcW w:w="708" w:type="dxa"/>
                    <w:vAlign w:val="center"/>
                  </w:tcPr>
                  <w:p>
                    <w:pPr>
                      <w:jc w:val="center"/>
                      <w:rPr>
                        <w:sz w:val="20"/>
                      </w:rPr>
                    </w:pPr>
                    <w:r>
                      <w:rPr>
                        <w:sz w:val="20"/>
                      </w:rPr>
                      <w:t>75</w:t>
                    </w:r>
                  </w:p>
                </w:tc>
                <w:tc>
                  <w:tcPr>
                    <w:tcW w:w="1123" w:type="dxa"/>
                    <w:vAlign w:val="center"/>
                  </w:tcPr>
                  <w:p>
                    <w:pPr>
                      <w:jc w:val="center"/>
                      <w:rPr>
                        <w:sz w:val="20"/>
                      </w:rPr>
                    </w:pPr>
                    <w:r>
                      <w:rPr>
                        <w:sz w:val="20"/>
                      </w:rPr>
                      <w:t>20</w:t>
                    </w:r>
                  </w:p>
                </w:tc>
                <w:tc>
                  <w:tcPr>
                    <w:tcW w:w="720" w:type="dxa"/>
                    <w:vAlign w:val="center"/>
                  </w:tcPr>
                  <w:p>
                    <w:pPr>
                      <w:jc w:val="center"/>
                      <w:rPr>
                        <w:sz w:val="20"/>
                      </w:rPr>
                    </w:pPr>
                    <w:r>
                      <w:rPr>
                        <w:sz w:val="20"/>
                      </w:rPr>
                      <w:t>75</w:t>
                    </w:r>
                  </w:p>
                </w:tc>
                <w:tc>
                  <w:tcPr>
                    <w:tcW w:w="1283" w:type="dxa"/>
                    <w:vAlign w:val="center"/>
                  </w:tcPr>
                  <w:p>
                    <w:pPr>
                      <w:jc w:val="center"/>
                      <w:rPr>
                        <w:sz w:val="20"/>
                      </w:rPr>
                    </w:pPr>
                    <w:r>
                      <w:rPr>
                        <w:sz w:val="20"/>
                      </w:rPr>
                      <w:t>30</w:t>
                    </w:r>
                  </w:p>
                </w:tc>
                <w:tc>
                  <w:tcPr>
                    <w:tcW w:w="709" w:type="dxa"/>
                    <w:vAlign w:val="center"/>
                  </w:tcPr>
                  <w:p>
                    <w:pPr>
                      <w:jc w:val="center"/>
                      <w:rPr>
                        <w:sz w:val="20"/>
                      </w:rPr>
                    </w:pPr>
                    <w:r>
                      <w:rPr>
                        <w:sz w:val="20"/>
                      </w:rPr>
                      <w:t>73</w:t>
                    </w:r>
                  </w:p>
                </w:tc>
                <w:tc>
                  <w:tcPr>
                    <w:tcW w:w="1116" w:type="dxa"/>
                    <w:vAlign w:val="center"/>
                  </w:tcPr>
                  <w:p>
                    <w:pPr>
                      <w:jc w:val="center"/>
                      <w:rPr>
                        <w:sz w:val="20"/>
                      </w:rPr>
                    </w:pPr>
                    <w:r>
                      <w:rPr>
                        <w:sz w:val="20"/>
                      </w:rPr>
                      <w:t>28</w:t>
                    </w:r>
                  </w:p>
                </w:tc>
              </w:tr>
              <w:tr>
                <w:trPr>
                  <w:jc w:val="center"/>
                </w:trPr>
                <w:tc>
                  <w:tcPr>
                    <w:tcW w:w="560" w:type="dxa"/>
                    <w:vMerge/>
                    <w:vAlign w:val="center"/>
                  </w:tcPr>
                  <w:p>
                    <w:pPr>
                      <w:rPr>
                        <w:sz w:val="20"/>
                      </w:rPr>
                    </w:pPr>
                  </w:p>
                </w:tc>
                <w:tc>
                  <w:tcPr>
                    <w:tcW w:w="3119" w:type="dxa"/>
                    <w:vAlign w:val="center"/>
                  </w:tcPr>
                  <w:p>
                    <w:pPr>
                      <w:rPr>
                        <w:sz w:val="20"/>
                      </w:rPr>
                    </w:pPr>
                    <w:r>
                      <w:rPr>
                        <w:sz w:val="20"/>
                      </w:rPr>
                      <w:t>Laukia eilėje</w:t>
                    </w:r>
                  </w:p>
                </w:tc>
                <w:tc>
                  <w:tcPr>
                    <w:tcW w:w="708" w:type="dxa"/>
                    <w:vAlign w:val="center"/>
                  </w:tcPr>
                  <w:p>
                    <w:pPr>
                      <w:jc w:val="center"/>
                      <w:rPr>
                        <w:sz w:val="20"/>
                      </w:rPr>
                    </w:pPr>
                    <w:r>
                      <w:rPr>
                        <w:sz w:val="20"/>
                      </w:rPr>
                      <w:t>─</w:t>
                    </w:r>
                  </w:p>
                </w:tc>
                <w:tc>
                  <w:tcPr>
                    <w:tcW w:w="1123" w:type="dxa"/>
                    <w:vAlign w:val="center"/>
                  </w:tcPr>
                  <w:p>
                    <w:pPr>
                      <w:jc w:val="center"/>
                      <w:rPr>
                        <w:sz w:val="20"/>
                      </w:rPr>
                    </w:pPr>
                    <w:r>
                      <w:rPr>
                        <w:sz w:val="20"/>
                      </w:rPr>
                      <w:t>─</w:t>
                    </w:r>
                  </w:p>
                </w:tc>
                <w:tc>
                  <w:tcPr>
                    <w:tcW w:w="720" w:type="dxa"/>
                    <w:vAlign w:val="center"/>
                  </w:tcPr>
                  <w:p>
                    <w:pPr>
                      <w:jc w:val="center"/>
                      <w:rPr>
                        <w:sz w:val="20"/>
                      </w:rPr>
                    </w:pPr>
                    <w:r>
                      <w:rPr>
                        <w:sz w:val="20"/>
                      </w:rPr>
                      <w:t>17</w:t>
                    </w:r>
                  </w:p>
                </w:tc>
                <w:tc>
                  <w:tcPr>
                    <w:tcW w:w="1283" w:type="dxa"/>
                    <w:vAlign w:val="center"/>
                  </w:tcPr>
                  <w:p>
                    <w:pPr>
                      <w:jc w:val="center"/>
                      <w:rPr>
                        <w:sz w:val="20"/>
                      </w:rPr>
                    </w:pPr>
                    <w:r>
                      <w:rPr>
                        <w:sz w:val="20"/>
                      </w:rPr>
                      <w:t>6</w:t>
                    </w:r>
                  </w:p>
                </w:tc>
                <w:tc>
                  <w:tcPr>
                    <w:tcW w:w="709" w:type="dxa"/>
                    <w:vAlign w:val="center"/>
                  </w:tcPr>
                  <w:p>
                    <w:pPr>
                      <w:jc w:val="center"/>
                      <w:rPr>
                        <w:sz w:val="20"/>
                      </w:rPr>
                    </w:pPr>
                    <w:r>
                      <w:rPr>
                        <w:sz w:val="20"/>
                      </w:rPr>
                      <w:t>17</w:t>
                    </w:r>
                  </w:p>
                </w:tc>
                <w:tc>
                  <w:tcPr>
                    <w:tcW w:w="1116" w:type="dxa"/>
                    <w:vAlign w:val="center"/>
                  </w:tcPr>
                  <w:p>
                    <w:pPr>
                      <w:jc w:val="center"/>
                      <w:rPr>
                        <w:sz w:val="20"/>
                      </w:rPr>
                    </w:pPr>
                    <w:r>
                      <w:rPr>
                        <w:sz w:val="20"/>
                      </w:rPr>
                      <w:t>4</w:t>
                    </w:r>
                  </w:p>
                </w:tc>
              </w:tr>
              <w:tr>
                <w:trPr>
                  <w:jc w:val="center"/>
                </w:trPr>
                <w:tc>
                  <w:tcPr>
                    <w:tcW w:w="560" w:type="dxa"/>
                    <w:vMerge w:val="restart"/>
                    <w:vAlign w:val="center"/>
                  </w:tcPr>
                  <w:p>
                    <w:pPr>
                      <w:rPr>
                        <w:sz w:val="20"/>
                      </w:rPr>
                    </w:pPr>
                    <w:r>
                      <w:rPr>
                        <w:sz w:val="20"/>
                      </w:rPr>
                      <w:t>2.</w:t>
                    </w:r>
                  </w:p>
                </w:tc>
                <w:tc>
                  <w:tcPr>
                    <w:tcW w:w="3119" w:type="dxa"/>
                    <w:vAlign w:val="center"/>
                  </w:tcPr>
                  <w:p>
                    <w:pPr>
                      <w:rPr>
                        <w:sz w:val="20"/>
                      </w:rPr>
                    </w:pPr>
                    <w:r>
                      <w:rPr>
                        <w:sz w:val="20"/>
                      </w:rPr>
                      <w:t>VPSPC, iš jų:</w:t>
                    </w:r>
                  </w:p>
                </w:tc>
                <w:tc>
                  <w:tcPr>
                    <w:tcW w:w="708" w:type="dxa"/>
                    <w:vAlign w:val="center"/>
                  </w:tcPr>
                  <w:p>
                    <w:pPr>
                      <w:jc w:val="center"/>
                      <w:rPr>
                        <w:sz w:val="20"/>
                      </w:rPr>
                    </w:pPr>
                    <w:r>
                      <w:rPr>
                        <w:sz w:val="20"/>
                      </w:rPr>
                      <w:t>40</w:t>
                    </w:r>
                  </w:p>
                </w:tc>
                <w:tc>
                  <w:tcPr>
                    <w:tcW w:w="1123" w:type="dxa"/>
                    <w:vAlign w:val="center"/>
                  </w:tcPr>
                  <w:p>
                    <w:pPr>
                      <w:jc w:val="center"/>
                      <w:rPr>
                        <w:sz w:val="20"/>
                      </w:rPr>
                    </w:pPr>
                    <w:r>
                      <w:rPr>
                        <w:sz w:val="20"/>
                      </w:rPr>
                      <w:t>26</w:t>
                    </w:r>
                  </w:p>
                </w:tc>
                <w:tc>
                  <w:tcPr>
                    <w:tcW w:w="720" w:type="dxa"/>
                    <w:vAlign w:val="center"/>
                  </w:tcPr>
                  <w:p>
                    <w:pPr>
                      <w:jc w:val="center"/>
                      <w:rPr>
                        <w:sz w:val="20"/>
                      </w:rPr>
                    </w:pPr>
                    <w:r>
                      <w:rPr>
                        <w:sz w:val="20"/>
                      </w:rPr>
                      <w:t>39</w:t>
                    </w:r>
                  </w:p>
                </w:tc>
                <w:tc>
                  <w:tcPr>
                    <w:tcW w:w="1283" w:type="dxa"/>
                    <w:vAlign w:val="center"/>
                  </w:tcPr>
                  <w:p>
                    <w:pPr>
                      <w:jc w:val="center"/>
                      <w:rPr>
                        <w:sz w:val="20"/>
                      </w:rPr>
                    </w:pPr>
                    <w:r>
                      <w:rPr>
                        <w:sz w:val="20"/>
                      </w:rPr>
                      <w:t>30</w:t>
                    </w:r>
                  </w:p>
                </w:tc>
                <w:tc>
                  <w:tcPr>
                    <w:tcW w:w="709" w:type="dxa"/>
                    <w:vAlign w:val="center"/>
                  </w:tcPr>
                  <w:p>
                    <w:pPr>
                      <w:jc w:val="center"/>
                      <w:rPr>
                        <w:sz w:val="20"/>
                      </w:rPr>
                    </w:pPr>
                    <w:r>
                      <w:rPr>
                        <w:sz w:val="20"/>
                      </w:rPr>
                      <w:t>52</w:t>
                    </w:r>
                  </w:p>
                </w:tc>
                <w:tc>
                  <w:tcPr>
                    <w:tcW w:w="1116" w:type="dxa"/>
                    <w:vAlign w:val="center"/>
                  </w:tcPr>
                  <w:p>
                    <w:pPr>
                      <w:jc w:val="center"/>
                      <w:rPr>
                        <w:sz w:val="20"/>
                      </w:rPr>
                    </w:pPr>
                    <w:r>
                      <w:rPr>
                        <w:sz w:val="20"/>
                      </w:rPr>
                      <w:t>36</w:t>
                    </w:r>
                  </w:p>
                </w:tc>
              </w:tr>
              <w:tr>
                <w:trPr>
                  <w:jc w:val="center"/>
                </w:trPr>
                <w:tc>
                  <w:tcPr>
                    <w:tcW w:w="560" w:type="dxa"/>
                    <w:vMerge/>
                    <w:vAlign w:val="center"/>
                  </w:tcPr>
                  <w:p>
                    <w:pPr>
                      <w:rPr>
                        <w:sz w:val="20"/>
                      </w:rPr>
                    </w:pPr>
                  </w:p>
                </w:tc>
                <w:tc>
                  <w:tcPr>
                    <w:tcW w:w="3119" w:type="dxa"/>
                    <w:vAlign w:val="center"/>
                  </w:tcPr>
                  <w:p>
                    <w:pPr>
                      <w:rPr>
                        <w:sz w:val="20"/>
                      </w:rPr>
                    </w:pPr>
                    <w:r>
                      <w:rPr>
                        <w:sz w:val="20"/>
                      </w:rPr>
                      <w:t>Laukia eilėje į Telšių senelių globos namus</w:t>
                    </w:r>
                  </w:p>
                </w:tc>
                <w:tc>
                  <w:tcPr>
                    <w:tcW w:w="708" w:type="dxa"/>
                    <w:vAlign w:val="center"/>
                  </w:tcPr>
                  <w:p>
                    <w:pPr>
                      <w:jc w:val="center"/>
                      <w:rPr>
                        <w:sz w:val="20"/>
                      </w:rPr>
                    </w:pPr>
                    <w:r>
                      <w:rPr>
                        <w:sz w:val="20"/>
                      </w:rPr>
                      <w:t>─</w:t>
                    </w:r>
                  </w:p>
                </w:tc>
                <w:tc>
                  <w:tcPr>
                    <w:tcW w:w="1123" w:type="dxa"/>
                    <w:vAlign w:val="center"/>
                  </w:tcPr>
                  <w:p>
                    <w:pPr>
                      <w:jc w:val="center"/>
                      <w:rPr>
                        <w:sz w:val="20"/>
                      </w:rPr>
                    </w:pPr>
                    <w:r>
                      <w:rPr>
                        <w:sz w:val="20"/>
                      </w:rPr>
                      <w:t>─</w:t>
                    </w:r>
                  </w:p>
                </w:tc>
                <w:tc>
                  <w:tcPr>
                    <w:tcW w:w="720" w:type="dxa"/>
                    <w:vAlign w:val="center"/>
                  </w:tcPr>
                  <w:p>
                    <w:pPr>
                      <w:jc w:val="center"/>
                      <w:rPr>
                        <w:sz w:val="20"/>
                      </w:rPr>
                    </w:pPr>
                    <w:r>
                      <w:rPr>
                        <w:sz w:val="20"/>
                      </w:rPr>
                      <w:t>17</w:t>
                    </w:r>
                  </w:p>
                </w:tc>
                <w:tc>
                  <w:tcPr>
                    <w:tcW w:w="1283" w:type="dxa"/>
                    <w:vAlign w:val="center"/>
                  </w:tcPr>
                  <w:p>
                    <w:pPr>
                      <w:jc w:val="center"/>
                      <w:rPr>
                        <w:sz w:val="20"/>
                      </w:rPr>
                    </w:pPr>
                    <w:r>
                      <w:rPr>
                        <w:sz w:val="20"/>
                      </w:rPr>
                      <w:t>13</w:t>
                    </w:r>
                  </w:p>
                </w:tc>
                <w:tc>
                  <w:tcPr>
                    <w:tcW w:w="709" w:type="dxa"/>
                    <w:vAlign w:val="center"/>
                  </w:tcPr>
                  <w:p>
                    <w:pPr>
                      <w:jc w:val="center"/>
                      <w:rPr>
                        <w:sz w:val="20"/>
                      </w:rPr>
                    </w:pPr>
                    <w:r>
                      <w:rPr>
                        <w:sz w:val="20"/>
                      </w:rPr>
                      <w:t>4</w:t>
                    </w:r>
                  </w:p>
                </w:tc>
                <w:tc>
                  <w:tcPr>
                    <w:tcW w:w="1116" w:type="dxa"/>
                    <w:vAlign w:val="center"/>
                  </w:tcPr>
                  <w:p>
                    <w:pPr>
                      <w:jc w:val="center"/>
                      <w:rPr>
                        <w:sz w:val="20"/>
                      </w:rPr>
                    </w:pPr>
                    <w:r>
                      <w:rPr>
                        <w:sz w:val="20"/>
                      </w:rPr>
                      <w:t>-</w:t>
                    </w:r>
                  </w:p>
                </w:tc>
              </w:tr>
              <w:tr>
                <w:trPr>
                  <w:jc w:val="center"/>
                </w:trPr>
                <w:tc>
                  <w:tcPr>
                    <w:tcW w:w="560" w:type="dxa"/>
                    <w:vMerge w:val="restart"/>
                    <w:vAlign w:val="center"/>
                  </w:tcPr>
                  <w:p>
                    <w:pPr>
                      <w:jc w:val="center"/>
                      <w:rPr>
                        <w:sz w:val="20"/>
                      </w:rPr>
                    </w:pPr>
                    <w:r>
                      <w:rPr>
                        <w:sz w:val="20"/>
                      </w:rPr>
                      <w:t>3.</w:t>
                    </w:r>
                  </w:p>
                </w:tc>
                <w:tc>
                  <w:tcPr>
                    <w:tcW w:w="3119" w:type="dxa"/>
                  </w:tcPr>
                  <w:p>
                    <w:pPr>
                      <w:rPr>
                        <w:sz w:val="20"/>
                      </w:rPr>
                    </w:pPr>
                    <w:r>
                      <w:rPr>
                        <w:sz w:val="20"/>
                      </w:rPr>
                      <w:t>Valstybiniuose ir kitų savivaldybių socialinės globos namuose</w:t>
                    </w:r>
                  </w:p>
                </w:tc>
                <w:tc>
                  <w:tcPr>
                    <w:tcW w:w="708" w:type="dxa"/>
                    <w:vAlign w:val="center"/>
                  </w:tcPr>
                  <w:p>
                    <w:pPr>
                      <w:jc w:val="center"/>
                      <w:rPr>
                        <w:sz w:val="20"/>
                      </w:rPr>
                    </w:pPr>
                    <w:r>
                      <w:rPr>
                        <w:sz w:val="20"/>
                      </w:rPr>
                      <w:t>39</w:t>
                    </w:r>
                  </w:p>
                </w:tc>
                <w:tc>
                  <w:tcPr>
                    <w:tcW w:w="1123" w:type="dxa"/>
                    <w:vAlign w:val="center"/>
                  </w:tcPr>
                  <w:p>
                    <w:pPr>
                      <w:jc w:val="center"/>
                      <w:rPr>
                        <w:sz w:val="20"/>
                      </w:rPr>
                    </w:pPr>
                    <w:r>
                      <w:rPr>
                        <w:sz w:val="20"/>
                      </w:rPr>
                      <w:t>11</w:t>
                    </w:r>
                  </w:p>
                </w:tc>
                <w:tc>
                  <w:tcPr>
                    <w:tcW w:w="720" w:type="dxa"/>
                    <w:vAlign w:val="center"/>
                  </w:tcPr>
                  <w:p>
                    <w:pPr>
                      <w:jc w:val="center"/>
                      <w:rPr>
                        <w:sz w:val="20"/>
                      </w:rPr>
                    </w:pPr>
                    <w:r>
                      <w:rPr>
                        <w:sz w:val="20"/>
                      </w:rPr>
                      <w:t>42</w:t>
                    </w:r>
                  </w:p>
                </w:tc>
                <w:tc>
                  <w:tcPr>
                    <w:tcW w:w="1283" w:type="dxa"/>
                    <w:vAlign w:val="center"/>
                  </w:tcPr>
                  <w:p>
                    <w:pPr>
                      <w:jc w:val="center"/>
                      <w:rPr>
                        <w:sz w:val="20"/>
                      </w:rPr>
                    </w:pPr>
                    <w:r>
                      <w:rPr>
                        <w:sz w:val="20"/>
                      </w:rPr>
                      <w:t>13</w:t>
                    </w:r>
                  </w:p>
                </w:tc>
                <w:tc>
                  <w:tcPr>
                    <w:tcW w:w="709" w:type="dxa"/>
                    <w:vAlign w:val="center"/>
                  </w:tcPr>
                  <w:p>
                    <w:pPr>
                      <w:jc w:val="center"/>
                      <w:rPr>
                        <w:sz w:val="20"/>
                      </w:rPr>
                    </w:pPr>
                    <w:r>
                      <w:rPr>
                        <w:sz w:val="20"/>
                      </w:rPr>
                      <w:t>51</w:t>
                    </w:r>
                  </w:p>
                </w:tc>
                <w:tc>
                  <w:tcPr>
                    <w:tcW w:w="1116" w:type="dxa"/>
                    <w:vAlign w:val="center"/>
                  </w:tcPr>
                  <w:p>
                    <w:pPr>
                      <w:jc w:val="center"/>
                      <w:rPr>
                        <w:sz w:val="20"/>
                      </w:rPr>
                    </w:pPr>
                    <w:r>
                      <w:rPr>
                        <w:sz w:val="20"/>
                      </w:rPr>
                      <w:t>21</w:t>
                    </w:r>
                  </w:p>
                </w:tc>
              </w:tr>
              <w:tr>
                <w:trPr>
                  <w:jc w:val="center"/>
                </w:trPr>
                <w:tc>
                  <w:tcPr>
                    <w:tcW w:w="560" w:type="dxa"/>
                    <w:vMerge/>
                    <w:vAlign w:val="center"/>
                  </w:tcPr>
                  <w:p>
                    <w:pPr>
                      <w:jc w:val="center"/>
                      <w:rPr>
                        <w:sz w:val="20"/>
                      </w:rPr>
                    </w:pPr>
                  </w:p>
                </w:tc>
                <w:tc>
                  <w:tcPr>
                    <w:tcW w:w="3119" w:type="dxa"/>
                  </w:tcPr>
                  <w:p>
                    <w:pPr>
                      <w:rPr>
                        <w:sz w:val="20"/>
                      </w:rPr>
                    </w:pPr>
                    <w:r>
                      <w:rPr>
                        <w:sz w:val="20"/>
                      </w:rPr>
                      <w:t>Laukia eilėje</w:t>
                    </w:r>
                  </w:p>
                </w:tc>
                <w:tc>
                  <w:tcPr>
                    <w:tcW w:w="708" w:type="dxa"/>
                    <w:vAlign w:val="center"/>
                  </w:tcPr>
                  <w:p>
                    <w:pPr>
                      <w:jc w:val="center"/>
                      <w:rPr>
                        <w:sz w:val="20"/>
                      </w:rPr>
                    </w:pPr>
                    <w:r>
                      <w:rPr>
                        <w:sz w:val="20"/>
                      </w:rPr>
                      <w:t>5</w:t>
                    </w:r>
                  </w:p>
                </w:tc>
                <w:tc>
                  <w:tcPr>
                    <w:tcW w:w="1123" w:type="dxa"/>
                    <w:vAlign w:val="center"/>
                  </w:tcPr>
                  <w:p>
                    <w:pPr>
                      <w:jc w:val="center"/>
                      <w:rPr>
                        <w:sz w:val="20"/>
                      </w:rPr>
                    </w:pPr>
                    <w:r>
                      <w:rPr>
                        <w:sz w:val="20"/>
                      </w:rPr>
                      <w:t>3</w:t>
                    </w:r>
                  </w:p>
                </w:tc>
                <w:tc>
                  <w:tcPr>
                    <w:tcW w:w="720" w:type="dxa"/>
                    <w:vAlign w:val="center"/>
                  </w:tcPr>
                  <w:p>
                    <w:pPr>
                      <w:jc w:val="center"/>
                      <w:rPr>
                        <w:sz w:val="20"/>
                      </w:rPr>
                    </w:pPr>
                    <w:r>
                      <w:rPr>
                        <w:sz w:val="20"/>
                      </w:rPr>
                      <w:t>2</w:t>
                    </w:r>
                  </w:p>
                </w:tc>
                <w:tc>
                  <w:tcPr>
                    <w:tcW w:w="1283" w:type="dxa"/>
                    <w:vAlign w:val="center"/>
                  </w:tcPr>
                  <w:p>
                    <w:pPr>
                      <w:jc w:val="center"/>
                      <w:rPr>
                        <w:sz w:val="20"/>
                      </w:rPr>
                    </w:pPr>
                    <w:r>
                      <w:rPr>
                        <w:sz w:val="20"/>
                      </w:rPr>
                      <w:t>2</w:t>
                    </w:r>
                  </w:p>
                </w:tc>
                <w:tc>
                  <w:tcPr>
                    <w:tcW w:w="709" w:type="dxa"/>
                    <w:vAlign w:val="center"/>
                  </w:tcPr>
                  <w:p>
                    <w:pPr>
                      <w:jc w:val="center"/>
                      <w:rPr>
                        <w:sz w:val="20"/>
                      </w:rPr>
                    </w:pPr>
                    <w:r>
                      <w:rPr>
                        <w:sz w:val="20"/>
                      </w:rPr>
                      <w:t>2</w:t>
                    </w:r>
                  </w:p>
                </w:tc>
                <w:tc>
                  <w:tcPr>
                    <w:tcW w:w="1116" w:type="dxa"/>
                    <w:vAlign w:val="center"/>
                  </w:tcPr>
                  <w:p>
                    <w:pPr>
                      <w:jc w:val="center"/>
                      <w:rPr>
                        <w:sz w:val="20"/>
                      </w:rPr>
                    </w:pPr>
                    <w:r>
                      <w:rPr>
                        <w:sz w:val="20"/>
                      </w:rPr>
                      <w:t>-</w:t>
                    </w:r>
                  </w:p>
                </w:tc>
              </w:tr>
              <w:tr>
                <w:trPr>
                  <w:jc w:val="center"/>
                </w:trPr>
                <w:tc>
                  <w:tcPr>
                    <w:tcW w:w="560" w:type="dxa"/>
                    <w:vAlign w:val="center"/>
                  </w:tcPr>
                  <w:p>
                    <w:pPr>
                      <w:jc w:val="center"/>
                      <w:rPr>
                        <w:sz w:val="20"/>
                      </w:rPr>
                    </w:pPr>
                    <w:r>
                      <w:rPr>
                        <w:sz w:val="20"/>
                      </w:rPr>
                      <w:t>4.</w:t>
                    </w:r>
                  </w:p>
                </w:tc>
                <w:tc>
                  <w:tcPr>
                    <w:tcW w:w="3119" w:type="dxa"/>
                  </w:tcPr>
                  <w:p>
                    <w:pPr>
                      <w:rPr>
                        <w:sz w:val="20"/>
                      </w:rPr>
                    </w:pPr>
                    <w:r>
                      <w:rPr>
                        <w:sz w:val="20"/>
                      </w:rPr>
                      <w:t xml:space="preserve">Apgyvendinti kitų rajonų  privačiose globos įstaigose</w:t>
                    </w:r>
                  </w:p>
                </w:tc>
                <w:tc>
                  <w:tcPr>
                    <w:tcW w:w="708" w:type="dxa"/>
                    <w:vAlign w:val="center"/>
                  </w:tcPr>
                  <w:p>
                    <w:pPr>
                      <w:jc w:val="center"/>
                      <w:rPr>
                        <w:sz w:val="20"/>
                      </w:rPr>
                    </w:pPr>
                    <w:r>
                      <w:rPr>
                        <w:sz w:val="20"/>
                      </w:rPr>
                      <w:t>6</w:t>
                    </w:r>
                  </w:p>
                </w:tc>
                <w:tc>
                  <w:tcPr>
                    <w:tcW w:w="1123" w:type="dxa"/>
                    <w:vAlign w:val="center"/>
                  </w:tcPr>
                  <w:p>
                    <w:pPr>
                      <w:jc w:val="center"/>
                      <w:rPr>
                        <w:sz w:val="20"/>
                      </w:rPr>
                    </w:pPr>
                    <w:r>
                      <w:rPr>
                        <w:sz w:val="20"/>
                      </w:rPr>
                      <w:t>5</w:t>
                    </w:r>
                  </w:p>
                </w:tc>
                <w:tc>
                  <w:tcPr>
                    <w:tcW w:w="720" w:type="dxa"/>
                    <w:vAlign w:val="center"/>
                  </w:tcPr>
                  <w:p>
                    <w:pPr>
                      <w:jc w:val="center"/>
                      <w:rPr>
                        <w:sz w:val="20"/>
                      </w:rPr>
                    </w:pPr>
                    <w:r>
                      <w:rPr>
                        <w:sz w:val="20"/>
                      </w:rPr>
                      <w:t>2</w:t>
                    </w:r>
                  </w:p>
                </w:tc>
                <w:tc>
                  <w:tcPr>
                    <w:tcW w:w="1283" w:type="dxa"/>
                    <w:vAlign w:val="center"/>
                  </w:tcPr>
                  <w:p>
                    <w:pPr>
                      <w:jc w:val="center"/>
                      <w:rPr>
                        <w:sz w:val="20"/>
                      </w:rPr>
                    </w:pPr>
                    <w:r>
                      <w:rPr>
                        <w:sz w:val="20"/>
                      </w:rPr>
                      <w:t>2</w:t>
                    </w:r>
                  </w:p>
                </w:tc>
                <w:tc>
                  <w:tcPr>
                    <w:tcW w:w="709" w:type="dxa"/>
                    <w:vAlign w:val="center"/>
                  </w:tcPr>
                  <w:p>
                    <w:pPr>
                      <w:jc w:val="center"/>
                      <w:rPr>
                        <w:sz w:val="20"/>
                      </w:rPr>
                    </w:pPr>
                    <w:r>
                      <w:rPr>
                        <w:sz w:val="20"/>
                      </w:rPr>
                      <w:t>14</w:t>
                    </w:r>
                  </w:p>
                </w:tc>
                <w:tc>
                  <w:tcPr>
                    <w:tcW w:w="1116" w:type="dxa"/>
                    <w:vAlign w:val="center"/>
                  </w:tcPr>
                  <w:p>
                    <w:pPr>
                      <w:jc w:val="center"/>
                      <w:rPr>
                        <w:sz w:val="20"/>
                      </w:rPr>
                    </w:pPr>
                    <w:r>
                      <w:rPr>
                        <w:sz w:val="20"/>
                      </w:rPr>
                      <w:t>13</w:t>
                    </w:r>
                  </w:p>
                </w:tc>
              </w:tr>
              <w:tr>
                <w:trPr>
                  <w:jc w:val="center"/>
                </w:trPr>
                <w:tc>
                  <w:tcPr>
                    <w:tcW w:w="560" w:type="dxa"/>
                    <w:vAlign w:val="center"/>
                  </w:tcPr>
                  <w:p>
                    <w:pPr>
                      <w:jc w:val="center"/>
                      <w:rPr>
                        <w:sz w:val="20"/>
                      </w:rPr>
                    </w:pPr>
                    <w:r>
                      <w:rPr>
                        <w:sz w:val="20"/>
                      </w:rPr>
                      <w:t>5.</w:t>
                    </w:r>
                  </w:p>
                </w:tc>
                <w:tc>
                  <w:tcPr>
                    <w:tcW w:w="3119" w:type="dxa"/>
                  </w:tcPr>
                  <w:p>
                    <w:pPr>
                      <w:rPr>
                        <w:sz w:val="20"/>
                      </w:rPr>
                    </w:pPr>
                    <w:r>
                      <w:rPr>
                        <w:sz w:val="20"/>
                      </w:rPr>
                      <w:t>Laukia eilėje</w:t>
                    </w:r>
                  </w:p>
                </w:tc>
                <w:tc>
                  <w:tcPr>
                    <w:tcW w:w="708" w:type="dxa"/>
                    <w:vAlign w:val="center"/>
                  </w:tcPr>
                  <w:p>
                    <w:pPr>
                      <w:jc w:val="center"/>
                      <w:rPr>
                        <w:sz w:val="20"/>
                      </w:rPr>
                    </w:pPr>
                    <w:r>
                      <w:rPr>
                        <w:sz w:val="20"/>
                      </w:rPr>
                      <w:t>─</w:t>
                    </w:r>
                  </w:p>
                </w:tc>
                <w:tc>
                  <w:tcPr>
                    <w:tcW w:w="1123" w:type="dxa"/>
                    <w:vAlign w:val="center"/>
                  </w:tcPr>
                  <w:p>
                    <w:pPr>
                      <w:jc w:val="center"/>
                      <w:rPr>
                        <w:sz w:val="20"/>
                      </w:rPr>
                    </w:pPr>
                    <w:r>
                      <w:rPr>
                        <w:sz w:val="20"/>
                      </w:rPr>
                      <w:t>─</w:t>
                    </w:r>
                  </w:p>
                </w:tc>
                <w:tc>
                  <w:tcPr>
                    <w:tcW w:w="720" w:type="dxa"/>
                    <w:vAlign w:val="center"/>
                  </w:tcPr>
                  <w:p>
                    <w:pPr>
                      <w:jc w:val="center"/>
                      <w:rPr>
                        <w:sz w:val="20"/>
                      </w:rPr>
                    </w:pPr>
                    <w:r>
                      <w:rPr>
                        <w:sz w:val="20"/>
                      </w:rPr>
                      <w:t>2</w:t>
                    </w:r>
                  </w:p>
                </w:tc>
                <w:tc>
                  <w:tcPr>
                    <w:tcW w:w="1283" w:type="dxa"/>
                    <w:vAlign w:val="center"/>
                  </w:tcPr>
                  <w:p>
                    <w:pPr>
                      <w:jc w:val="center"/>
                      <w:rPr>
                        <w:sz w:val="20"/>
                      </w:rPr>
                    </w:pPr>
                    <w:r>
                      <w:rPr>
                        <w:sz w:val="20"/>
                      </w:rPr>
                      <w:t>2</w:t>
                    </w:r>
                  </w:p>
                </w:tc>
                <w:tc>
                  <w:tcPr>
                    <w:tcW w:w="709" w:type="dxa"/>
                    <w:vAlign w:val="center"/>
                  </w:tcPr>
                  <w:p>
                    <w:pPr>
                      <w:jc w:val="center"/>
                      <w:rPr>
                        <w:sz w:val="20"/>
                      </w:rPr>
                    </w:pPr>
                    <w:r>
                      <w:rPr>
                        <w:sz w:val="20"/>
                      </w:rPr>
                      <w:t>-</w:t>
                    </w:r>
                  </w:p>
                </w:tc>
                <w:tc>
                  <w:tcPr>
                    <w:tcW w:w="1116" w:type="dxa"/>
                    <w:vAlign w:val="center"/>
                  </w:tcPr>
                  <w:p>
                    <w:pPr>
                      <w:jc w:val="center"/>
                      <w:rPr>
                        <w:sz w:val="20"/>
                      </w:rPr>
                    </w:pPr>
                    <w:r>
                      <w:rPr>
                        <w:sz w:val="20"/>
                      </w:rPr>
                      <w:t>-</w:t>
                    </w:r>
                  </w:p>
                </w:tc>
              </w:tr>
            </w:tbl>
            <w:p>
              <w:pPr>
                <w:tabs>
                  <w:tab w:val="left" w:pos="0"/>
                  <w:tab w:val="left" w:pos="840"/>
                </w:tabs>
                <w:ind w:right="-39"/>
                <w:rPr>
                  <w:szCs w:val="24"/>
                </w:rPr>
              </w:pPr>
            </w:p>
            <w:p>
              <w:pPr>
                <w:ind w:firstLine="851"/>
                <w:jc w:val="both"/>
                <w:rPr>
                  <w:szCs w:val="24"/>
                </w:rPr>
              </w:pPr>
              <w:r>
                <w:rPr>
                  <w:szCs w:val="24"/>
                </w:rPr>
                <w:t xml:space="preserve">Būtina plėtoti socialinių paslaugų institucijoje infrastruktūrą, nes poreikis nepatenkinamas ir vertinama tendencija, jog dalis asmenų išvyksta paslaugų gauti į kitas savivaldybes, tuo pačiu kasmet vidutiniškai „išvežant“ apie 200,0 tūkst. Eur (savivaldybės biudžeto ir asmens lėšų). </w:t>
              </w:r>
            </w:p>
            <w:p>
              <w:pPr>
                <w:tabs>
                  <w:tab w:val="left" w:pos="0"/>
                  <w:tab w:val="left" w:pos="840"/>
                </w:tabs>
                <w:ind w:right="-39" w:firstLine="840"/>
                <w:jc w:val="both"/>
                <w:rPr>
                  <w:szCs w:val="24"/>
                </w:rPr>
              </w:pPr>
              <w:r>
                <w:rPr>
                  <w:szCs w:val="24"/>
                </w:rPr>
                <w:t xml:space="preserve">Asmenims su psichine negalia ilgalaikė socialinė globa perkama Dūseikių socialinės globos namuose. Iš viso per 2016 m. finansuotos paslaugos šiuose valstybiniuose socialiniuose globos namuose: Dūseikių socialinės globos namuose – 17; Stonaičių – 7; Adakavo – 1; Jurdaičių – 3; Ilguvos – 4; Padvarių – 6; Macikų – 2; Didvyžių  – 2; Ventos – 2; Jotainių – 1; Tremtinių – 1; Jasiuliškių – 1; Strėvininkų - 1. </w:t>
              </w:r>
            </w:p>
            <w:p>
              <w:pPr>
                <w:ind w:firstLine="851"/>
                <w:jc w:val="both"/>
                <w:rPr>
                  <w:szCs w:val="24"/>
                </w:rPr>
              </w:pPr>
              <w:r>
                <w:rPr>
                  <w:szCs w:val="24"/>
                </w:rPr>
                <w:t>Socialinės globos paslaugų poreikis valstybiniuose socialinės globos namuose didėja, tai pateikiama žemiau lentelėje.</w:t>
              </w:r>
              <w:r>
                <w:rPr>
                  <w:szCs w:val="24"/>
                  <w:vertAlign w:val="superscript"/>
                </w:rPr>
                <w:footnoteReference w:id="30"/>
              </w:r>
            </w:p>
            <w:p>
              <w:pPr>
                <w:ind w:left="720"/>
                <w:jc w:val="center"/>
                <w:rPr>
                  <w:b/>
                  <w:szCs w:val="24"/>
                </w:rPr>
              </w:pPr>
            </w:p>
          </w:sdtContent>
        </w:sdt>
        <w:sdt>
          <w:sdtPr>
            <w:alias w:val="poskyris"/>
            <w:tag w:val="part_fd1fae47e7614f2d984a45f0366ae5e7"/>
            <w:lock w:val="sdtLocked"/>
            <w:richText/>
          </w:sdtPr>
          <w:sdtContent>
            <w:p>
              <w:pPr>
                <w:ind w:left="720"/>
                <w:jc w:val="center"/>
                <w:rPr>
                  <w:b/>
                  <w:szCs w:val="24"/>
                </w:rPr>
              </w:pPr>
              <w:sdt>
                <w:sdtPr>
                  <w:alias w:val="Pavadinimas"/>
                  <w:tag w:val="title_fd1fae47e7614f2d984a45f0366ae5e7"/>
                  <w:lock w:val="sdtLocked"/>
                  <w:richText/>
                </w:sdtPr>
                <w:sdtContent>
                  <w:r>
                    <w:rPr>
                      <w:b/>
                      <w:szCs w:val="24"/>
                    </w:rPr>
                    <w:t>Socialinės globos paslaugų gavėjų valstybiniuose socialinės globos namuose dinamika 2013 – 2016 metais</w:t>
                  </w:r>
                </w:sdtContent>
              </w:sdt>
            </w:p>
            <w:tbl>
              <w:tblPr>
                <w:tblW w:w="9446" w:type="dxa"/>
                <w:jc w:val="center"/>
                <w:tblInd w:w="-1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77"/>
                <w:gridCol w:w="650"/>
                <w:gridCol w:w="703"/>
                <w:gridCol w:w="6"/>
                <w:gridCol w:w="610"/>
              </w:tblGrid>
              <w:tr>
                <w:trPr>
                  <w:trHeight w:val="211"/>
                  <w:jc w:val="center"/>
                </w:trPr>
                <w:tc>
                  <w:tcPr>
                    <w:tcW w:w="7477" w:type="dxa"/>
                    <w:tcBorders>
                      <w:tl2br w:val="single" w:sz="4" w:space="0" w:color="auto"/>
                    </w:tcBorders>
                    <w:shd w:val="pct5" w:color="auto" w:fill="auto"/>
                    <w:vAlign w:val="center"/>
                  </w:tcPr>
                  <w:p>
                    <w:pPr>
                      <w:ind w:firstLine="2014"/>
                      <w:jc w:val="right"/>
                      <w:rPr>
                        <w:b/>
                        <w:sz w:val="20"/>
                      </w:rPr>
                    </w:pPr>
                    <w:r>
                      <w:rPr>
                        <w:b/>
                        <w:sz w:val="20"/>
                      </w:rPr>
                      <w:t xml:space="preserve">Metai           </w:t>
                    </w:r>
                  </w:p>
                  <w:p>
                    <w:pPr>
                      <w:ind w:firstLine="477"/>
                      <w:rPr>
                        <w:b/>
                        <w:sz w:val="20"/>
                      </w:rPr>
                    </w:pPr>
                    <w:r>
                      <w:rPr>
                        <w:b/>
                        <w:sz w:val="20"/>
                      </w:rPr>
                      <w:t xml:space="preserve">Gavėjai                                            </w:t>
                    </w:r>
                  </w:p>
                </w:tc>
                <w:tc>
                  <w:tcPr>
                    <w:tcW w:w="650" w:type="dxa"/>
                    <w:shd w:val="pct5" w:color="auto" w:fill="auto"/>
                    <w:vAlign w:val="center"/>
                  </w:tcPr>
                  <w:p>
                    <w:pPr>
                      <w:jc w:val="center"/>
                      <w:rPr>
                        <w:b/>
                        <w:sz w:val="20"/>
                      </w:rPr>
                    </w:pPr>
                    <w:r>
                      <w:rPr>
                        <w:b/>
                        <w:sz w:val="20"/>
                      </w:rPr>
                      <w:t>2014</w:t>
                    </w:r>
                  </w:p>
                </w:tc>
                <w:tc>
                  <w:tcPr>
                    <w:tcW w:w="703" w:type="dxa"/>
                    <w:shd w:val="pct5" w:color="auto" w:fill="auto"/>
                    <w:vAlign w:val="center"/>
                  </w:tcPr>
                  <w:p>
                    <w:pPr>
                      <w:jc w:val="center"/>
                      <w:rPr>
                        <w:b/>
                        <w:sz w:val="20"/>
                      </w:rPr>
                    </w:pPr>
                    <w:r>
                      <w:rPr>
                        <w:b/>
                        <w:sz w:val="20"/>
                      </w:rPr>
                      <w:t>2015</w:t>
                    </w:r>
                  </w:p>
                </w:tc>
                <w:tc>
                  <w:tcPr>
                    <w:tcW w:w="616" w:type="dxa"/>
                    <w:gridSpan w:val="2"/>
                    <w:shd w:val="pct5" w:color="auto" w:fill="auto"/>
                    <w:vAlign w:val="center"/>
                  </w:tcPr>
                  <w:p>
                    <w:pPr>
                      <w:jc w:val="center"/>
                      <w:rPr>
                        <w:b/>
                        <w:sz w:val="20"/>
                      </w:rPr>
                    </w:pPr>
                    <w:r>
                      <w:rPr>
                        <w:b/>
                        <w:sz w:val="20"/>
                      </w:rPr>
                      <w:t>2016</w:t>
                    </w:r>
                  </w:p>
                </w:tc>
              </w:tr>
              <w:tr>
                <w:trPr>
                  <w:jc w:val="center"/>
                </w:trPr>
                <w:tc>
                  <w:tcPr>
                    <w:tcW w:w="7477" w:type="dxa"/>
                    <w:vAlign w:val="center"/>
                  </w:tcPr>
                  <w:p>
                    <w:pPr>
                      <w:rPr>
                        <w:sz w:val="20"/>
                      </w:rPr>
                    </w:pPr>
                    <w:r>
                      <w:rPr>
                        <w:sz w:val="20"/>
                      </w:rPr>
                      <w:t>Iš viso socialinės globos paslaugų gavėjų valstybiniuose socialinės globos namuose, iš jų:</w:t>
                    </w:r>
                  </w:p>
                </w:tc>
                <w:tc>
                  <w:tcPr>
                    <w:tcW w:w="650" w:type="dxa"/>
                    <w:vAlign w:val="center"/>
                  </w:tcPr>
                  <w:p>
                    <w:pPr>
                      <w:jc w:val="center"/>
                      <w:rPr>
                        <w:b/>
                        <w:sz w:val="20"/>
                      </w:rPr>
                    </w:pPr>
                    <w:r>
                      <w:rPr>
                        <w:b/>
                        <w:sz w:val="20"/>
                      </w:rPr>
                      <w:t>39</w:t>
                    </w:r>
                  </w:p>
                </w:tc>
                <w:tc>
                  <w:tcPr>
                    <w:tcW w:w="709" w:type="dxa"/>
                    <w:gridSpan w:val="2"/>
                    <w:vAlign w:val="center"/>
                  </w:tcPr>
                  <w:p>
                    <w:pPr>
                      <w:jc w:val="center"/>
                      <w:rPr>
                        <w:b/>
                        <w:sz w:val="20"/>
                      </w:rPr>
                    </w:pPr>
                    <w:r>
                      <w:rPr>
                        <w:b/>
                        <w:sz w:val="20"/>
                      </w:rPr>
                      <w:t>41</w:t>
                    </w:r>
                  </w:p>
                </w:tc>
                <w:tc>
                  <w:tcPr>
                    <w:tcW w:w="610" w:type="dxa"/>
                    <w:vAlign w:val="center"/>
                  </w:tcPr>
                  <w:p>
                    <w:pPr>
                      <w:jc w:val="center"/>
                      <w:rPr>
                        <w:b/>
                        <w:sz w:val="20"/>
                      </w:rPr>
                    </w:pPr>
                    <w:r>
                      <w:rPr>
                        <w:b/>
                        <w:sz w:val="20"/>
                      </w:rPr>
                      <w:t>50</w:t>
                    </w:r>
                  </w:p>
                </w:tc>
              </w:tr>
              <w:tr>
                <w:trPr>
                  <w:jc w:val="center"/>
                </w:trPr>
                <w:tc>
                  <w:tcPr>
                    <w:tcW w:w="7477" w:type="dxa"/>
                    <w:vAlign w:val="center"/>
                  </w:tcPr>
                  <w:p>
                    <w:pPr>
                      <w:rPr>
                        <w:sz w:val="20"/>
                      </w:rPr>
                    </w:pPr>
                    <w:r>
                      <w:rPr>
                        <w:sz w:val="20"/>
                      </w:rPr>
                      <w:t>Finansuojamų iš savivaldybės biudžeto</w:t>
                    </w:r>
                  </w:p>
                </w:tc>
                <w:tc>
                  <w:tcPr>
                    <w:tcW w:w="650" w:type="dxa"/>
                    <w:vAlign w:val="center"/>
                  </w:tcPr>
                  <w:p>
                    <w:pPr>
                      <w:jc w:val="center"/>
                      <w:rPr>
                        <w:sz w:val="20"/>
                      </w:rPr>
                    </w:pPr>
                    <w:r>
                      <w:rPr>
                        <w:sz w:val="20"/>
                      </w:rPr>
                      <w:t>28</w:t>
                    </w:r>
                  </w:p>
                </w:tc>
                <w:tc>
                  <w:tcPr>
                    <w:tcW w:w="709" w:type="dxa"/>
                    <w:gridSpan w:val="2"/>
                    <w:vAlign w:val="center"/>
                  </w:tcPr>
                  <w:p>
                    <w:pPr>
                      <w:jc w:val="center"/>
                      <w:rPr>
                        <w:sz w:val="20"/>
                      </w:rPr>
                    </w:pPr>
                    <w:r>
                      <w:rPr>
                        <w:sz w:val="20"/>
                      </w:rPr>
                      <w:t>28</w:t>
                    </w:r>
                  </w:p>
                </w:tc>
                <w:tc>
                  <w:tcPr>
                    <w:tcW w:w="610" w:type="dxa"/>
                    <w:vAlign w:val="center"/>
                  </w:tcPr>
                  <w:p>
                    <w:pPr>
                      <w:jc w:val="center"/>
                      <w:rPr>
                        <w:sz w:val="20"/>
                      </w:rPr>
                    </w:pPr>
                    <w:r>
                      <w:rPr>
                        <w:sz w:val="20"/>
                      </w:rPr>
                      <w:t>30</w:t>
                    </w:r>
                  </w:p>
                </w:tc>
              </w:tr>
              <w:tr>
                <w:trPr>
                  <w:jc w:val="center"/>
                </w:trPr>
                <w:tc>
                  <w:tcPr>
                    <w:tcW w:w="7477" w:type="dxa"/>
                    <w:tcBorders>
                      <w:bottom w:val="single" w:sz="4" w:space="0" w:color="auto"/>
                    </w:tcBorders>
                    <w:vAlign w:val="center"/>
                  </w:tcPr>
                  <w:p>
                    <w:pPr>
                      <w:rPr>
                        <w:sz w:val="20"/>
                      </w:rPr>
                    </w:pPr>
                    <w:r>
                      <w:rPr>
                        <w:sz w:val="20"/>
                      </w:rPr>
                      <w:t xml:space="preserve">Finansuojamų iš specialiųjų tikslinių dotacijų </w:t>
                    </w:r>
                  </w:p>
                </w:tc>
                <w:tc>
                  <w:tcPr>
                    <w:tcW w:w="650" w:type="dxa"/>
                    <w:tcBorders>
                      <w:bottom w:val="single" w:sz="4" w:space="0" w:color="auto"/>
                    </w:tcBorders>
                    <w:vAlign w:val="center"/>
                  </w:tcPr>
                  <w:p>
                    <w:pPr>
                      <w:jc w:val="center"/>
                      <w:rPr>
                        <w:sz w:val="20"/>
                      </w:rPr>
                    </w:pPr>
                    <w:r>
                      <w:rPr>
                        <w:sz w:val="20"/>
                      </w:rPr>
                      <w:t>11</w:t>
                    </w:r>
                  </w:p>
                </w:tc>
                <w:tc>
                  <w:tcPr>
                    <w:tcW w:w="709" w:type="dxa"/>
                    <w:gridSpan w:val="2"/>
                    <w:tcBorders>
                      <w:bottom w:val="single" w:sz="4" w:space="0" w:color="auto"/>
                    </w:tcBorders>
                    <w:vAlign w:val="center"/>
                  </w:tcPr>
                  <w:p>
                    <w:pPr>
                      <w:jc w:val="center"/>
                      <w:rPr>
                        <w:sz w:val="20"/>
                      </w:rPr>
                    </w:pPr>
                    <w:r>
                      <w:rPr>
                        <w:sz w:val="20"/>
                      </w:rPr>
                      <w:t>13</w:t>
                    </w:r>
                  </w:p>
                </w:tc>
                <w:tc>
                  <w:tcPr>
                    <w:tcW w:w="610" w:type="dxa"/>
                    <w:tcBorders>
                      <w:bottom w:val="single" w:sz="4" w:space="0" w:color="auto"/>
                    </w:tcBorders>
                    <w:vAlign w:val="center"/>
                  </w:tcPr>
                  <w:p>
                    <w:pPr>
                      <w:jc w:val="center"/>
                      <w:rPr>
                        <w:sz w:val="20"/>
                      </w:rPr>
                    </w:pPr>
                    <w:r>
                      <w:rPr>
                        <w:sz w:val="20"/>
                      </w:rPr>
                      <w:t>20</w:t>
                    </w:r>
                  </w:p>
                </w:tc>
              </w:tr>
            </w:tbl>
            <w:p>
              <w:pPr>
                <w:ind w:left="720"/>
                <w:rPr>
                  <w:szCs w:val="24"/>
                </w:rPr>
              </w:pPr>
            </w:p>
            <w:p>
              <w:pPr>
                <w:ind w:firstLine="851"/>
                <w:jc w:val="both"/>
                <w:rPr>
                  <w:szCs w:val="24"/>
                </w:rPr>
              </w:pPr>
              <w:r>
                <w:rPr>
                  <w:szCs w:val="24"/>
                </w:rPr>
                <w:t>Telšių rajono senelių globos namuose yra galimybė suteikti „atokvėpio“ paslaugas, tačiau jomis naudojamasi itin retai. Taip pat siekiama, jog vietų skaičius būtų sumažintas iki 45 tam, kad būtų galima labiau pritaikyti poilsio zonas, įrengti užimtumo patalpas, būtų tikslinga šioje įstaigoje organizuoti ir dienos užimtumo paslaugas Telšių miesto gyventojams.</w:t>
              </w:r>
            </w:p>
            <w:p>
              <w:pPr>
                <w:tabs>
                  <w:tab w:val="left" w:pos="709"/>
                  <w:tab w:val="left" w:pos="851"/>
                </w:tabs>
                <w:ind w:firstLine="851"/>
                <w:jc w:val="both"/>
                <w:rPr>
                  <w:szCs w:val="24"/>
                </w:rPr>
              </w:pPr>
              <w:r>
                <w:rPr>
                  <w:szCs w:val="24"/>
                </w:rPr>
                <w:t>Paslaugų poreikis didėja ir dėl to tikslinga svarstyti dėl bendruomeninių namelių kūrimo atskirose seniūnijose, kuriuos aptarnautų pačios bendruomenės. Tai ne tik sumažintų savivaldybės finansinę naštą, bet ir skatintų bendruomenes pačioms spręsti savo bendruomenės gyventojų poreikius.</w:t>
              </w:r>
            </w:p>
            <w:sdt>
              <w:sdtPr>
                <w:alias w:val="6.1.3 pp."/>
                <w:tag w:val="part_4a38cadb6f504f14800bb8289ce3e3b5"/>
                <w:lock w:val="sdtLocked"/>
                <w:richText/>
              </w:sdtPr>
              <w:sdtContent>
                <w:p>
                  <w:pPr>
                    <w:ind w:left="2016" w:hanging="720"/>
                    <w:outlineLvl w:val="2"/>
                    <w:rPr>
                      <w:b/>
                      <w:szCs w:val="24"/>
                    </w:rPr>
                  </w:pPr>
                  <w:sdt>
                    <w:sdtPr>
                      <w:alias w:val="Numeris"/>
                      <w:tag w:val="nr_4a38cadb6f504f14800bb8289ce3e3b5"/>
                      <w:lock w:val="sdtLocked"/>
                      <w:richText/>
                    </w:sdtPr>
                    <w:sdtContent>
                      <w:r>
                        <w:rPr>
                          <w:b/>
                          <w:szCs w:val="24"/>
                        </w:rPr>
                        <w:t>6.1.3</w:t>
                      </w:r>
                    </w:sdtContent>
                  </w:sdt>
                  <w:r>
                    <w:rPr>
                      <w:b/>
                      <w:szCs w:val="24"/>
                    </w:rPr>
                    <w:t>.</w:t>
                    <w:tab/>
                    <w:t>Socialinės rizikos asmenys</w:t>
                  </w:r>
                </w:p>
                <w:p>
                  <w:pPr>
                    <w:ind w:left="2016"/>
                    <w:outlineLvl w:val="2"/>
                    <w:rPr>
                      <w:b/>
                      <w:szCs w:val="24"/>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rFonts w:cs="Courier New"/>
                      <w:szCs w:val="24"/>
                      <w:lang w:eastAsia="ar-SA"/>
                    </w:rPr>
                  </w:pPr>
                  <w:r>
                    <w:rPr>
                      <w:szCs w:val="24"/>
                      <w:lang w:eastAsia="ar-SA"/>
                    </w:rPr>
                    <w:t xml:space="preserve">Telšių rajone šiai asmenų grupei yra organizuojamos ir teikiamos bendrosios bei specialiosios socialinės paslaugos. </w:t>
                  </w:r>
                  <w:r>
                    <w:rPr>
                      <w:rFonts w:cs="Courier New"/>
                      <w:szCs w:val="24"/>
                      <w:lang w:eastAsia="ar-SA"/>
                    </w:rPr>
                    <w:t xml:space="preserve">Telšių socialinių paslaugų centras teikia bendrąsias ir specialiąsias socialines paslaugas. </w:t>
                  </w:r>
                  <w:r>
                    <w:rPr>
                      <w:rFonts w:cs="Courier New"/>
                      <w:bCs/>
                      <w:iCs/>
                      <w:szCs w:val="24"/>
                      <w:lang w:eastAsia="ar-SA"/>
                    </w:rPr>
                    <w:t>T</w:t>
                  </w:r>
                  <w:r>
                    <w:rPr>
                      <w:rFonts w:cs="Courier New"/>
                      <w:szCs w:val="24"/>
                      <w:lang w:eastAsia="ar-SA"/>
                    </w:rPr>
                    <w:t>elšių krizių centras teikia psichologinę ir intensyvios krizių įveikimo pagalbą, dirba savižudžių prevencijos ir postvencijos srityje, organizuoja psichologinės pagalbos telefonu „Vilties linija“ darbą.</w:t>
                  </w:r>
                </w:p>
                <w:p>
                  <w:pPr>
                    <w:tabs>
                      <w:tab w:val="left" w:pos="851"/>
                      <w:tab w:val="left" w:pos="1134"/>
                    </w:tabs>
                    <w:ind w:firstLine="851"/>
                    <w:jc w:val="both"/>
                    <w:rPr>
                      <w:szCs w:val="24"/>
                    </w:rPr>
                  </w:pPr>
                  <w:r>
                    <w:rPr>
                      <w:b/>
                      <w:szCs w:val="24"/>
                    </w:rPr>
                    <w:t xml:space="preserve">Asmeninės higienos ir priežiūros paslaugos teikiamos </w:t>
                  </w:r>
                  <w:r>
                    <w:rPr>
                      <w:szCs w:val="24"/>
                    </w:rPr>
                    <w:t>Telšių socialinių</w:t>
                  </w:r>
                  <w:r>
                    <w:rPr>
                      <w:b/>
                      <w:szCs w:val="24"/>
                    </w:rPr>
                    <w:t xml:space="preserve"> </w:t>
                  </w:r>
                  <w:r>
                    <w:rPr>
                      <w:szCs w:val="24"/>
                    </w:rPr>
                    <w:t xml:space="preserve">paslaugų centro dienos centruose ir Nakvynės namuose. </w:t>
                  </w:r>
                </w:p>
                <w:p>
                  <w:pPr>
                    <w:ind w:firstLine="851"/>
                    <w:jc w:val="both"/>
                    <w:rPr>
                      <w:color w:val="1F1F1F"/>
                      <w:szCs w:val="24"/>
                      <w:lang w:eastAsia="lt-LT"/>
                    </w:rPr>
                  </w:pPr>
                  <w:r>
                    <w:rPr>
                      <w:b/>
                      <w:szCs w:val="24"/>
                    </w:rPr>
                    <w:t xml:space="preserve">Maitinimas organizuojamas </w:t>
                  </w:r>
                  <w:r>
                    <w:rPr>
                      <w:szCs w:val="24"/>
                    </w:rPr>
                    <w:t xml:space="preserve">Telšių vyskupijos „Caritas“ labdaros valgykloje. Nemokamam maitinimui gauti 2016 m. pateikti </w:t>
                  </w:r>
                  <w:r>
                    <w:rPr>
                      <w:color w:val="1F1F1F"/>
                      <w:szCs w:val="24"/>
                      <w:lang w:eastAsia="lt-LT"/>
                    </w:rPr>
                    <w:t>102 prašymai, paslauga paskirta 71 asmeniui, nepaskirta 9 asmenims, kadangi neatliko visuomenei naudingų darbų, o kiti asmenys kreipėsi po kelis kartus per 2016 metus. Nemokamą maitinimą asmenys gali gauti ir atvykę savarankiškai į labdaros valgyklą, nes „Caritas“ gauna paramos iš privačių rėmėjų ir turi galimybę tokiems asmenims suteikti vienkartinę pagalbą maisto produktais. Maitinimo organizavimo paslauga aktualiausia rizikos grupėje esantiems asmenims, tačiau kreipiasi ir pensinio amžiaus asmenys, kurių pajamos neviršija 2 VRP (Valstybės remiamos pajamos). Nemokamo maitinimo organizavimo paslauga teikiama tik Telšių miesto gyventojams, todėl planuojama 2017 m. organizuoti maitinimo paslaugas ir kaimiškose seniūnijose. Yra atlikta 10 kaimiškų seniūnijų apklausa dėl maitinimo organizavimo poreikio nustatymo, iš kurių 5 seniūnijos pateikė atsakymus, kad tokia paslauga būtų reikalinga bei būtų galimybės šias paslaugas teikti seniūnijos gyventojams.</w:t>
                  </w:r>
                </w:p>
                <w:p>
                  <w:pPr>
                    <w:ind w:firstLine="851"/>
                    <w:jc w:val="both"/>
                    <w:rPr>
                      <w:szCs w:val="24"/>
                    </w:rPr>
                  </w:pPr>
                  <w:r>
                    <w:rPr>
                      <w:b/>
                      <w:szCs w:val="24"/>
                    </w:rPr>
                    <w:t>Socialinių įgūdžių ugdymas ir palaikymas</w:t>
                  </w:r>
                  <w:r>
                    <w:rPr>
                      <w:szCs w:val="24"/>
                    </w:rPr>
                    <w:t xml:space="preserve"> 2015 m. buvo teikiamas 1 senyvo amžiaus asmeniui Ryškėnų seniūnijoje. </w:t>
                  </w:r>
                </w:p>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firstLine="709"/>
                    <w:jc w:val="both"/>
                    <w:textAlignment w:val="baseline"/>
                    <w:rPr>
                      <w:rFonts w:ascii="Courier New" w:hAnsi="Courier New" w:cs="Courier New"/>
                      <w:sz w:val="20"/>
                      <w:lang w:eastAsia="lt-LT"/>
                    </w:rPr>
                  </w:pPr>
                  <w:r>
                    <w:rPr>
                      <w:b/>
                      <w:szCs w:val="24"/>
                      <w:lang w:eastAsia="ar-SA"/>
                    </w:rPr>
                    <w:t xml:space="preserve">Apgyvendinimas Nakvynės namuose teikiamas </w:t>
                  </w:r>
                  <w:r>
                    <w:rPr>
                      <w:szCs w:val="24"/>
                      <w:lang w:eastAsia="ar-SA"/>
                    </w:rPr>
                    <w:t xml:space="preserve">krizės atvejais ar neturint nuolatinės  gyvenamosios vietos. Laikiną pastogę vienu metu gali gauti iki 18 asmenų, kurie dėl socialinių problemų laikinai negali gyventi savo įprastoje aplinkoje. Vienos nakties paslaugas vienu metu galima suteikti iki 3 asmenų. Laikino apnakvindinimo ir apgyvendinimo Telšių nakvynės namuose paslaugos 2016 m. buvo suteiktos 49 asmenims, iš kurių 2 moterims, 47 vyrams. </w:t>
                  </w:r>
                  <w:r>
                    <w:rPr>
                      <w:szCs w:val="24"/>
                      <w:lang w:eastAsia="lt-LT"/>
                    </w:rPr>
                    <w:t>Asmenų, kuriems suteiktos paslaugos Telšių nakvynės namuose, skaičius dinamika pavaizduota žemiau grafiškai.</w:t>
                  </w:r>
                  <w:r>
                    <w:rPr>
                      <w:szCs w:val="24"/>
                      <w:vertAlign w:val="superscript"/>
                      <w:lang w:eastAsia="ar-SA"/>
                    </w:rPr>
                    <w:footnoteReference w:id="31"/>
                  </w:r>
                </w:p>
                <w:p>
                  <w:pPr>
                    <w:tabs>
                      <w:tab w:val="left" w:pos="709"/>
                      <w:tab w:val="left" w:pos="851"/>
                    </w:tabs>
                    <w:ind w:firstLine="720"/>
                    <w:jc w:val="both"/>
                    <w:rPr>
                      <w:szCs w:val="24"/>
                    </w:rPr>
                  </w:pPr>
                  <w:r>
                    <w:rPr>
                      <w:szCs w:val="24"/>
                    </w:rPr>
                    <w:t xml:space="preserve">Lietuvoje nėra bendros darbo su socialinės rizikos asmenimis sistemos. Būtina parengti veiksmų planą ir organizuoti darbą su socialinės rizikos asmenimis. Būtina spręsti senyvo amžiaus ir neįgalių asmenų ilgalaikės socialinės globos klausimą, nes jų gyvenimas bendruose socialinės globos ar savarankiško gyvenimo namuose trikdo kitų žmonių gyvenimą. Šiuo metu tokių asmenų yra 8. </w:t>
                  </w:r>
                </w:p>
                <w:p>
                  <w:pPr>
                    <w:tabs>
                      <w:tab w:val="left" w:pos="709"/>
                      <w:tab w:val="left" w:pos="851"/>
                    </w:tabs>
                    <w:ind w:firstLine="720"/>
                    <w:jc w:val="center"/>
                    <w:rPr>
                      <w:szCs w:val="24"/>
                    </w:rPr>
                  </w:pPr>
                  <w:r>
                    <w:rPr>
                      <w:szCs w:val="24"/>
                      <w:lang w:val="en-US"/>
                    </w:rPr>
                    <w:drawing>
                      <wp:inline distT="0" distB="0" distL="0" distR="0" wp14:anchorId="6B76D1F8" wp14:editId="486210B4">
                        <wp:extent cx="4878705" cy="1521460"/>
                        <wp:effectExtent l="0" t="0" r="0" b="2540"/>
                        <wp:docPr id="10"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20"/>
                          </a:graphicData>
                        </a:graphic>
                      </wp:inline>
                    </w:drawing>
                  </w:r>
                </w:p>
                <w:p>
                  <w:pPr>
                    <w:tabs>
                      <w:tab w:val="left" w:pos="709"/>
                      <w:tab w:val="left" w:pos="851"/>
                    </w:tabs>
                    <w:ind w:firstLine="720"/>
                    <w:jc w:val="both"/>
                    <w:rPr>
                      <w:szCs w:val="24"/>
                    </w:rPr>
                  </w:pPr>
                </w:p>
              </w:sdtContent>
            </w:sdt>
            <w:sdt>
              <w:sdtPr>
                <w:alias w:val="7 p."/>
                <w:tag w:val="part_3dfb89f7a0924396ab50386c342eceaf"/>
                <w:lock w:val="sdtLocked"/>
                <w:richText/>
              </w:sdtPr>
              <w:sdtContent>
                <w:p>
                  <w:pPr>
                    <w:widowControl w:val="0"/>
                    <w:tabs>
                      <w:tab w:val="left" w:pos="284"/>
                      <w:tab w:val="left" w:pos="720"/>
                    </w:tabs>
                    <w:suppressAutoHyphens/>
                    <w:ind w:left="851"/>
                    <w:jc w:val="center"/>
                    <w:textAlignment w:val="baseline"/>
                    <w:rPr>
                      <w:b/>
                      <w:iCs/>
                      <w:szCs w:val="24"/>
                    </w:rPr>
                  </w:pPr>
                  <w:sdt>
                    <w:sdtPr>
                      <w:alias w:val="Numeris"/>
                      <w:tag w:val="nr_3dfb89f7a0924396ab50386c342eceaf"/>
                      <w:lock w:val="sdtLocked"/>
                      <w:richText/>
                    </w:sdtPr>
                    <w:sdtContent>
                      <w:r>
                        <w:rPr>
                          <w:b/>
                          <w:iCs/>
                          <w:szCs w:val="24"/>
                        </w:rPr>
                        <w:t>7</w:t>
                      </w:r>
                    </w:sdtContent>
                  </w:sdt>
                  <w:r>
                    <w:rPr>
                      <w:b/>
                      <w:iCs/>
                      <w:szCs w:val="24"/>
                    </w:rPr>
                    <w:t>.</w:t>
                    <w:tab/>
                  </w:r>
                  <w:r>
                    <w:rPr>
                      <w:b/>
                      <w:szCs w:val="24"/>
                    </w:rPr>
                    <w:t>Socialinių darbuotojų ir socialinių darbuotojų padėjėjų skaičius savivaldybėje</w:t>
                  </w:r>
                </w:p>
                <w:p>
                  <w:pPr>
                    <w:tabs>
                      <w:tab w:val="left" w:pos="284"/>
                      <w:tab w:val="left" w:pos="720"/>
                    </w:tabs>
                    <w:ind w:left="1571"/>
                    <w:rPr>
                      <w:b/>
                      <w:iCs/>
                      <w:szCs w:val="24"/>
                    </w:rPr>
                  </w:pPr>
                </w:p>
              </w:sdtContent>
            </w:sdt>
          </w:sdtContent>
        </w:sdt>
        <w:sdt>
          <w:sdtPr>
            <w:alias w:val="poskyris"/>
            <w:tag w:val="part_b89d802c30844545ae8e6eec82bcb4e2"/>
            <w:lock w:val="sdtLocked"/>
            <w:richText/>
          </w:sdtPr>
          <w:sdtContent>
            <w:p>
              <w:pPr>
                <w:ind w:firstLine="720"/>
                <w:jc w:val="center"/>
                <w:rPr>
                  <w:b/>
                  <w:iCs/>
                  <w:szCs w:val="24"/>
                </w:rPr>
              </w:pPr>
              <w:sdt>
                <w:sdtPr>
                  <w:alias w:val="Pavadinimas"/>
                  <w:tag w:val="title_b89d802c30844545ae8e6eec82bcb4e2"/>
                  <w:lock w:val="sdtLocked"/>
                  <w:richText/>
                </w:sdtPr>
                <w:sdtContent>
                  <w:r>
                    <w:rPr>
                      <w:b/>
                      <w:iCs/>
                      <w:szCs w:val="24"/>
                    </w:rPr>
                    <w:t>Socialinių darbuotojų statistika</w:t>
                  </w:r>
                </w:sdtContent>
              </w:sdt>
              <w:r>
                <w:rPr>
                  <w:szCs w:val="24"/>
                  <w:vertAlign w:val="superscript"/>
                  <w:lang w:eastAsia="lt-LT"/>
                </w:rPr>
                <w:footnoteReference w:id="32"/>
              </w:r>
            </w:p>
            <w:tbl>
              <w:tblPr>
                <w:tblW w:w="9467" w:type="dxa"/>
                <w:jc w:val="center"/>
                <w:tblInd w:w="-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
                <w:gridCol w:w="3402"/>
                <w:gridCol w:w="1218"/>
                <w:gridCol w:w="2751"/>
                <w:gridCol w:w="1559"/>
              </w:tblGrid>
              <w:tr>
                <w:trPr>
                  <w:jc w:val="center"/>
                </w:trPr>
                <w:tc>
                  <w:tcPr>
                    <w:tcW w:w="537" w:type="dxa"/>
                    <w:vMerge w:val="restart"/>
                    <w:shd w:val="pct5" w:color="auto" w:fill="auto"/>
                    <w:vAlign w:val="center"/>
                  </w:tcPr>
                  <w:p>
                    <w:pPr>
                      <w:jc w:val="center"/>
                      <w:rPr>
                        <w:b/>
                        <w:sz w:val="20"/>
                      </w:rPr>
                    </w:pPr>
                    <w:r>
                      <w:rPr>
                        <w:b/>
                        <w:sz w:val="20"/>
                      </w:rPr>
                      <w:t>Eil. Nr.</w:t>
                    </w:r>
                  </w:p>
                </w:tc>
                <w:tc>
                  <w:tcPr>
                    <w:tcW w:w="3402" w:type="dxa"/>
                    <w:vMerge w:val="restart"/>
                    <w:tcBorders>
                      <w:tl2br w:val="single" w:sz="4" w:space="0" w:color="auto"/>
                    </w:tcBorders>
                    <w:shd w:val="pct5" w:color="auto" w:fill="auto"/>
                    <w:vAlign w:val="center"/>
                  </w:tcPr>
                  <w:p>
                    <w:pPr>
                      <w:ind w:firstLine="2014"/>
                      <w:jc w:val="right"/>
                      <w:rPr>
                        <w:b/>
                        <w:sz w:val="20"/>
                      </w:rPr>
                    </w:pPr>
                    <w:r>
                      <w:rPr>
                        <w:b/>
                        <w:sz w:val="20"/>
                      </w:rPr>
                      <w:t xml:space="preserve">Rodikliai          </w:t>
                    </w:r>
                  </w:p>
                  <w:p>
                    <w:pPr>
                      <w:rPr>
                        <w:b/>
                        <w:sz w:val="20"/>
                      </w:rPr>
                    </w:pPr>
                    <w:r>
                      <w:rPr>
                        <w:b/>
                        <w:sz w:val="20"/>
                      </w:rPr>
                      <w:t xml:space="preserve">Įstaigos                                                    </w:t>
                    </w:r>
                  </w:p>
                </w:tc>
                <w:tc>
                  <w:tcPr>
                    <w:tcW w:w="3969" w:type="dxa"/>
                    <w:gridSpan w:val="2"/>
                    <w:shd w:val="pct5" w:color="auto" w:fill="auto"/>
                    <w:vAlign w:val="center"/>
                  </w:tcPr>
                  <w:p>
                    <w:pPr>
                      <w:jc w:val="center"/>
                      <w:rPr>
                        <w:b/>
                        <w:sz w:val="20"/>
                      </w:rPr>
                    </w:pPr>
                    <w:r>
                      <w:rPr>
                        <w:iCs/>
                        <w:sz w:val="20"/>
                      </w:rPr>
                      <w:t>Socialinių darbuotojų skaičius</w:t>
                    </w:r>
                  </w:p>
                </w:tc>
                <w:tc>
                  <w:tcPr>
                    <w:tcW w:w="1559" w:type="dxa"/>
                    <w:vMerge w:val="restart"/>
                    <w:shd w:val="pct5" w:color="auto" w:fill="auto"/>
                  </w:tcPr>
                  <w:p>
                    <w:pPr>
                      <w:jc w:val="center"/>
                      <w:rPr>
                        <w:b/>
                        <w:sz w:val="20"/>
                      </w:rPr>
                    </w:pPr>
                    <w:r>
                      <w:rPr>
                        <w:iCs/>
                        <w:sz w:val="20"/>
                      </w:rPr>
                      <w:t>Socialinių darbuotojų padėjėjų skaičius</w:t>
                    </w:r>
                  </w:p>
                </w:tc>
              </w:tr>
              <w:tr>
                <w:trPr>
                  <w:jc w:val="center"/>
                </w:trPr>
                <w:tc>
                  <w:tcPr>
                    <w:tcW w:w="537" w:type="dxa"/>
                    <w:vMerge/>
                    <w:shd w:val="pct5" w:color="auto" w:fill="auto"/>
                    <w:vAlign w:val="center"/>
                  </w:tcPr>
                  <w:p>
                    <w:pPr>
                      <w:jc w:val="center"/>
                      <w:rPr>
                        <w:b/>
                        <w:sz w:val="20"/>
                      </w:rPr>
                    </w:pPr>
                  </w:p>
                </w:tc>
                <w:tc>
                  <w:tcPr>
                    <w:tcW w:w="3402" w:type="dxa"/>
                    <w:vMerge/>
                    <w:tcBorders>
                      <w:tl2br w:val="single" w:sz="4" w:space="0" w:color="auto"/>
                    </w:tcBorders>
                    <w:shd w:val="pct5" w:color="auto" w:fill="auto"/>
                    <w:vAlign w:val="center"/>
                  </w:tcPr>
                  <w:p>
                    <w:pPr>
                      <w:jc w:val="right"/>
                      <w:rPr>
                        <w:b/>
                        <w:sz w:val="20"/>
                      </w:rPr>
                    </w:pPr>
                  </w:p>
                </w:tc>
                <w:tc>
                  <w:tcPr>
                    <w:tcW w:w="1218" w:type="dxa"/>
                    <w:shd w:val="pct5" w:color="auto" w:fill="auto"/>
                    <w:vAlign w:val="center"/>
                  </w:tcPr>
                  <w:p>
                    <w:pPr>
                      <w:jc w:val="center"/>
                      <w:rPr>
                        <w:sz w:val="20"/>
                      </w:rPr>
                    </w:pPr>
                    <w:r>
                      <w:rPr>
                        <w:sz w:val="20"/>
                      </w:rPr>
                      <w:t>iš viso:</w:t>
                    </w:r>
                  </w:p>
                </w:tc>
                <w:tc>
                  <w:tcPr>
                    <w:tcW w:w="2751" w:type="dxa"/>
                    <w:shd w:val="pct5" w:color="auto" w:fill="auto"/>
                    <w:vAlign w:val="center"/>
                  </w:tcPr>
                  <w:p>
                    <w:pPr>
                      <w:jc w:val="center"/>
                      <w:rPr>
                        <w:b/>
                        <w:sz w:val="20"/>
                      </w:rPr>
                    </w:pPr>
                    <w:r>
                      <w:rPr>
                        <w:iCs/>
                        <w:sz w:val="20"/>
                      </w:rPr>
                      <w:t>iš jų finansuojamų iš valstybės biudžeto tikslinės dotacijos</w:t>
                    </w:r>
                  </w:p>
                </w:tc>
                <w:tc>
                  <w:tcPr>
                    <w:tcW w:w="1559" w:type="dxa"/>
                    <w:vMerge/>
                    <w:shd w:val="pct5" w:color="auto" w:fill="auto"/>
                  </w:tcPr>
                  <w:p>
                    <w:pPr>
                      <w:jc w:val="center"/>
                      <w:rPr>
                        <w:b/>
                        <w:sz w:val="20"/>
                      </w:rPr>
                    </w:pPr>
                  </w:p>
                </w:tc>
              </w:tr>
              <w:tr>
                <w:trPr>
                  <w:jc w:val="center"/>
                </w:trPr>
                <w:tc>
                  <w:tcPr>
                    <w:tcW w:w="537" w:type="dxa"/>
                    <w:vAlign w:val="center"/>
                  </w:tcPr>
                  <w:p>
                    <w:pPr>
                      <w:rPr>
                        <w:sz w:val="20"/>
                      </w:rPr>
                    </w:pPr>
                    <w:r>
                      <w:rPr>
                        <w:sz w:val="20"/>
                      </w:rPr>
                      <w:t>1.</w:t>
                    </w:r>
                  </w:p>
                </w:tc>
                <w:tc>
                  <w:tcPr>
                    <w:tcW w:w="3402" w:type="dxa"/>
                    <w:vAlign w:val="center"/>
                  </w:tcPr>
                  <w:p>
                    <w:pPr>
                      <w:rPr>
                        <w:sz w:val="20"/>
                      </w:rPr>
                    </w:pPr>
                    <w:r>
                      <w:rPr>
                        <w:iCs/>
                        <w:sz w:val="20"/>
                      </w:rPr>
                      <w:t>Savivaldybės socialinių paslaugų įstaigose, iš jų:</w:t>
                    </w:r>
                  </w:p>
                </w:tc>
                <w:tc>
                  <w:tcPr>
                    <w:tcW w:w="1218" w:type="dxa"/>
                    <w:vAlign w:val="center"/>
                  </w:tcPr>
                  <w:p>
                    <w:pPr>
                      <w:jc w:val="center"/>
                      <w:rPr>
                        <w:sz w:val="20"/>
                      </w:rPr>
                    </w:pPr>
                    <w:r>
                      <w:rPr>
                        <w:sz w:val="20"/>
                      </w:rPr>
                      <w:t>69</w:t>
                    </w:r>
                  </w:p>
                </w:tc>
                <w:tc>
                  <w:tcPr>
                    <w:tcW w:w="2751" w:type="dxa"/>
                    <w:vAlign w:val="center"/>
                  </w:tcPr>
                  <w:p>
                    <w:pPr>
                      <w:jc w:val="center"/>
                      <w:rPr>
                        <w:sz w:val="20"/>
                      </w:rPr>
                    </w:pPr>
                    <w:r>
                      <w:rPr>
                        <w:sz w:val="20"/>
                      </w:rPr>
                      <w:t>11</w:t>
                    </w:r>
                  </w:p>
                </w:tc>
                <w:tc>
                  <w:tcPr>
                    <w:tcW w:w="1559" w:type="dxa"/>
                    <w:vAlign w:val="center"/>
                  </w:tcPr>
                  <w:p>
                    <w:pPr>
                      <w:jc w:val="center"/>
                      <w:rPr>
                        <w:sz w:val="20"/>
                      </w:rPr>
                    </w:pPr>
                    <w:r>
                      <w:rPr>
                        <w:sz w:val="20"/>
                      </w:rPr>
                      <w:t>81</w:t>
                    </w:r>
                  </w:p>
                </w:tc>
              </w:tr>
              <w:tr>
                <w:trPr>
                  <w:jc w:val="center"/>
                </w:trPr>
                <w:tc>
                  <w:tcPr>
                    <w:tcW w:w="537" w:type="dxa"/>
                    <w:vAlign w:val="center"/>
                  </w:tcPr>
                  <w:p>
                    <w:pPr>
                      <w:rPr>
                        <w:sz w:val="20"/>
                      </w:rPr>
                    </w:pPr>
                    <w:r>
                      <w:rPr>
                        <w:sz w:val="20"/>
                      </w:rPr>
                      <w:t>1.1.</w:t>
                    </w:r>
                  </w:p>
                </w:tc>
                <w:tc>
                  <w:tcPr>
                    <w:tcW w:w="3402" w:type="dxa"/>
                    <w:vAlign w:val="center"/>
                  </w:tcPr>
                  <w:p>
                    <w:pPr>
                      <w:rPr>
                        <w:sz w:val="20"/>
                      </w:rPr>
                    </w:pPr>
                    <w:r>
                      <w:rPr>
                        <w:sz w:val="20"/>
                      </w:rPr>
                      <w:t>biudžetinėse</w:t>
                    </w:r>
                  </w:p>
                </w:tc>
                <w:tc>
                  <w:tcPr>
                    <w:tcW w:w="1218" w:type="dxa"/>
                    <w:vAlign w:val="center"/>
                  </w:tcPr>
                  <w:p>
                    <w:pPr>
                      <w:jc w:val="center"/>
                      <w:rPr>
                        <w:sz w:val="20"/>
                      </w:rPr>
                    </w:pPr>
                    <w:r>
                      <w:rPr>
                        <w:sz w:val="20"/>
                      </w:rPr>
                      <w:t>57</w:t>
                    </w:r>
                  </w:p>
                </w:tc>
                <w:tc>
                  <w:tcPr>
                    <w:tcW w:w="2751" w:type="dxa"/>
                    <w:vAlign w:val="center"/>
                  </w:tcPr>
                  <w:p>
                    <w:pPr>
                      <w:jc w:val="center"/>
                      <w:rPr>
                        <w:sz w:val="20"/>
                      </w:rPr>
                    </w:pPr>
                    <w:r>
                      <w:rPr>
                        <w:sz w:val="20"/>
                      </w:rPr>
                      <w:t>11</w:t>
                    </w:r>
                  </w:p>
                </w:tc>
                <w:tc>
                  <w:tcPr>
                    <w:tcW w:w="1559" w:type="dxa"/>
                    <w:vAlign w:val="center"/>
                  </w:tcPr>
                  <w:p>
                    <w:pPr>
                      <w:jc w:val="center"/>
                      <w:rPr>
                        <w:sz w:val="20"/>
                      </w:rPr>
                    </w:pPr>
                    <w:r>
                      <w:rPr>
                        <w:sz w:val="20"/>
                      </w:rPr>
                      <w:t>81</w:t>
                    </w:r>
                  </w:p>
                </w:tc>
              </w:tr>
              <w:tr>
                <w:trPr>
                  <w:jc w:val="center"/>
                </w:trPr>
                <w:tc>
                  <w:tcPr>
                    <w:tcW w:w="537" w:type="dxa"/>
                    <w:tcBorders>
                      <w:bottom w:val="single" w:sz="4" w:space="0" w:color="auto"/>
                    </w:tcBorders>
                    <w:vAlign w:val="center"/>
                  </w:tcPr>
                  <w:p>
                    <w:pPr>
                      <w:rPr>
                        <w:sz w:val="20"/>
                      </w:rPr>
                    </w:pPr>
                    <w:r>
                      <w:rPr>
                        <w:sz w:val="20"/>
                      </w:rPr>
                      <w:t>1.2.</w:t>
                    </w:r>
                  </w:p>
                </w:tc>
                <w:tc>
                  <w:tcPr>
                    <w:tcW w:w="3402" w:type="dxa"/>
                    <w:tcBorders>
                      <w:bottom w:val="single" w:sz="4" w:space="0" w:color="auto"/>
                    </w:tcBorders>
                    <w:vAlign w:val="center"/>
                  </w:tcPr>
                  <w:p>
                    <w:pPr>
                      <w:rPr>
                        <w:sz w:val="20"/>
                      </w:rPr>
                    </w:pPr>
                    <w:r>
                      <w:rPr>
                        <w:sz w:val="20"/>
                      </w:rPr>
                      <w:t>viešosiose</w:t>
                    </w:r>
                  </w:p>
                </w:tc>
                <w:tc>
                  <w:tcPr>
                    <w:tcW w:w="1218" w:type="dxa"/>
                    <w:tcBorders>
                      <w:bottom w:val="single" w:sz="4" w:space="0" w:color="auto"/>
                    </w:tcBorders>
                    <w:vAlign w:val="center"/>
                  </w:tcPr>
                  <w:p>
                    <w:pPr>
                      <w:jc w:val="center"/>
                      <w:rPr>
                        <w:sz w:val="20"/>
                      </w:rPr>
                    </w:pPr>
                    <w:r>
                      <w:rPr>
                        <w:sz w:val="20"/>
                      </w:rPr>
                      <w:t>2</w:t>
                    </w:r>
                  </w:p>
                </w:tc>
                <w:tc>
                  <w:tcPr>
                    <w:tcW w:w="2751" w:type="dxa"/>
                    <w:tcBorders>
                      <w:bottom w:val="single" w:sz="4" w:space="0" w:color="auto"/>
                    </w:tcBorders>
                    <w:vAlign w:val="center"/>
                  </w:tcPr>
                  <w:p>
                    <w:pPr>
                      <w:jc w:val="center"/>
                      <w:rPr>
                        <w:sz w:val="20"/>
                      </w:rPr>
                    </w:pPr>
                    <w:r>
                      <w:rPr>
                        <w:sz w:val="20"/>
                      </w:rPr>
                      <w:t>-</w:t>
                    </w:r>
                  </w:p>
                </w:tc>
                <w:tc>
                  <w:tcPr>
                    <w:tcW w:w="1559" w:type="dxa"/>
                    <w:tcBorders>
                      <w:bottom w:val="single" w:sz="4" w:space="0" w:color="auto"/>
                    </w:tcBorders>
                    <w:vAlign w:val="center"/>
                  </w:tcPr>
                  <w:p>
                    <w:pPr>
                      <w:jc w:val="center"/>
                      <w:rPr>
                        <w:sz w:val="20"/>
                      </w:rPr>
                    </w:pPr>
                    <w:r>
                      <w:rPr>
                        <w:sz w:val="20"/>
                      </w:rPr>
                      <w:t>-</w:t>
                    </w:r>
                  </w:p>
                </w:tc>
              </w:tr>
              <w:tr>
                <w:trPr>
                  <w:jc w:val="center"/>
                </w:trPr>
                <w:tc>
                  <w:tcPr>
                    <w:tcW w:w="537" w:type="dxa"/>
                    <w:shd w:val="clear" w:color="auto" w:fill="FFFFFF"/>
                    <w:vAlign w:val="center"/>
                  </w:tcPr>
                  <w:p>
                    <w:pPr>
                      <w:rPr>
                        <w:sz w:val="20"/>
                      </w:rPr>
                    </w:pPr>
                    <w:r>
                      <w:rPr>
                        <w:sz w:val="20"/>
                      </w:rPr>
                      <w:t>2.</w:t>
                    </w:r>
                  </w:p>
                </w:tc>
                <w:tc>
                  <w:tcPr>
                    <w:tcW w:w="3402" w:type="dxa"/>
                    <w:shd w:val="clear" w:color="auto" w:fill="FFFFFF"/>
                    <w:vAlign w:val="center"/>
                  </w:tcPr>
                  <w:p>
                    <w:pPr>
                      <w:rPr>
                        <w:sz w:val="20"/>
                      </w:rPr>
                    </w:pPr>
                    <w:r>
                      <w:rPr>
                        <w:sz w:val="20"/>
                      </w:rPr>
                      <w:t>Savivaldybės administracijoje (seniūnijose)</w:t>
                    </w:r>
                  </w:p>
                </w:tc>
                <w:tc>
                  <w:tcPr>
                    <w:tcW w:w="1218" w:type="dxa"/>
                    <w:shd w:val="clear" w:color="auto" w:fill="FFFFFF"/>
                    <w:vAlign w:val="center"/>
                  </w:tcPr>
                  <w:p>
                    <w:pPr>
                      <w:jc w:val="center"/>
                      <w:rPr>
                        <w:b/>
                        <w:sz w:val="20"/>
                      </w:rPr>
                    </w:pPr>
                    <w:r>
                      <w:rPr>
                        <w:b/>
                        <w:sz w:val="20"/>
                      </w:rPr>
                      <w:t>10</w:t>
                    </w:r>
                  </w:p>
                </w:tc>
                <w:tc>
                  <w:tcPr>
                    <w:tcW w:w="2751" w:type="dxa"/>
                    <w:shd w:val="clear" w:color="auto" w:fill="FFFFFF"/>
                    <w:vAlign w:val="center"/>
                  </w:tcPr>
                  <w:p>
                    <w:pPr>
                      <w:jc w:val="center"/>
                      <w:rPr>
                        <w:b/>
                        <w:sz w:val="20"/>
                      </w:rPr>
                    </w:pPr>
                    <w:r>
                      <w:rPr>
                        <w:b/>
                        <w:sz w:val="20"/>
                      </w:rPr>
                      <w:t>-</w:t>
                    </w:r>
                  </w:p>
                </w:tc>
                <w:tc>
                  <w:tcPr>
                    <w:tcW w:w="1559" w:type="dxa"/>
                    <w:shd w:val="clear" w:color="auto" w:fill="FFFFFF"/>
                    <w:vAlign w:val="center"/>
                  </w:tcPr>
                  <w:p>
                    <w:pPr>
                      <w:jc w:val="center"/>
                      <w:rPr>
                        <w:b/>
                        <w:sz w:val="20"/>
                      </w:rPr>
                    </w:pPr>
                    <w:r>
                      <w:rPr>
                        <w:b/>
                        <w:sz w:val="20"/>
                      </w:rPr>
                      <w:t>-</w:t>
                    </w:r>
                  </w:p>
                </w:tc>
              </w:tr>
            </w:tbl>
            <w:p>
              <w:pPr>
                <w:rPr>
                  <w:szCs w:val="24"/>
                </w:rPr>
              </w:pPr>
            </w:p>
            <w:sdt>
              <w:sdtPr>
                <w:alias w:val="7.1 pp."/>
                <w:tag w:val="part_c0626f61f79848e5aea1e26f60055cc9"/>
                <w:lock w:val="sdtLocked"/>
                <w:richText/>
              </w:sdtPr>
              <w:sdtContent>
                <w:p>
                  <w:pPr>
                    <w:ind w:left="1188" w:hanging="337"/>
                    <w:outlineLvl w:val="2"/>
                    <w:rPr>
                      <w:b/>
                      <w:bCs/>
                      <w:iCs/>
                      <w:szCs w:val="24"/>
                    </w:rPr>
                  </w:pPr>
                  <w:sdt>
                    <w:sdtPr>
                      <w:alias w:val="Numeris"/>
                      <w:tag w:val="nr_c0626f61f79848e5aea1e26f60055cc9"/>
                      <w:lock w:val="sdtLocked"/>
                      <w:richText/>
                    </w:sdtPr>
                    <w:sdtContent>
                      <w:r>
                        <w:rPr>
                          <w:b/>
                          <w:bCs/>
                          <w:iCs/>
                          <w:szCs w:val="24"/>
                        </w:rPr>
                        <w:t>7.1</w:t>
                      </w:r>
                    </w:sdtContent>
                  </w:sdt>
                  <w:r>
                    <w:rPr>
                      <w:b/>
                      <w:bCs/>
                      <w:iCs/>
                      <w:szCs w:val="24"/>
                    </w:rPr>
                    <w:t>.</w:t>
                    <w:tab/>
                    <w:t>Socialinių darbuotojų išsilavinimas</w:t>
                  </w:r>
                  <w:r>
                    <w:rPr>
                      <w:szCs w:val="24"/>
                      <w:vertAlign w:val="superscript"/>
                      <w:lang w:eastAsia="ar-SA"/>
                    </w:rPr>
                    <w:footnoteReference w:id="33"/>
                  </w:r>
                </w:p>
                <w:p>
                  <w:pPr>
                    <w:rPr>
                      <w:sz w:val="10"/>
                      <w:szCs w:val="10"/>
                    </w:rPr>
                  </w:pPr>
                </w:p>
                <w:tbl>
                  <w:tblPr>
                    <w:tblW w:w="99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5"/>
                    <w:gridCol w:w="1228"/>
                    <w:gridCol w:w="1183"/>
                    <w:gridCol w:w="1428"/>
                    <w:gridCol w:w="1383"/>
                    <w:gridCol w:w="1628"/>
                    <w:gridCol w:w="1272"/>
                  </w:tblGrid>
                  <w:tr>
                    <w:trPr>
                      <w:cantSplit/>
                      <w:trHeight w:val="415"/>
                      <w:jc w:val="center"/>
                    </w:trPr>
                    <w:tc>
                      <w:tcPr>
                        <w:tcW w:w="1845" w:type="dxa"/>
                        <w:vMerge w:val="restart"/>
                        <w:tcBorders>
                          <w:tl2br w:val="single" w:sz="4" w:space="0" w:color="auto"/>
                        </w:tcBorders>
                        <w:shd w:val="pct5" w:color="auto" w:fill="auto"/>
                        <w:vAlign w:val="center"/>
                      </w:tcPr>
                      <w:p>
                        <w:pPr>
                          <w:jc w:val="right"/>
                          <w:rPr>
                            <w:b/>
                            <w:sz w:val="20"/>
                          </w:rPr>
                        </w:pPr>
                        <w:r>
                          <w:rPr>
                            <w:b/>
                            <w:sz w:val="20"/>
                          </w:rPr>
                          <w:t>Rodikliai</w:t>
                        </w:r>
                      </w:p>
                      <w:p>
                        <w:pPr>
                          <w:rPr>
                            <w:b/>
                            <w:sz w:val="20"/>
                          </w:rPr>
                        </w:pPr>
                      </w:p>
                      <w:p>
                        <w:pPr>
                          <w:rPr>
                            <w:b/>
                            <w:sz w:val="20"/>
                          </w:rPr>
                        </w:pPr>
                      </w:p>
                      <w:p>
                        <w:pPr>
                          <w:rPr>
                            <w:b/>
                            <w:sz w:val="20"/>
                          </w:rPr>
                        </w:pPr>
                      </w:p>
                      <w:p>
                        <w:pPr>
                          <w:rPr>
                            <w:b/>
                            <w:sz w:val="20"/>
                          </w:rPr>
                        </w:pPr>
                        <w:r>
                          <w:rPr>
                            <w:b/>
                            <w:sz w:val="20"/>
                          </w:rPr>
                          <w:t>Įstaigos</w:t>
                        </w:r>
                      </w:p>
                    </w:tc>
                    <w:tc>
                      <w:tcPr>
                        <w:tcW w:w="1228" w:type="dxa"/>
                        <w:vMerge w:val="restart"/>
                        <w:shd w:val="pct5" w:color="auto" w:fill="auto"/>
                        <w:vAlign w:val="center"/>
                      </w:tcPr>
                      <w:p>
                        <w:pPr>
                          <w:jc w:val="center"/>
                          <w:rPr>
                            <w:b/>
                            <w:iCs/>
                            <w:sz w:val="20"/>
                          </w:rPr>
                        </w:pPr>
                        <w:r>
                          <w:rPr>
                            <w:b/>
                            <w:iCs/>
                            <w:sz w:val="20"/>
                          </w:rPr>
                          <w:t>Socialiniai darbuotojai</w:t>
                        </w:r>
                      </w:p>
                    </w:tc>
                    <w:tc>
                      <w:tcPr>
                        <w:tcW w:w="1183" w:type="dxa"/>
                        <w:vMerge w:val="restart"/>
                        <w:shd w:val="pct5" w:color="auto" w:fill="auto"/>
                        <w:vAlign w:val="center"/>
                      </w:tcPr>
                      <w:p>
                        <w:pPr>
                          <w:jc w:val="center"/>
                          <w:rPr>
                            <w:b/>
                            <w:iCs/>
                            <w:sz w:val="20"/>
                          </w:rPr>
                        </w:pPr>
                        <w:r>
                          <w:rPr>
                            <w:b/>
                            <w:iCs/>
                            <w:sz w:val="20"/>
                          </w:rPr>
                          <w:t>Soc. darbuotojų padėjėjai/</w:t>
                        </w:r>
                      </w:p>
                      <w:p>
                        <w:pPr>
                          <w:jc w:val="center"/>
                          <w:rPr>
                            <w:b/>
                            <w:iCs/>
                            <w:sz w:val="20"/>
                          </w:rPr>
                        </w:pPr>
                        <w:r>
                          <w:rPr>
                            <w:b/>
                            <w:iCs/>
                            <w:sz w:val="20"/>
                          </w:rPr>
                          <w:t>Užimtumo</w:t>
                        </w:r>
                      </w:p>
                      <w:p>
                        <w:pPr>
                          <w:jc w:val="center"/>
                          <w:rPr>
                            <w:b/>
                            <w:iCs/>
                            <w:sz w:val="20"/>
                          </w:rPr>
                        </w:pPr>
                        <w:r>
                          <w:rPr>
                            <w:b/>
                            <w:iCs/>
                            <w:sz w:val="20"/>
                          </w:rPr>
                          <w:t>specialistai</w:t>
                        </w:r>
                      </w:p>
                    </w:tc>
                    <w:tc>
                      <w:tcPr>
                        <w:tcW w:w="5711" w:type="dxa"/>
                        <w:gridSpan w:val="4"/>
                        <w:shd w:val="pct5" w:color="auto" w:fill="auto"/>
                        <w:vAlign w:val="center"/>
                      </w:tcPr>
                      <w:p>
                        <w:pPr>
                          <w:jc w:val="center"/>
                          <w:rPr>
                            <w:b/>
                            <w:iCs/>
                            <w:sz w:val="20"/>
                          </w:rPr>
                        </w:pPr>
                        <w:r>
                          <w:rPr>
                            <w:b/>
                            <w:iCs/>
                            <w:sz w:val="20"/>
                          </w:rPr>
                          <w:t>Įgytas išsilavinimas</w:t>
                        </w:r>
                      </w:p>
                    </w:tc>
                  </w:tr>
                  <w:tr>
                    <w:trPr>
                      <w:cantSplit/>
                      <w:trHeight w:val="973"/>
                      <w:jc w:val="center"/>
                    </w:trPr>
                    <w:tc>
                      <w:tcPr>
                        <w:tcW w:w="1845" w:type="dxa"/>
                        <w:vMerge/>
                        <w:tcBorders>
                          <w:tl2br w:val="single" w:sz="4" w:space="0" w:color="auto"/>
                        </w:tcBorders>
                        <w:shd w:val="pct5" w:color="auto" w:fill="auto"/>
                        <w:vAlign w:val="center"/>
                      </w:tcPr>
                      <w:p>
                        <w:pPr>
                          <w:jc w:val="right"/>
                          <w:rPr>
                            <w:b/>
                            <w:sz w:val="20"/>
                          </w:rPr>
                        </w:pPr>
                      </w:p>
                    </w:tc>
                    <w:tc>
                      <w:tcPr>
                        <w:tcW w:w="1228" w:type="dxa"/>
                        <w:vMerge/>
                        <w:shd w:val="pct5" w:color="auto" w:fill="auto"/>
                        <w:vAlign w:val="center"/>
                      </w:tcPr>
                      <w:p>
                        <w:pPr>
                          <w:jc w:val="center"/>
                          <w:rPr>
                            <w:b/>
                            <w:iCs/>
                            <w:sz w:val="20"/>
                          </w:rPr>
                        </w:pPr>
                      </w:p>
                    </w:tc>
                    <w:tc>
                      <w:tcPr>
                        <w:tcW w:w="1183" w:type="dxa"/>
                        <w:vMerge/>
                        <w:shd w:val="pct5" w:color="auto" w:fill="auto"/>
                        <w:vAlign w:val="center"/>
                      </w:tcPr>
                      <w:p>
                        <w:pPr>
                          <w:jc w:val="center"/>
                          <w:rPr>
                            <w:b/>
                            <w:iCs/>
                            <w:sz w:val="20"/>
                          </w:rPr>
                        </w:pPr>
                      </w:p>
                    </w:tc>
                    <w:tc>
                      <w:tcPr>
                        <w:tcW w:w="1428" w:type="dxa"/>
                        <w:shd w:val="pct5" w:color="auto" w:fill="auto"/>
                        <w:vAlign w:val="center"/>
                      </w:tcPr>
                      <w:p>
                        <w:pPr>
                          <w:jc w:val="center"/>
                          <w:rPr>
                            <w:b/>
                            <w:iCs/>
                            <w:sz w:val="20"/>
                          </w:rPr>
                        </w:pPr>
                        <w:r>
                          <w:rPr>
                            <w:b/>
                            <w:iCs/>
                            <w:sz w:val="20"/>
                          </w:rPr>
                          <w:t>aukštasis universitetinis socialinio darbo</w:t>
                        </w:r>
                      </w:p>
                    </w:tc>
                    <w:tc>
                      <w:tcPr>
                        <w:tcW w:w="1383" w:type="dxa"/>
                        <w:shd w:val="pct5" w:color="auto" w:fill="auto"/>
                        <w:vAlign w:val="center"/>
                      </w:tcPr>
                      <w:p>
                        <w:pPr>
                          <w:jc w:val="center"/>
                          <w:rPr>
                            <w:b/>
                            <w:iCs/>
                            <w:sz w:val="20"/>
                          </w:rPr>
                        </w:pPr>
                        <w:r>
                          <w:rPr>
                            <w:b/>
                            <w:iCs/>
                            <w:sz w:val="20"/>
                          </w:rPr>
                          <w:t>darbuotojai, neturintys kvalifikacinio laipsnio</w:t>
                        </w:r>
                      </w:p>
                    </w:tc>
                    <w:tc>
                      <w:tcPr>
                        <w:tcW w:w="1628" w:type="dxa"/>
                        <w:shd w:val="pct5" w:color="auto" w:fill="auto"/>
                        <w:vAlign w:val="center"/>
                      </w:tcPr>
                      <w:p>
                        <w:pPr>
                          <w:jc w:val="center"/>
                          <w:rPr>
                            <w:b/>
                            <w:iCs/>
                            <w:sz w:val="20"/>
                          </w:rPr>
                        </w:pPr>
                        <w:r>
                          <w:rPr>
                            <w:b/>
                            <w:iCs/>
                            <w:sz w:val="20"/>
                          </w:rPr>
                          <w:t>aukštasis neuniversitetinis</w:t>
                        </w:r>
                      </w:p>
                      <w:p>
                        <w:pPr>
                          <w:ind w:left="229" w:hanging="229"/>
                          <w:jc w:val="center"/>
                          <w:rPr>
                            <w:b/>
                            <w:iCs/>
                            <w:sz w:val="20"/>
                          </w:rPr>
                        </w:pPr>
                        <w:r>
                          <w:rPr>
                            <w:b/>
                            <w:iCs/>
                            <w:sz w:val="20"/>
                          </w:rPr>
                          <w:t>socialinio darbo</w:t>
                        </w:r>
                      </w:p>
                    </w:tc>
                    <w:tc>
                      <w:tcPr>
                        <w:tcW w:w="1272" w:type="dxa"/>
                        <w:shd w:val="pct5" w:color="auto" w:fill="auto"/>
                        <w:vAlign w:val="center"/>
                      </w:tcPr>
                      <w:p>
                        <w:pPr>
                          <w:jc w:val="center"/>
                          <w:rPr>
                            <w:b/>
                            <w:iCs/>
                            <w:sz w:val="20"/>
                          </w:rPr>
                        </w:pPr>
                        <w:r>
                          <w:rPr>
                            <w:b/>
                            <w:iCs/>
                            <w:sz w:val="20"/>
                          </w:rPr>
                          <w:t>specialusis vidurinis / aukštesnysis</w:t>
                        </w:r>
                      </w:p>
                    </w:tc>
                  </w:tr>
                  <w:tr>
                    <w:trPr>
                      <w:trHeight w:val="470"/>
                      <w:jc w:val="center"/>
                    </w:trPr>
                    <w:tc>
                      <w:tcPr>
                        <w:tcW w:w="1845" w:type="dxa"/>
                        <w:vAlign w:val="center"/>
                      </w:tcPr>
                      <w:p>
                        <w:pPr>
                          <w:ind w:left="57"/>
                          <w:rPr>
                            <w:iCs/>
                            <w:sz w:val="20"/>
                          </w:rPr>
                        </w:pPr>
                        <w:r>
                          <w:rPr>
                            <w:iCs/>
                            <w:sz w:val="20"/>
                          </w:rPr>
                          <w:t>Telšių socialinių paslaugų centras</w:t>
                        </w:r>
                      </w:p>
                    </w:tc>
                    <w:tc>
                      <w:tcPr>
                        <w:tcW w:w="1228" w:type="dxa"/>
                        <w:vAlign w:val="center"/>
                      </w:tcPr>
                      <w:p>
                        <w:pPr>
                          <w:jc w:val="center"/>
                          <w:rPr>
                            <w:iCs/>
                            <w:sz w:val="20"/>
                          </w:rPr>
                        </w:pPr>
                        <w:r>
                          <w:rPr>
                            <w:iCs/>
                            <w:sz w:val="20"/>
                          </w:rPr>
                          <w:t>33</w:t>
                        </w:r>
                      </w:p>
                    </w:tc>
                    <w:tc>
                      <w:tcPr>
                        <w:tcW w:w="1183" w:type="dxa"/>
                        <w:vAlign w:val="center"/>
                      </w:tcPr>
                      <w:p>
                        <w:pPr>
                          <w:ind w:hanging="164"/>
                          <w:jc w:val="center"/>
                          <w:rPr>
                            <w:iCs/>
                            <w:sz w:val="20"/>
                          </w:rPr>
                        </w:pPr>
                        <w:r>
                          <w:rPr>
                            <w:iCs/>
                            <w:sz w:val="20"/>
                          </w:rPr>
                          <w:t>40 / 1</w:t>
                        </w:r>
                      </w:p>
                    </w:tc>
                    <w:tc>
                      <w:tcPr>
                        <w:tcW w:w="1428" w:type="dxa"/>
                        <w:vAlign w:val="center"/>
                      </w:tcPr>
                      <w:p>
                        <w:pPr>
                          <w:jc w:val="center"/>
                          <w:rPr>
                            <w:iCs/>
                            <w:sz w:val="20"/>
                          </w:rPr>
                        </w:pPr>
                        <w:r>
                          <w:rPr>
                            <w:iCs/>
                            <w:sz w:val="20"/>
                          </w:rPr>
                          <w:t>11</w:t>
                        </w:r>
                      </w:p>
                    </w:tc>
                    <w:tc>
                      <w:tcPr>
                        <w:tcW w:w="1383" w:type="dxa"/>
                        <w:vAlign w:val="center"/>
                      </w:tcPr>
                      <w:p>
                        <w:pPr>
                          <w:jc w:val="center"/>
                          <w:rPr>
                            <w:iCs/>
                            <w:sz w:val="20"/>
                          </w:rPr>
                        </w:pPr>
                        <w:r>
                          <w:rPr>
                            <w:iCs/>
                            <w:sz w:val="20"/>
                          </w:rPr>
                          <w:t>7</w:t>
                        </w:r>
                      </w:p>
                    </w:tc>
                    <w:tc>
                      <w:tcPr>
                        <w:tcW w:w="1628" w:type="dxa"/>
                        <w:vAlign w:val="center"/>
                      </w:tcPr>
                      <w:p>
                        <w:pPr>
                          <w:jc w:val="center"/>
                          <w:rPr>
                            <w:iCs/>
                            <w:sz w:val="20"/>
                          </w:rPr>
                        </w:pPr>
                        <w:r>
                          <w:rPr>
                            <w:iCs/>
                            <w:sz w:val="20"/>
                          </w:rPr>
                          <w:t>25</w:t>
                        </w:r>
                      </w:p>
                    </w:tc>
                    <w:tc>
                      <w:tcPr>
                        <w:tcW w:w="1272" w:type="dxa"/>
                        <w:vAlign w:val="center"/>
                      </w:tcPr>
                      <w:p>
                        <w:pPr>
                          <w:jc w:val="center"/>
                          <w:rPr>
                            <w:iCs/>
                            <w:sz w:val="20"/>
                          </w:rPr>
                        </w:pPr>
                        <w:r>
                          <w:rPr>
                            <w:iCs/>
                            <w:sz w:val="20"/>
                          </w:rPr>
                          <w:t>30</w:t>
                        </w:r>
                      </w:p>
                    </w:tc>
                  </w:tr>
                  <w:tr>
                    <w:trPr>
                      <w:trHeight w:val="511"/>
                      <w:jc w:val="center"/>
                    </w:trPr>
                    <w:tc>
                      <w:tcPr>
                        <w:tcW w:w="1845" w:type="dxa"/>
                        <w:vAlign w:val="center"/>
                      </w:tcPr>
                      <w:p>
                        <w:pPr>
                          <w:ind w:left="57"/>
                          <w:rPr>
                            <w:iCs/>
                            <w:sz w:val="20"/>
                          </w:rPr>
                        </w:pPr>
                        <w:r>
                          <w:rPr>
                            <w:iCs/>
                            <w:sz w:val="20"/>
                          </w:rPr>
                          <w:t xml:space="preserve">Telšių rajono senelių globos namai </w:t>
                        </w:r>
                      </w:p>
                    </w:tc>
                    <w:tc>
                      <w:tcPr>
                        <w:tcW w:w="1228" w:type="dxa"/>
                        <w:vAlign w:val="center"/>
                      </w:tcPr>
                      <w:p>
                        <w:pPr>
                          <w:jc w:val="center"/>
                          <w:rPr>
                            <w:iCs/>
                            <w:sz w:val="20"/>
                          </w:rPr>
                        </w:pPr>
                        <w:r>
                          <w:rPr>
                            <w:iCs/>
                            <w:sz w:val="20"/>
                          </w:rPr>
                          <w:t>5</w:t>
                        </w:r>
                      </w:p>
                    </w:tc>
                    <w:tc>
                      <w:tcPr>
                        <w:tcW w:w="1183" w:type="dxa"/>
                        <w:vAlign w:val="center"/>
                      </w:tcPr>
                      <w:p>
                        <w:pPr>
                          <w:jc w:val="center"/>
                          <w:rPr>
                            <w:iCs/>
                            <w:sz w:val="20"/>
                          </w:rPr>
                        </w:pPr>
                        <w:r>
                          <w:rPr>
                            <w:iCs/>
                            <w:sz w:val="20"/>
                          </w:rPr>
                          <w:t>16 / 2</w:t>
                        </w:r>
                      </w:p>
                    </w:tc>
                    <w:tc>
                      <w:tcPr>
                        <w:tcW w:w="1428" w:type="dxa"/>
                        <w:vAlign w:val="center"/>
                      </w:tcPr>
                      <w:p>
                        <w:pPr>
                          <w:jc w:val="center"/>
                          <w:rPr>
                            <w:iCs/>
                            <w:sz w:val="20"/>
                          </w:rPr>
                        </w:pPr>
                        <w:r>
                          <w:rPr>
                            <w:iCs/>
                            <w:sz w:val="20"/>
                          </w:rPr>
                          <w:t>1</w:t>
                        </w:r>
                      </w:p>
                    </w:tc>
                    <w:tc>
                      <w:tcPr>
                        <w:tcW w:w="1383" w:type="dxa"/>
                        <w:vAlign w:val="center"/>
                      </w:tcPr>
                      <w:p>
                        <w:pPr>
                          <w:jc w:val="center"/>
                          <w:rPr>
                            <w:iCs/>
                            <w:sz w:val="20"/>
                          </w:rPr>
                        </w:pPr>
                        <w:r>
                          <w:rPr>
                            <w:iCs/>
                            <w:sz w:val="20"/>
                          </w:rPr>
                          <w:t>2</w:t>
                        </w:r>
                      </w:p>
                    </w:tc>
                    <w:tc>
                      <w:tcPr>
                        <w:tcW w:w="1628" w:type="dxa"/>
                        <w:vAlign w:val="center"/>
                      </w:tcPr>
                      <w:p>
                        <w:pPr>
                          <w:jc w:val="center"/>
                          <w:rPr>
                            <w:iCs/>
                            <w:sz w:val="20"/>
                          </w:rPr>
                        </w:pPr>
                        <w:r>
                          <w:rPr>
                            <w:iCs/>
                            <w:sz w:val="20"/>
                          </w:rPr>
                          <w:t>6</w:t>
                        </w:r>
                      </w:p>
                    </w:tc>
                    <w:tc>
                      <w:tcPr>
                        <w:tcW w:w="1272" w:type="dxa"/>
                        <w:vAlign w:val="center"/>
                      </w:tcPr>
                      <w:p>
                        <w:pPr>
                          <w:jc w:val="center"/>
                          <w:rPr>
                            <w:iCs/>
                            <w:sz w:val="20"/>
                          </w:rPr>
                        </w:pPr>
                        <w:r>
                          <w:rPr>
                            <w:iCs/>
                            <w:sz w:val="20"/>
                          </w:rPr>
                          <w:t>12</w:t>
                        </w:r>
                      </w:p>
                    </w:tc>
                  </w:tr>
                  <w:tr>
                    <w:trPr>
                      <w:trHeight w:val="406"/>
                      <w:jc w:val="center"/>
                    </w:trPr>
                    <w:tc>
                      <w:tcPr>
                        <w:tcW w:w="1845" w:type="dxa"/>
                        <w:vAlign w:val="center"/>
                      </w:tcPr>
                      <w:p>
                        <w:pPr>
                          <w:ind w:left="57"/>
                          <w:rPr>
                            <w:iCs/>
                            <w:sz w:val="20"/>
                          </w:rPr>
                        </w:pPr>
                        <w:r>
                          <w:rPr>
                            <w:iCs/>
                            <w:sz w:val="20"/>
                          </w:rPr>
                          <w:t>Telšių vaikų globos namai</w:t>
                        </w:r>
                      </w:p>
                    </w:tc>
                    <w:tc>
                      <w:tcPr>
                        <w:tcW w:w="1228" w:type="dxa"/>
                        <w:vAlign w:val="center"/>
                      </w:tcPr>
                      <w:p>
                        <w:pPr>
                          <w:jc w:val="center"/>
                          <w:rPr>
                            <w:iCs/>
                            <w:sz w:val="20"/>
                          </w:rPr>
                        </w:pPr>
                        <w:r>
                          <w:rPr>
                            <w:iCs/>
                            <w:sz w:val="20"/>
                          </w:rPr>
                          <w:t>15</w:t>
                        </w:r>
                      </w:p>
                    </w:tc>
                    <w:tc>
                      <w:tcPr>
                        <w:tcW w:w="1183" w:type="dxa"/>
                        <w:vAlign w:val="center"/>
                      </w:tcPr>
                      <w:p>
                        <w:pPr>
                          <w:jc w:val="center"/>
                          <w:rPr>
                            <w:iCs/>
                            <w:sz w:val="20"/>
                          </w:rPr>
                        </w:pPr>
                        <w:r>
                          <w:rPr>
                            <w:iCs/>
                            <w:sz w:val="20"/>
                          </w:rPr>
                          <w:t>17 / 0</w:t>
                        </w:r>
                      </w:p>
                    </w:tc>
                    <w:tc>
                      <w:tcPr>
                        <w:tcW w:w="1428" w:type="dxa"/>
                        <w:vAlign w:val="center"/>
                      </w:tcPr>
                      <w:p>
                        <w:pPr>
                          <w:jc w:val="center"/>
                          <w:rPr>
                            <w:iCs/>
                            <w:sz w:val="20"/>
                          </w:rPr>
                        </w:pPr>
                        <w:r>
                          <w:rPr>
                            <w:iCs/>
                            <w:sz w:val="20"/>
                          </w:rPr>
                          <w:t>13</w:t>
                        </w:r>
                      </w:p>
                    </w:tc>
                    <w:tc>
                      <w:tcPr>
                        <w:tcW w:w="1383" w:type="dxa"/>
                        <w:vAlign w:val="center"/>
                      </w:tcPr>
                      <w:p>
                        <w:pPr>
                          <w:jc w:val="center"/>
                          <w:rPr>
                            <w:iCs/>
                            <w:sz w:val="20"/>
                          </w:rPr>
                        </w:pPr>
                        <w:r>
                          <w:rPr>
                            <w:iCs/>
                            <w:sz w:val="20"/>
                          </w:rPr>
                          <w:t>─</w:t>
                        </w:r>
                      </w:p>
                    </w:tc>
                    <w:tc>
                      <w:tcPr>
                        <w:tcW w:w="1628" w:type="dxa"/>
                        <w:vAlign w:val="center"/>
                      </w:tcPr>
                      <w:p>
                        <w:pPr>
                          <w:jc w:val="center"/>
                          <w:rPr>
                            <w:iCs/>
                            <w:sz w:val="20"/>
                          </w:rPr>
                        </w:pPr>
                        <w:r>
                          <w:rPr>
                            <w:iCs/>
                            <w:sz w:val="20"/>
                          </w:rPr>
                          <w:t>9</w:t>
                        </w:r>
                      </w:p>
                    </w:tc>
                    <w:tc>
                      <w:tcPr>
                        <w:tcW w:w="1272" w:type="dxa"/>
                        <w:vAlign w:val="center"/>
                      </w:tcPr>
                      <w:p>
                        <w:pPr>
                          <w:jc w:val="center"/>
                          <w:rPr>
                            <w:iCs/>
                            <w:sz w:val="20"/>
                          </w:rPr>
                        </w:pPr>
                        <w:r>
                          <w:rPr>
                            <w:iCs/>
                            <w:sz w:val="20"/>
                          </w:rPr>
                          <w:t>10</w:t>
                        </w:r>
                      </w:p>
                    </w:tc>
                  </w:tr>
                  <w:tr>
                    <w:trPr>
                      <w:trHeight w:val="638"/>
                      <w:jc w:val="center"/>
                    </w:trPr>
                    <w:tc>
                      <w:tcPr>
                        <w:tcW w:w="1845" w:type="dxa"/>
                        <w:vAlign w:val="center"/>
                      </w:tcPr>
                      <w:p>
                        <w:pPr>
                          <w:ind w:left="57"/>
                          <w:rPr>
                            <w:iCs/>
                            <w:sz w:val="20"/>
                          </w:rPr>
                        </w:pPr>
                        <w:r>
                          <w:rPr>
                            <w:iCs/>
                            <w:sz w:val="20"/>
                          </w:rPr>
                          <w:t>Telšių „Vilties“ mokyklos Socialinės globos skyrius</w:t>
                        </w:r>
                      </w:p>
                    </w:tc>
                    <w:tc>
                      <w:tcPr>
                        <w:tcW w:w="1228" w:type="dxa"/>
                        <w:vAlign w:val="center"/>
                      </w:tcPr>
                      <w:p>
                        <w:pPr>
                          <w:jc w:val="center"/>
                          <w:rPr>
                            <w:iCs/>
                            <w:sz w:val="20"/>
                          </w:rPr>
                        </w:pPr>
                        <w:r>
                          <w:rPr>
                            <w:iCs/>
                            <w:sz w:val="20"/>
                          </w:rPr>
                          <w:t>4</w:t>
                        </w:r>
                      </w:p>
                    </w:tc>
                    <w:tc>
                      <w:tcPr>
                        <w:tcW w:w="1183" w:type="dxa"/>
                        <w:vAlign w:val="center"/>
                      </w:tcPr>
                      <w:p>
                        <w:pPr>
                          <w:jc w:val="center"/>
                          <w:rPr>
                            <w:iCs/>
                            <w:sz w:val="20"/>
                          </w:rPr>
                        </w:pPr>
                        <w:r>
                          <w:rPr>
                            <w:iCs/>
                            <w:sz w:val="20"/>
                          </w:rPr>
                          <w:t>8 / 5</w:t>
                        </w:r>
                      </w:p>
                    </w:tc>
                    <w:tc>
                      <w:tcPr>
                        <w:tcW w:w="1428" w:type="dxa"/>
                        <w:vAlign w:val="center"/>
                      </w:tcPr>
                      <w:p>
                        <w:pPr>
                          <w:jc w:val="center"/>
                          <w:rPr>
                            <w:iCs/>
                            <w:sz w:val="20"/>
                          </w:rPr>
                        </w:pPr>
                        <w:r>
                          <w:rPr>
                            <w:iCs/>
                            <w:sz w:val="20"/>
                          </w:rPr>
                          <w:t>2</w:t>
                        </w:r>
                      </w:p>
                    </w:tc>
                    <w:tc>
                      <w:tcPr>
                        <w:tcW w:w="1383" w:type="dxa"/>
                        <w:vAlign w:val="center"/>
                      </w:tcPr>
                      <w:p>
                        <w:pPr>
                          <w:jc w:val="center"/>
                          <w:rPr>
                            <w:iCs/>
                            <w:sz w:val="20"/>
                          </w:rPr>
                        </w:pPr>
                        <w:r>
                          <w:rPr>
                            <w:iCs/>
                            <w:sz w:val="20"/>
                          </w:rPr>
                          <w:t>─</w:t>
                        </w:r>
                      </w:p>
                    </w:tc>
                    <w:tc>
                      <w:tcPr>
                        <w:tcW w:w="1628" w:type="dxa"/>
                        <w:vAlign w:val="center"/>
                      </w:tcPr>
                      <w:p>
                        <w:pPr>
                          <w:jc w:val="center"/>
                          <w:rPr>
                            <w:iCs/>
                            <w:sz w:val="20"/>
                          </w:rPr>
                        </w:pPr>
                        <w:r>
                          <w:rPr>
                            <w:iCs/>
                            <w:sz w:val="20"/>
                          </w:rPr>
                          <w:t>3</w:t>
                        </w:r>
                      </w:p>
                    </w:tc>
                    <w:tc>
                      <w:tcPr>
                        <w:tcW w:w="1272" w:type="dxa"/>
                        <w:vAlign w:val="center"/>
                      </w:tcPr>
                      <w:p>
                        <w:pPr>
                          <w:jc w:val="center"/>
                          <w:rPr>
                            <w:iCs/>
                            <w:sz w:val="20"/>
                          </w:rPr>
                        </w:pPr>
                        <w:r>
                          <w:rPr>
                            <w:iCs/>
                            <w:sz w:val="20"/>
                            <w:lang w:eastAsia="ar-SA"/>
                          </w:rPr>
                          <w:t>─</w:t>
                        </w:r>
                      </w:p>
                    </w:tc>
                  </w:tr>
                  <w:tr>
                    <w:trPr>
                      <w:trHeight w:val="279"/>
                      <w:jc w:val="center"/>
                    </w:trPr>
                    <w:tc>
                      <w:tcPr>
                        <w:tcW w:w="1845" w:type="dxa"/>
                        <w:vAlign w:val="center"/>
                      </w:tcPr>
                      <w:p>
                        <w:pPr>
                          <w:ind w:left="57"/>
                          <w:rPr>
                            <w:iCs/>
                            <w:sz w:val="20"/>
                          </w:rPr>
                        </w:pPr>
                        <w:r>
                          <w:rPr>
                            <w:iCs/>
                            <w:sz w:val="20"/>
                          </w:rPr>
                          <w:t>„Soneima“</w:t>
                        </w:r>
                      </w:p>
                    </w:tc>
                    <w:tc>
                      <w:tcPr>
                        <w:tcW w:w="1228" w:type="dxa"/>
                        <w:vAlign w:val="center"/>
                      </w:tcPr>
                      <w:p>
                        <w:pPr>
                          <w:jc w:val="center"/>
                          <w:rPr>
                            <w:iCs/>
                            <w:sz w:val="20"/>
                          </w:rPr>
                        </w:pPr>
                        <w:r>
                          <w:rPr>
                            <w:iCs/>
                            <w:sz w:val="20"/>
                          </w:rPr>
                          <w:t>1</w:t>
                        </w:r>
                      </w:p>
                    </w:tc>
                    <w:tc>
                      <w:tcPr>
                        <w:tcW w:w="1183" w:type="dxa"/>
                        <w:vAlign w:val="center"/>
                      </w:tcPr>
                      <w:p>
                        <w:pPr>
                          <w:jc w:val="center"/>
                          <w:rPr>
                            <w:iCs/>
                            <w:sz w:val="20"/>
                          </w:rPr>
                        </w:pPr>
                        <w:r>
                          <w:rPr>
                            <w:iCs/>
                            <w:sz w:val="20"/>
                            <w:lang w:eastAsia="ar-SA"/>
                          </w:rPr>
                          <w:t>─</w:t>
                        </w:r>
                      </w:p>
                    </w:tc>
                    <w:tc>
                      <w:tcPr>
                        <w:tcW w:w="1428" w:type="dxa"/>
                        <w:vAlign w:val="center"/>
                      </w:tcPr>
                      <w:p>
                        <w:pPr>
                          <w:jc w:val="center"/>
                          <w:rPr>
                            <w:iCs/>
                            <w:sz w:val="20"/>
                          </w:rPr>
                        </w:pPr>
                        <w:r>
                          <w:rPr>
                            <w:iCs/>
                            <w:sz w:val="20"/>
                            <w:lang w:eastAsia="ar-SA"/>
                          </w:rPr>
                          <w:t>─</w:t>
                        </w:r>
                      </w:p>
                    </w:tc>
                    <w:tc>
                      <w:tcPr>
                        <w:tcW w:w="1383" w:type="dxa"/>
                        <w:vAlign w:val="center"/>
                      </w:tcPr>
                      <w:p>
                        <w:pPr>
                          <w:jc w:val="center"/>
                          <w:rPr>
                            <w:iCs/>
                            <w:sz w:val="20"/>
                          </w:rPr>
                        </w:pPr>
                        <w:r>
                          <w:rPr>
                            <w:iCs/>
                            <w:sz w:val="20"/>
                            <w:lang w:eastAsia="ar-SA"/>
                          </w:rPr>
                          <w:t>─</w:t>
                        </w:r>
                      </w:p>
                    </w:tc>
                    <w:tc>
                      <w:tcPr>
                        <w:tcW w:w="1628" w:type="dxa"/>
                      </w:tcPr>
                      <w:p>
                        <w:pPr>
                          <w:jc w:val="center"/>
                          <w:rPr>
                            <w:szCs w:val="24"/>
                            <w:lang w:val="en-GB"/>
                          </w:rPr>
                        </w:pPr>
                        <w:r>
                          <w:rPr>
                            <w:iCs/>
                            <w:sz w:val="20"/>
                            <w:lang w:val="en-GB"/>
                          </w:rPr>
                          <w:t>─</w:t>
                        </w:r>
                      </w:p>
                    </w:tc>
                    <w:tc>
                      <w:tcPr>
                        <w:tcW w:w="1272" w:type="dxa"/>
                      </w:tcPr>
                      <w:p>
                        <w:pPr>
                          <w:jc w:val="center"/>
                          <w:rPr>
                            <w:szCs w:val="24"/>
                            <w:lang w:val="en-GB"/>
                          </w:rPr>
                        </w:pPr>
                        <w:r>
                          <w:rPr>
                            <w:iCs/>
                            <w:sz w:val="20"/>
                            <w:lang w:val="en-GB"/>
                          </w:rPr>
                          <w:t>─</w:t>
                        </w:r>
                      </w:p>
                    </w:tc>
                  </w:tr>
                  <w:tr>
                    <w:trPr>
                      <w:jc w:val="center"/>
                    </w:trPr>
                    <w:tc>
                      <w:tcPr>
                        <w:tcW w:w="1845" w:type="dxa"/>
                        <w:vAlign w:val="center"/>
                      </w:tcPr>
                      <w:p>
                        <w:pPr>
                          <w:rPr>
                            <w:sz w:val="20"/>
                          </w:rPr>
                        </w:pPr>
                        <w:r>
                          <w:rPr>
                            <w:iCs/>
                            <w:sz w:val="20"/>
                            <w:lang w:val="en-GB"/>
                          </w:rPr>
                          <w:t xml:space="preserve">Telšių </w:t>
                        </w:r>
                        <w:r>
                          <w:rPr>
                            <w:iCs/>
                            <w:sz w:val="20"/>
                          </w:rPr>
                          <w:t>krizių centras</w:t>
                        </w:r>
                      </w:p>
                    </w:tc>
                    <w:tc>
                      <w:tcPr>
                        <w:tcW w:w="1228" w:type="dxa"/>
                        <w:vAlign w:val="center"/>
                      </w:tcPr>
                      <w:p>
                        <w:pPr>
                          <w:jc w:val="center"/>
                          <w:rPr>
                            <w:iCs/>
                            <w:sz w:val="20"/>
                          </w:rPr>
                        </w:pPr>
                        <w:r>
                          <w:rPr>
                            <w:iCs/>
                            <w:sz w:val="20"/>
                          </w:rPr>
                          <w:t>1</w:t>
                        </w:r>
                      </w:p>
                    </w:tc>
                    <w:tc>
                      <w:tcPr>
                        <w:tcW w:w="1183" w:type="dxa"/>
                      </w:tcPr>
                      <w:p>
                        <w:pPr>
                          <w:jc w:val="center"/>
                          <w:rPr>
                            <w:szCs w:val="24"/>
                            <w:lang w:val="en-GB"/>
                          </w:rPr>
                        </w:pPr>
                        <w:r>
                          <w:rPr>
                            <w:iCs/>
                            <w:sz w:val="20"/>
                            <w:lang w:val="en-GB"/>
                          </w:rPr>
                          <w:t>─</w:t>
                        </w:r>
                      </w:p>
                    </w:tc>
                    <w:tc>
                      <w:tcPr>
                        <w:tcW w:w="1428" w:type="dxa"/>
                      </w:tcPr>
                      <w:p>
                        <w:pPr>
                          <w:jc w:val="center"/>
                          <w:rPr>
                            <w:szCs w:val="24"/>
                            <w:lang w:val="en-GB"/>
                          </w:rPr>
                        </w:pPr>
                        <w:r>
                          <w:rPr>
                            <w:iCs/>
                            <w:sz w:val="20"/>
                            <w:lang w:val="en-GB"/>
                          </w:rPr>
                          <w:t>─</w:t>
                        </w:r>
                      </w:p>
                    </w:tc>
                    <w:tc>
                      <w:tcPr>
                        <w:tcW w:w="1383" w:type="dxa"/>
                      </w:tcPr>
                      <w:p>
                        <w:pPr>
                          <w:jc w:val="center"/>
                          <w:rPr>
                            <w:szCs w:val="24"/>
                            <w:lang w:val="en-GB"/>
                          </w:rPr>
                        </w:pPr>
                        <w:r>
                          <w:rPr>
                            <w:iCs/>
                            <w:sz w:val="20"/>
                            <w:lang w:val="en-GB"/>
                          </w:rPr>
                          <w:t>─</w:t>
                        </w:r>
                      </w:p>
                    </w:tc>
                    <w:tc>
                      <w:tcPr>
                        <w:tcW w:w="1628" w:type="dxa"/>
                        <w:vAlign w:val="center"/>
                      </w:tcPr>
                      <w:p>
                        <w:pPr>
                          <w:jc w:val="center"/>
                          <w:rPr>
                            <w:iCs/>
                            <w:sz w:val="20"/>
                          </w:rPr>
                        </w:pPr>
                        <w:r>
                          <w:rPr>
                            <w:iCs/>
                            <w:sz w:val="20"/>
                            <w:lang w:eastAsia="ar-SA"/>
                          </w:rPr>
                          <w:t>─</w:t>
                        </w:r>
                      </w:p>
                    </w:tc>
                    <w:tc>
                      <w:tcPr>
                        <w:tcW w:w="1272" w:type="dxa"/>
                        <w:vAlign w:val="center"/>
                      </w:tcPr>
                      <w:p>
                        <w:pPr>
                          <w:jc w:val="center"/>
                          <w:rPr>
                            <w:iCs/>
                            <w:sz w:val="20"/>
                          </w:rPr>
                        </w:pPr>
                        <w:r>
                          <w:rPr>
                            <w:iCs/>
                            <w:sz w:val="20"/>
                            <w:lang w:eastAsia="ar-SA"/>
                          </w:rPr>
                          <w:t>─</w:t>
                        </w:r>
                      </w:p>
                    </w:tc>
                  </w:tr>
                  <w:tr>
                    <w:trPr>
                      <w:jc w:val="center"/>
                    </w:trPr>
                    <w:tc>
                      <w:tcPr>
                        <w:tcW w:w="1845" w:type="dxa"/>
                        <w:vAlign w:val="center"/>
                      </w:tcPr>
                      <w:p>
                        <w:pPr>
                          <w:ind w:left="57"/>
                          <w:rPr>
                            <w:iCs/>
                            <w:sz w:val="20"/>
                          </w:rPr>
                        </w:pPr>
                        <w:r>
                          <w:rPr>
                            <w:iCs/>
                            <w:sz w:val="20"/>
                          </w:rPr>
                          <w:t>Seniūnijos</w:t>
                        </w:r>
                      </w:p>
                    </w:tc>
                    <w:tc>
                      <w:tcPr>
                        <w:tcW w:w="1228" w:type="dxa"/>
                        <w:vAlign w:val="center"/>
                      </w:tcPr>
                      <w:p>
                        <w:pPr>
                          <w:jc w:val="center"/>
                          <w:rPr>
                            <w:iCs/>
                            <w:sz w:val="20"/>
                          </w:rPr>
                        </w:pPr>
                        <w:r>
                          <w:rPr>
                            <w:iCs/>
                            <w:sz w:val="20"/>
                          </w:rPr>
                          <w:t>10</w:t>
                        </w:r>
                      </w:p>
                    </w:tc>
                    <w:tc>
                      <w:tcPr>
                        <w:tcW w:w="1183" w:type="dxa"/>
                      </w:tcPr>
                      <w:p>
                        <w:pPr>
                          <w:jc w:val="center"/>
                          <w:rPr>
                            <w:szCs w:val="24"/>
                            <w:lang w:val="en-GB"/>
                          </w:rPr>
                        </w:pPr>
                        <w:r>
                          <w:rPr>
                            <w:iCs/>
                            <w:sz w:val="20"/>
                            <w:lang w:val="en-GB"/>
                          </w:rPr>
                          <w:t>─</w:t>
                        </w:r>
                      </w:p>
                    </w:tc>
                    <w:tc>
                      <w:tcPr>
                        <w:tcW w:w="1428" w:type="dxa"/>
                      </w:tcPr>
                      <w:p>
                        <w:pPr>
                          <w:jc w:val="center"/>
                          <w:rPr>
                            <w:szCs w:val="24"/>
                            <w:lang w:val="en-GB"/>
                          </w:rPr>
                        </w:pPr>
                        <w:r>
                          <w:rPr>
                            <w:iCs/>
                            <w:sz w:val="20"/>
                            <w:lang w:val="en-GB"/>
                          </w:rPr>
                          <w:t>─</w:t>
                        </w:r>
                      </w:p>
                    </w:tc>
                    <w:tc>
                      <w:tcPr>
                        <w:tcW w:w="1383" w:type="dxa"/>
                      </w:tcPr>
                      <w:p>
                        <w:pPr>
                          <w:jc w:val="center"/>
                          <w:rPr>
                            <w:szCs w:val="24"/>
                            <w:lang w:val="en-GB"/>
                          </w:rPr>
                        </w:pPr>
                        <w:r>
                          <w:rPr>
                            <w:iCs/>
                            <w:sz w:val="20"/>
                            <w:lang w:val="en-GB"/>
                          </w:rPr>
                          <w:t>─</w:t>
                        </w:r>
                      </w:p>
                    </w:tc>
                    <w:tc>
                      <w:tcPr>
                        <w:tcW w:w="1628" w:type="dxa"/>
                        <w:vAlign w:val="center"/>
                      </w:tcPr>
                      <w:p>
                        <w:pPr>
                          <w:jc w:val="center"/>
                          <w:rPr>
                            <w:iCs/>
                            <w:sz w:val="20"/>
                          </w:rPr>
                        </w:pPr>
                        <w:r>
                          <w:rPr>
                            <w:iCs/>
                            <w:sz w:val="20"/>
                          </w:rPr>
                          <w:t>4</w:t>
                        </w:r>
                      </w:p>
                    </w:tc>
                    <w:tc>
                      <w:tcPr>
                        <w:tcW w:w="1272" w:type="dxa"/>
                        <w:vAlign w:val="center"/>
                      </w:tcPr>
                      <w:p>
                        <w:pPr>
                          <w:jc w:val="center"/>
                          <w:rPr>
                            <w:iCs/>
                            <w:sz w:val="20"/>
                          </w:rPr>
                        </w:pPr>
                        <w:r>
                          <w:rPr>
                            <w:iCs/>
                            <w:sz w:val="20"/>
                          </w:rPr>
                          <w:t>6</w:t>
                        </w:r>
                      </w:p>
                    </w:tc>
                  </w:tr>
                  <w:tr>
                    <w:trPr>
                      <w:jc w:val="center"/>
                    </w:trPr>
                    <w:tc>
                      <w:tcPr>
                        <w:tcW w:w="1845" w:type="dxa"/>
                        <w:tcBorders>
                          <w:bottom w:val="single" w:sz="4" w:space="0" w:color="auto"/>
                        </w:tcBorders>
                        <w:vAlign w:val="center"/>
                      </w:tcPr>
                      <w:p>
                        <w:pPr>
                          <w:rPr>
                            <w:sz w:val="20"/>
                          </w:rPr>
                        </w:pPr>
                        <w:r>
                          <w:rPr>
                            <w:b/>
                            <w:bCs/>
                            <w:iCs/>
                            <w:sz w:val="20"/>
                          </w:rPr>
                          <w:t>Iš viso:</w:t>
                        </w:r>
                      </w:p>
                    </w:tc>
                    <w:tc>
                      <w:tcPr>
                        <w:tcW w:w="1228" w:type="dxa"/>
                        <w:tcBorders>
                          <w:bottom w:val="single" w:sz="4" w:space="0" w:color="auto"/>
                        </w:tcBorders>
                        <w:vAlign w:val="center"/>
                      </w:tcPr>
                      <w:p>
                        <w:pPr>
                          <w:jc w:val="center"/>
                          <w:rPr>
                            <w:b/>
                            <w:iCs/>
                            <w:sz w:val="20"/>
                          </w:rPr>
                        </w:pPr>
                        <w:r>
                          <w:rPr>
                            <w:b/>
                            <w:iCs/>
                            <w:sz w:val="20"/>
                          </w:rPr>
                          <w:t>69</w:t>
                        </w:r>
                      </w:p>
                    </w:tc>
                    <w:tc>
                      <w:tcPr>
                        <w:tcW w:w="1183" w:type="dxa"/>
                        <w:tcBorders>
                          <w:bottom w:val="single" w:sz="4" w:space="0" w:color="auto"/>
                        </w:tcBorders>
                        <w:vAlign w:val="center"/>
                      </w:tcPr>
                      <w:p>
                        <w:pPr>
                          <w:jc w:val="center"/>
                          <w:rPr>
                            <w:b/>
                            <w:iCs/>
                            <w:sz w:val="20"/>
                            <w:highlight w:val="yellow"/>
                          </w:rPr>
                        </w:pPr>
                        <w:r>
                          <w:rPr>
                            <w:b/>
                            <w:iCs/>
                            <w:sz w:val="20"/>
                          </w:rPr>
                          <w:t>81/8</w:t>
                        </w:r>
                      </w:p>
                    </w:tc>
                    <w:tc>
                      <w:tcPr>
                        <w:tcW w:w="1428" w:type="dxa"/>
                        <w:tcBorders>
                          <w:bottom w:val="single" w:sz="4" w:space="0" w:color="auto"/>
                        </w:tcBorders>
                        <w:vAlign w:val="center"/>
                      </w:tcPr>
                      <w:p>
                        <w:pPr>
                          <w:jc w:val="center"/>
                          <w:rPr>
                            <w:b/>
                            <w:iCs/>
                            <w:sz w:val="20"/>
                          </w:rPr>
                        </w:pPr>
                        <w:r>
                          <w:rPr>
                            <w:b/>
                            <w:iCs/>
                            <w:sz w:val="20"/>
                          </w:rPr>
                          <w:t>30</w:t>
                        </w:r>
                      </w:p>
                    </w:tc>
                    <w:tc>
                      <w:tcPr>
                        <w:tcW w:w="1383" w:type="dxa"/>
                        <w:tcBorders>
                          <w:bottom w:val="single" w:sz="4" w:space="0" w:color="auto"/>
                        </w:tcBorders>
                        <w:vAlign w:val="center"/>
                      </w:tcPr>
                      <w:p>
                        <w:pPr>
                          <w:jc w:val="center"/>
                          <w:rPr>
                            <w:b/>
                            <w:iCs/>
                            <w:sz w:val="20"/>
                          </w:rPr>
                        </w:pPr>
                        <w:r>
                          <w:rPr>
                            <w:b/>
                            <w:iCs/>
                            <w:sz w:val="20"/>
                          </w:rPr>
                          <w:t>9</w:t>
                        </w:r>
                      </w:p>
                    </w:tc>
                    <w:tc>
                      <w:tcPr>
                        <w:tcW w:w="1628" w:type="dxa"/>
                        <w:tcBorders>
                          <w:bottom w:val="single" w:sz="4" w:space="0" w:color="auto"/>
                        </w:tcBorders>
                        <w:vAlign w:val="center"/>
                      </w:tcPr>
                      <w:p>
                        <w:pPr>
                          <w:jc w:val="center"/>
                          <w:rPr>
                            <w:b/>
                            <w:iCs/>
                            <w:sz w:val="20"/>
                          </w:rPr>
                        </w:pPr>
                        <w:r>
                          <w:rPr>
                            <w:b/>
                            <w:iCs/>
                            <w:sz w:val="20"/>
                          </w:rPr>
                          <w:t>47</w:t>
                        </w:r>
                      </w:p>
                    </w:tc>
                    <w:tc>
                      <w:tcPr>
                        <w:tcW w:w="1272" w:type="dxa"/>
                        <w:tcBorders>
                          <w:bottom w:val="single" w:sz="4" w:space="0" w:color="auto"/>
                        </w:tcBorders>
                        <w:vAlign w:val="center"/>
                      </w:tcPr>
                      <w:p>
                        <w:pPr>
                          <w:jc w:val="center"/>
                          <w:rPr>
                            <w:b/>
                            <w:iCs/>
                            <w:sz w:val="20"/>
                          </w:rPr>
                        </w:pPr>
                        <w:r>
                          <w:rPr>
                            <w:b/>
                            <w:iCs/>
                            <w:sz w:val="20"/>
                          </w:rPr>
                          <w:t>58</w:t>
                        </w:r>
                      </w:p>
                    </w:tc>
                  </w:tr>
                </w:tbl>
                <w:p>
                  <w:pPr>
                    <w:tabs>
                      <w:tab w:val="left" w:pos="993"/>
                    </w:tabs>
                    <w:rPr>
                      <w:color w:val="000000"/>
                      <w:szCs w:val="24"/>
                      <w:lang w:eastAsia="lt-LT"/>
                    </w:rPr>
                  </w:pPr>
                </w:p>
                <w:p>
                  <w:pPr>
                    <w:shd w:val="clear" w:color="auto" w:fill="FFFFFF"/>
                    <w:tabs>
                      <w:tab w:val="left" w:pos="993"/>
                    </w:tabs>
                    <w:spacing w:line="276" w:lineRule="auto"/>
                    <w:ind w:left="851"/>
                    <w:jc w:val="both"/>
                    <w:rPr>
                      <w:szCs w:val="24"/>
                    </w:rPr>
                  </w:pPr>
                  <w:r>
                    <w:rPr>
                      <w:szCs w:val="24"/>
                    </w:rPr>
                    <w:t xml:space="preserve">Telšių socialinių paslaugų centras vienu iš uždavinių 2016 m. kelia siekį didinti socialinių </w:t>
                  </w:r>
                </w:p>
                <w:p>
                  <w:pPr>
                    <w:shd w:val="clear" w:color="auto" w:fill="FFFFFF"/>
                    <w:tabs>
                      <w:tab w:val="left" w:pos="993"/>
                    </w:tabs>
                    <w:spacing w:line="276" w:lineRule="auto"/>
                    <w:jc w:val="both"/>
                    <w:rPr>
                      <w:szCs w:val="24"/>
                    </w:rPr>
                  </w:pPr>
                  <w:r>
                    <w:rPr>
                      <w:szCs w:val="24"/>
                    </w:rPr>
                    <w:t xml:space="preserve">darbuotojų kvalifikaciją, skirdamas tam lėšų iš įstaigos asignavimų. </w:t>
                  </w:r>
                </w:p>
                <w:p>
                  <w:pPr>
                    <w:shd w:val="clear" w:color="auto" w:fill="FFFFFF"/>
                    <w:tabs>
                      <w:tab w:val="left" w:pos="851"/>
                    </w:tabs>
                    <w:spacing w:line="276" w:lineRule="auto"/>
                    <w:ind w:firstLine="851"/>
                    <w:jc w:val="both"/>
                    <w:rPr>
                      <w:szCs w:val="24"/>
                    </w:rPr>
                  </w:pPr>
                  <w:r>
                    <w:rPr>
                      <w:szCs w:val="24"/>
                    </w:rPr>
                    <w:t xml:space="preserve">Telšių rajono senelių globos namai planuoja, kad  2017 m.  kvalifikaciją kels 27 įstaigos darbuotojai, iš jų 24 socialinių paslaugų srities darbuotojai. Tam numatyta skirti 1000,00 eurų iš įstaigos pajamų ir 600,00 eurų iš dotacijų asmenims su visiška negalia.</w:t>
                  </w:r>
                </w:p>
                <w:p>
                  <w:pPr>
                    <w:shd w:val="clear" w:color="auto" w:fill="FFFFFF"/>
                    <w:tabs>
                      <w:tab w:val="left" w:pos="993"/>
                    </w:tabs>
                    <w:spacing w:line="276" w:lineRule="auto"/>
                    <w:ind w:left="720"/>
                    <w:rPr>
                      <w:szCs w:val="24"/>
                    </w:rPr>
                  </w:pPr>
                </w:p>
              </w:sdtContent>
            </w:sdt>
            <w:sdt>
              <w:sdtPr>
                <w:alias w:val="8 p."/>
                <w:tag w:val="part_37e751226e684b51911b029561c2f55b"/>
                <w:lock w:val="sdtLocked"/>
                <w:richText/>
              </w:sdtPr>
              <w:sdtContent>
                <w:p>
                  <w:pPr>
                    <w:tabs>
                      <w:tab w:val="left" w:pos="993"/>
                    </w:tabs>
                    <w:ind w:left="540" w:firstLine="27"/>
                    <w:rPr>
                      <w:color w:val="000000"/>
                      <w:szCs w:val="24"/>
                      <w:lang w:eastAsia="lt-LT"/>
                    </w:rPr>
                  </w:pPr>
                  <w:sdt>
                    <w:sdtPr>
                      <w:alias w:val="Numeris"/>
                      <w:tag w:val="nr_37e751226e684b51911b029561c2f55b"/>
                      <w:lock w:val="sdtLocked"/>
                      <w:richText/>
                    </w:sdtPr>
                    <w:sdtContent>
                      <w:r>
                        <w:rPr>
                          <w:b/>
                          <w:color w:val="000000"/>
                          <w:szCs w:val="24"/>
                          <w:lang w:eastAsia="lt-LT"/>
                        </w:rPr>
                        <w:t>8</w:t>
                      </w:r>
                    </w:sdtContent>
                  </w:sdt>
                  <w:r>
                    <w:rPr>
                      <w:b/>
                      <w:color w:val="000000"/>
                      <w:szCs w:val="24"/>
                      <w:lang w:eastAsia="lt-LT"/>
                    </w:rPr>
                    <w:t>.</w:t>
                    <w:tab/>
                  </w:r>
                  <w:r>
                    <w:rPr>
                      <w:b/>
                      <w:bCs/>
                      <w:color w:val="000000"/>
                      <w:szCs w:val="24"/>
                      <w:lang w:eastAsia="lt-LT"/>
                    </w:rPr>
                    <w:t xml:space="preserve">Ankstesnių metų socialinių paslaugų plano įgyvendinimo rezultatų trumpa apžvalga </w:t>
                  </w:r>
                </w:p>
                <w:p>
                  <w:pPr>
                    <w:tabs>
                      <w:tab w:val="left" w:pos="993"/>
                    </w:tabs>
                    <w:ind w:left="567"/>
                    <w:rPr>
                      <w:color w:val="000000"/>
                      <w:szCs w:val="24"/>
                      <w:lang w:eastAsia="lt-LT"/>
                    </w:rPr>
                  </w:pPr>
                </w:p>
                <w:p>
                  <w:pPr>
                    <w:ind w:firstLine="851"/>
                    <w:jc w:val="both"/>
                    <w:rPr>
                      <w:szCs w:val="24"/>
                    </w:rPr>
                  </w:pPr>
                  <w:r>
                    <w:rPr>
                      <w:szCs w:val="24"/>
                    </w:rPr>
                    <w:t xml:space="preserve">Detali informacija apie Socialinių paslaugų 2016 m. plano įvykdymą pateikta priede. Plano 4 tiksluose iškelta 11 uždavinių, kuriais vadovaujantis suplanuota įvykdyti 18 priemonių. Visiškai įgyvendintos 5 priemonės, iš dalies įgyvendinta 10 priemonių, neįgyvendintos 3. Planą pavyko įgyvendinti tik iš dalies dėl subjektyvių ir objektyvių priežasčių. </w:t>
                  </w:r>
                </w:p>
                <w:p>
                  <w:pPr>
                    <w:ind w:firstLine="851"/>
                    <w:jc w:val="both"/>
                    <w:rPr>
                      <w:sz w:val="23"/>
                      <w:szCs w:val="23"/>
                    </w:rPr>
                  </w:pPr>
                  <w:r>
                    <w:rPr>
                      <w:sz w:val="23"/>
                      <w:szCs w:val="23"/>
                    </w:rPr>
                    <w:t>Savivaldybės praėjusių metų socialinių paslaugų plano priemonių įgyvendinimo ataskaitoje faktiškai įvykdytų priemonių rodikliai (paslaugų gavėjų skaičius, panaudoti asignavimai) lyginami su planuotais rodikliais, nustatytu socialinių paslaugų poreikiu. Teikiamų socialinių paslaugų efektyvumas vertinamas pagal socialinių paslaugų efektyvumo vertinimo kriterijus, patvirtintus Socialinės apsaugos ir darbo ministro 2007 m. balandžio 12 d. įsakymu Nr. A1-104 „Dėl Socialinių paslaugų plano formos ir Socialinių paslaugų efektyvumo vertinimo kriterijų patvirtinimo“, ir pateikiamas žemiau lentelėje. Ši informacija naudojama rengiant tolesnių metų socialinių paslaugų planus, koreguojant socialinių paslaugų teikimo tikslus, uždavinius bei priemones.</w:t>
                  </w:r>
                </w:p>
                <w:p>
                  <w:pPr>
                    <w:rPr>
                      <w:sz w:val="23"/>
                      <w:szCs w:val="23"/>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2"/>
                    <w:gridCol w:w="7665"/>
                    <w:gridCol w:w="1646"/>
                  </w:tblGrid>
                  <w:tr>
                    <w:trPr>
                      <w:trHeight w:val="553"/>
                    </w:trPr>
                    <w:tc>
                      <w:tcPr>
                        <w:tcW w:w="542" w:type="dxa"/>
                        <w:shd w:val="clear" w:color="auto" w:fill="auto"/>
                        <w:vAlign w:val="center"/>
                      </w:tcPr>
                      <w:p>
                        <w:pPr>
                          <w:jc w:val="center"/>
                          <w:rPr>
                            <w:sz w:val="23"/>
                            <w:szCs w:val="23"/>
                          </w:rPr>
                        </w:pPr>
                        <w:r>
                          <w:rPr>
                            <w:sz w:val="23"/>
                            <w:szCs w:val="23"/>
                          </w:rPr>
                          <w:t>Eil.</w:t>
                        </w:r>
                      </w:p>
                      <w:p>
                        <w:pPr>
                          <w:jc w:val="center"/>
                          <w:rPr>
                            <w:sz w:val="23"/>
                            <w:szCs w:val="23"/>
                          </w:rPr>
                        </w:pPr>
                        <w:r>
                          <w:rPr>
                            <w:sz w:val="23"/>
                            <w:szCs w:val="23"/>
                          </w:rPr>
                          <w:t>Nr.</w:t>
                        </w:r>
                      </w:p>
                      <w:p>
                        <w:pPr>
                          <w:jc w:val="center"/>
                          <w:rPr>
                            <w:sz w:val="23"/>
                            <w:szCs w:val="23"/>
                          </w:rPr>
                        </w:pPr>
                      </w:p>
                    </w:tc>
                    <w:tc>
                      <w:tcPr>
                        <w:tcW w:w="7666" w:type="dxa"/>
                        <w:shd w:val="clear" w:color="auto" w:fill="auto"/>
                        <w:vAlign w:val="center"/>
                      </w:tcPr>
                      <w:p>
                        <w:pPr>
                          <w:jc w:val="center"/>
                          <w:rPr>
                            <w:sz w:val="22"/>
                            <w:szCs w:val="22"/>
                            <w:lang w:eastAsia="lt-LT"/>
                          </w:rPr>
                        </w:pPr>
                        <w:r>
                          <w:rPr>
                            <w:b/>
                            <w:bCs/>
                            <w:sz w:val="22"/>
                            <w:szCs w:val="22"/>
                            <w:lang w:eastAsia="lt-LT"/>
                          </w:rPr>
                          <w:t>Socialinių paslaugų efektyvumo vertinimo kriterijai</w:t>
                        </w:r>
                      </w:p>
                    </w:tc>
                    <w:tc>
                      <w:tcPr>
                        <w:tcW w:w="1646" w:type="dxa"/>
                        <w:shd w:val="clear" w:color="auto" w:fill="auto"/>
                        <w:vAlign w:val="center"/>
                      </w:tcPr>
                      <w:p>
                        <w:pPr>
                          <w:jc w:val="center"/>
                          <w:rPr>
                            <w:sz w:val="22"/>
                            <w:szCs w:val="22"/>
                            <w:lang w:eastAsia="lt-LT"/>
                          </w:rPr>
                        </w:pPr>
                        <w:r>
                          <w:rPr>
                            <w:b/>
                            <w:bCs/>
                            <w:sz w:val="22"/>
                            <w:szCs w:val="22"/>
                            <w:lang w:eastAsia="lt-LT"/>
                          </w:rPr>
                          <w:t>Vertinimo</w:t>
                        </w:r>
                      </w:p>
                      <w:p>
                        <w:pPr>
                          <w:jc w:val="center"/>
                          <w:rPr>
                            <w:sz w:val="23"/>
                            <w:szCs w:val="23"/>
                          </w:rPr>
                        </w:pPr>
                        <w:r>
                          <w:rPr>
                            <w:b/>
                            <w:bCs/>
                            <w:sz w:val="22"/>
                            <w:szCs w:val="22"/>
                          </w:rPr>
                          <w:t>rodiklis</w:t>
                        </w:r>
                      </w:p>
                    </w:tc>
                  </w:tr>
                  <w:tr>
                    <w:tc>
                      <w:tcPr>
                        <w:tcW w:w="542" w:type="dxa"/>
                        <w:shd w:val="clear" w:color="auto" w:fill="auto"/>
                        <w:vAlign w:val="center"/>
                      </w:tcPr>
                      <w:p>
                        <w:pPr>
                          <w:jc w:val="center"/>
                          <w:rPr>
                            <w:sz w:val="23"/>
                            <w:szCs w:val="23"/>
                          </w:rPr>
                        </w:pPr>
                        <w:r>
                          <w:rPr>
                            <w:sz w:val="23"/>
                            <w:szCs w:val="23"/>
                          </w:rPr>
                          <w:t>1.</w:t>
                        </w:r>
                      </w:p>
                    </w:tc>
                    <w:tc>
                      <w:tcPr>
                        <w:tcW w:w="7666" w:type="dxa"/>
                        <w:shd w:val="clear" w:color="auto" w:fill="auto"/>
                      </w:tcPr>
                      <w:p>
                        <w:pPr>
                          <w:rPr>
                            <w:sz w:val="23"/>
                            <w:szCs w:val="23"/>
                          </w:rPr>
                        </w:pPr>
                        <w:r>
                          <w:rPr>
                            <w:sz w:val="22"/>
                            <w:szCs w:val="22"/>
                          </w:rPr>
                          <w:t>Savivaldybės biudžeto išlaidos per metus socialinėms paslaugoms, tenkančios vienam savivaldybės gyventojui</w:t>
                        </w:r>
                      </w:p>
                    </w:tc>
                    <w:tc>
                      <w:tcPr>
                        <w:tcW w:w="1646" w:type="dxa"/>
                        <w:shd w:val="clear" w:color="auto" w:fill="auto"/>
                        <w:vAlign w:val="center"/>
                      </w:tcPr>
                      <w:p>
                        <w:pPr>
                          <w:jc w:val="center"/>
                          <w:rPr>
                            <w:sz w:val="23"/>
                            <w:szCs w:val="23"/>
                          </w:rPr>
                        </w:pPr>
                        <w:r>
                          <w:rPr>
                            <w:sz w:val="23"/>
                            <w:szCs w:val="23"/>
                          </w:rPr>
                          <w:t>33,08 Eur</w:t>
                        </w:r>
                      </w:p>
                    </w:tc>
                  </w:tr>
                  <w:tr>
                    <w:tc>
                      <w:tcPr>
                        <w:tcW w:w="542" w:type="dxa"/>
                        <w:shd w:val="clear" w:color="auto" w:fill="auto"/>
                        <w:vAlign w:val="center"/>
                      </w:tcPr>
                      <w:p>
                        <w:pPr>
                          <w:jc w:val="center"/>
                          <w:rPr>
                            <w:sz w:val="23"/>
                            <w:szCs w:val="23"/>
                          </w:rPr>
                        </w:pPr>
                        <w:r>
                          <w:rPr>
                            <w:sz w:val="23"/>
                            <w:szCs w:val="23"/>
                          </w:rPr>
                          <w:t>2.</w:t>
                        </w:r>
                      </w:p>
                    </w:tc>
                    <w:tc>
                      <w:tcPr>
                        <w:tcW w:w="7666" w:type="dxa"/>
                        <w:shd w:val="clear" w:color="auto" w:fill="auto"/>
                      </w:tcPr>
                      <w:p>
                        <w:pPr>
                          <w:rPr>
                            <w:sz w:val="23"/>
                            <w:szCs w:val="23"/>
                          </w:rPr>
                        </w:pPr>
                        <w:r>
                          <w:rPr>
                            <w:sz w:val="22"/>
                            <w:szCs w:val="22"/>
                          </w:rPr>
                          <w:t>Valstybės skirtų dotacijų santykis su savivaldybės biudžeto lėšomis, skiriamomis socialinėms paslaugoms</w:t>
                        </w:r>
                      </w:p>
                    </w:tc>
                    <w:tc>
                      <w:tcPr>
                        <w:tcW w:w="1646" w:type="dxa"/>
                        <w:shd w:val="clear" w:color="auto" w:fill="auto"/>
                        <w:vAlign w:val="center"/>
                      </w:tcPr>
                      <w:p>
                        <w:pPr>
                          <w:jc w:val="center"/>
                          <w:rPr>
                            <w:sz w:val="23"/>
                            <w:szCs w:val="23"/>
                          </w:rPr>
                        </w:pPr>
                        <w:r>
                          <w:rPr>
                            <w:sz w:val="23"/>
                            <w:szCs w:val="23"/>
                          </w:rPr>
                          <w:t>62,9 proc.</w:t>
                        </w:r>
                      </w:p>
                    </w:tc>
                  </w:tr>
                  <w:tr>
                    <w:tc>
                      <w:tcPr>
                        <w:tcW w:w="542" w:type="dxa"/>
                        <w:shd w:val="clear" w:color="auto" w:fill="auto"/>
                        <w:vAlign w:val="center"/>
                      </w:tcPr>
                      <w:p>
                        <w:pPr>
                          <w:jc w:val="center"/>
                          <w:rPr>
                            <w:sz w:val="23"/>
                            <w:szCs w:val="23"/>
                          </w:rPr>
                        </w:pPr>
                        <w:r>
                          <w:rPr>
                            <w:sz w:val="23"/>
                            <w:szCs w:val="23"/>
                          </w:rPr>
                          <w:t>3.</w:t>
                        </w:r>
                      </w:p>
                    </w:tc>
                    <w:tc>
                      <w:tcPr>
                        <w:tcW w:w="7666" w:type="dxa"/>
                        <w:shd w:val="clear" w:color="auto" w:fill="auto"/>
                        <w:vAlign w:val="center"/>
                      </w:tcPr>
                      <w:p>
                        <w:pPr>
                          <w:rPr>
                            <w:sz w:val="23"/>
                            <w:szCs w:val="23"/>
                          </w:rPr>
                        </w:pPr>
                        <w:r>
                          <w:rPr>
                            <w:sz w:val="22"/>
                            <w:szCs w:val="22"/>
                          </w:rPr>
                          <w:t>Vietų skaičiaus stacionariose socialinių paslaugų įstaigose santykis su vietų skaičiumi (maksimaliu lankytojų skaičiumi per dieną) nestacionariose socialinių paslaugų įstaigose (laikino gyvenimo namuose, dienos socialinės globos centruose, savarankiško gyvenimo namuose, socialinės priežiūros centruose)</w:t>
                        </w:r>
                      </w:p>
                    </w:tc>
                    <w:tc>
                      <w:tcPr>
                        <w:tcW w:w="1646" w:type="dxa"/>
                        <w:shd w:val="clear" w:color="auto" w:fill="auto"/>
                        <w:vAlign w:val="center"/>
                      </w:tcPr>
                      <w:p>
                        <w:pPr>
                          <w:jc w:val="center"/>
                          <w:rPr>
                            <w:sz w:val="23"/>
                            <w:szCs w:val="23"/>
                          </w:rPr>
                        </w:pPr>
                        <w:r>
                          <w:rPr>
                            <w:sz w:val="23"/>
                            <w:szCs w:val="23"/>
                          </w:rPr>
                          <w:t>0,4</w:t>
                        </w:r>
                      </w:p>
                    </w:tc>
                  </w:tr>
                  <w:tr>
                    <w:tc>
                      <w:tcPr>
                        <w:tcW w:w="542" w:type="dxa"/>
                        <w:shd w:val="clear" w:color="auto" w:fill="auto"/>
                        <w:vAlign w:val="center"/>
                      </w:tcPr>
                      <w:p>
                        <w:pPr>
                          <w:jc w:val="center"/>
                          <w:rPr>
                            <w:sz w:val="23"/>
                            <w:szCs w:val="23"/>
                          </w:rPr>
                        </w:pPr>
                        <w:r>
                          <w:rPr>
                            <w:sz w:val="23"/>
                            <w:szCs w:val="23"/>
                          </w:rPr>
                          <w:t>4.</w:t>
                        </w:r>
                      </w:p>
                    </w:tc>
                    <w:tc>
                      <w:tcPr>
                        <w:tcW w:w="7666" w:type="dxa"/>
                        <w:shd w:val="clear" w:color="auto" w:fill="auto"/>
                      </w:tcPr>
                      <w:p>
                        <w:pPr>
                          <w:rPr>
                            <w:sz w:val="23"/>
                            <w:szCs w:val="23"/>
                          </w:rPr>
                        </w:pPr>
                        <w:r>
                          <w:rPr>
                            <w:sz w:val="22"/>
                            <w:szCs w:val="22"/>
                          </w:rPr>
                          <w:t>Socialinių paslaugų (įskaitant bendrąsias socialines paslaugas) gavėjų skaičiaus santykis su bendru savivaldybės gyventojų skaičiumi</w:t>
                        </w:r>
                      </w:p>
                    </w:tc>
                    <w:tc>
                      <w:tcPr>
                        <w:tcW w:w="1646" w:type="dxa"/>
                        <w:shd w:val="clear" w:color="auto" w:fill="auto"/>
                        <w:vAlign w:val="center"/>
                      </w:tcPr>
                      <w:p>
                        <w:pPr>
                          <w:jc w:val="center"/>
                          <w:rPr>
                            <w:sz w:val="23"/>
                            <w:szCs w:val="23"/>
                          </w:rPr>
                        </w:pPr>
                        <w:r>
                          <w:rPr>
                            <w:sz w:val="23"/>
                            <w:szCs w:val="23"/>
                          </w:rPr>
                          <w:t>10,5 proc.</w:t>
                        </w:r>
                      </w:p>
                    </w:tc>
                  </w:tr>
                  <w:tr>
                    <w:tc>
                      <w:tcPr>
                        <w:tcW w:w="542" w:type="dxa"/>
                        <w:shd w:val="clear" w:color="auto" w:fill="auto"/>
                        <w:vAlign w:val="center"/>
                      </w:tcPr>
                      <w:p>
                        <w:pPr>
                          <w:jc w:val="center"/>
                          <w:rPr>
                            <w:sz w:val="23"/>
                            <w:szCs w:val="23"/>
                          </w:rPr>
                        </w:pPr>
                        <w:r>
                          <w:rPr>
                            <w:sz w:val="23"/>
                            <w:szCs w:val="23"/>
                          </w:rPr>
                          <w:t>5.</w:t>
                        </w:r>
                      </w:p>
                    </w:tc>
                    <w:tc>
                      <w:tcPr>
                        <w:tcW w:w="7666" w:type="dxa"/>
                        <w:shd w:val="clear" w:color="auto" w:fill="auto"/>
                      </w:tcPr>
                      <w:p>
                        <w:pPr>
                          <w:rPr>
                            <w:sz w:val="23"/>
                            <w:szCs w:val="23"/>
                          </w:rPr>
                        </w:pPr>
                        <w:r>
                          <w:rPr>
                            <w:sz w:val="22"/>
                            <w:szCs w:val="22"/>
                          </w:rPr>
                          <w:t>Socialinės globos ir socialinės priežiūros gavėjų skaičiaus santykis su bendru savivaldybės gyventojų skaičiumi</w:t>
                        </w:r>
                      </w:p>
                    </w:tc>
                    <w:tc>
                      <w:tcPr>
                        <w:tcW w:w="1646" w:type="dxa"/>
                        <w:shd w:val="clear" w:color="auto" w:fill="auto"/>
                        <w:vAlign w:val="center"/>
                      </w:tcPr>
                      <w:p>
                        <w:pPr>
                          <w:jc w:val="center"/>
                          <w:rPr>
                            <w:sz w:val="23"/>
                            <w:szCs w:val="23"/>
                          </w:rPr>
                        </w:pPr>
                        <w:r>
                          <w:rPr>
                            <w:sz w:val="23"/>
                            <w:szCs w:val="23"/>
                          </w:rPr>
                          <w:t>4,9 proc.</w:t>
                        </w:r>
                      </w:p>
                    </w:tc>
                  </w:tr>
                  <w:tr>
                    <w:tc>
                      <w:tcPr>
                        <w:tcW w:w="542" w:type="dxa"/>
                        <w:shd w:val="clear" w:color="auto" w:fill="auto"/>
                        <w:vAlign w:val="center"/>
                      </w:tcPr>
                      <w:p>
                        <w:pPr>
                          <w:jc w:val="center"/>
                          <w:rPr>
                            <w:sz w:val="23"/>
                            <w:szCs w:val="23"/>
                          </w:rPr>
                        </w:pPr>
                        <w:r>
                          <w:rPr>
                            <w:sz w:val="23"/>
                            <w:szCs w:val="23"/>
                          </w:rPr>
                          <w:t>6.</w:t>
                        </w:r>
                      </w:p>
                    </w:tc>
                    <w:tc>
                      <w:tcPr>
                        <w:tcW w:w="7666" w:type="dxa"/>
                        <w:shd w:val="clear" w:color="auto" w:fill="auto"/>
                      </w:tcPr>
                      <w:p>
                        <w:pPr>
                          <w:rPr>
                            <w:sz w:val="23"/>
                            <w:szCs w:val="23"/>
                          </w:rPr>
                        </w:pPr>
                        <w:r>
                          <w:rPr>
                            <w:sz w:val="22"/>
                            <w:szCs w:val="22"/>
                          </w:rPr>
                          <w:t>Socialinių paslaugų poreikio patenkinimo procentas (asmenų (šeimų), kuriems patenkintas socialinių paslaugų poreikis, santykis su asmenų (šeimų) skaičiumi, kuriems įvertintas socialinių paslaugų poreikis)</w:t>
                        </w:r>
                      </w:p>
                    </w:tc>
                    <w:tc>
                      <w:tcPr>
                        <w:tcW w:w="1646" w:type="dxa"/>
                        <w:shd w:val="clear" w:color="auto" w:fill="auto"/>
                        <w:vAlign w:val="center"/>
                      </w:tcPr>
                      <w:p>
                        <w:pPr>
                          <w:jc w:val="center"/>
                          <w:rPr>
                            <w:sz w:val="23"/>
                            <w:szCs w:val="23"/>
                          </w:rPr>
                        </w:pPr>
                        <w:r>
                          <w:rPr>
                            <w:sz w:val="23"/>
                            <w:szCs w:val="23"/>
                          </w:rPr>
                          <w:t>88,8 proc.</w:t>
                        </w:r>
                      </w:p>
                    </w:tc>
                  </w:tr>
                </w:tbl>
                <w:p>
                  <w:pPr>
                    <w:rPr>
                      <w:sz w:val="23"/>
                      <w:szCs w:val="23"/>
                    </w:rPr>
                  </w:pPr>
                </w:p>
                <w:p>
                  <w:pPr>
                    <w:rPr>
                      <w:szCs w:val="24"/>
                    </w:rPr>
                  </w:pPr>
                </w:p>
                <w:p>
                  <w:pPr>
                    <w:ind w:firstLine="720"/>
                    <w:jc w:val="center"/>
                    <w:outlineLvl w:val="2"/>
                    <w:rPr>
                      <w:b/>
                      <w:bCs/>
                      <w:iCs/>
                      <w:szCs w:val="24"/>
                    </w:rPr>
                  </w:pPr>
                  <w:r>
                    <w:rPr>
                      <w:b/>
                      <w:bCs/>
                      <w:iCs/>
                      <w:szCs w:val="24"/>
                    </w:rPr>
                    <w:t>III. UŽDAVINIAI IR PRIEMONIŲ PLANAS</w:t>
                  </w:r>
                </w:p>
                <w:p>
                  <w:pPr>
                    <w:rPr>
                      <w:sz w:val="10"/>
                      <w:szCs w:val="10"/>
                    </w:rPr>
                  </w:pPr>
                </w:p>
              </w:sdtContent>
            </w:sdt>
            <w:sdt>
              <w:sdtPr>
                <w:alias w:val="9 p."/>
                <w:tag w:val="part_19d438d0547f4b5ebfebe5b2096f16ff"/>
                <w:lock w:val="sdtLocked"/>
                <w:richText/>
              </w:sdtPr>
              <w:sdtContent>
                <w:p>
                  <w:pPr>
                    <w:ind w:firstLine="720"/>
                    <w:outlineLvl w:val="1"/>
                    <w:rPr>
                      <w:b/>
                      <w:bCs/>
                      <w:szCs w:val="24"/>
                      <w:lang w:eastAsia="lt-LT"/>
                    </w:rPr>
                  </w:pPr>
                  <w:sdt>
                    <w:sdtPr>
                      <w:alias w:val="Numeris"/>
                      <w:tag w:val="nr_19d438d0547f4b5ebfebe5b2096f16ff"/>
                      <w:lock w:val="sdtLocked"/>
                      <w:richText/>
                    </w:sdtPr>
                    <w:sdtContent>
                      <w:r>
                        <w:rPr>
                          <w:b/>
                          <w:bCs/>
                          <w:szCs w:val="24"/>
                          <w:lang w:eastAsia="lt-LT"/>
                        </w:rPr>
                        <w:t>9</w:t>
                      </w:r>
                    </w:sdtContent>
                  </w:sdt>
                  <w:r>
                    <w:rPr>
                      <w:b/>
                      <w:bCs/>
                      <w:szCs w:val="24"/>
                      <w:lang w:eastAsia="lt-LT"/>
                    </w:rPr>
                    <w:t>. Prioritetinės socialinių paslaugų plėtros kryptys</w:t>
                  </w:r>
                </w:p>
                <w:p>
                  <w:pPr>
                    <w:tabs>
                      <w:tab w:val="left" w:pos="709"/>
                    </w:tabs>
                    <w:ind w:firstLine="709"/>
                    <w:jc w:val="both"/>
                    <w:outlineLvl w:val="1"/>
                    <w:rPr>
                      <w:bCs/>
                      <w:szCs w:val="24"/>
                      <w:lang w:eastAsia="lt-LT"/>
                    </w:rPr>
                  </w:pPr>
                </w:p>
                <w:p>
                  <w:pPr>
                    <w:ind w:firstLine="720"/>
                    <w:rPr>
                      <w:szCs w:val="24"/>
                    </w:rPr>
                  </w:pPr>
                  <w:r>
                    <w:rPr>
                      <w:szCs w:val="24"/>
                    </w:rPr>
                    <w:t>Prioritetinės 2017 m. socialinių paslaugų plėtros kryptys:</w:t>
                  </w:r>
                </w:p>
                <w:p>
                  <w:pPr>
                    <w:ind w:firstLine="720"/>
                    <w:rPr>
                      <w:szCs w:val="24"/>
                    </w:rPr>
                  </w:pPr>
                  <w:r>
                    <w:rPr>
                      <w:szCs w:val="24"/>
                    </w:rPr>
                    <w:t xml:space="preserve">–  vykdyti socialinių paslaugų plėtrą ir plėtoti socialinių paslaugų infrastruktūrą;</w:t>
                  </w:r>
                </w:p>
                <w:p>
                  <w:pPr>
                    <w:ind w:left="1080" w:hanging="360"/>
                    <w:jc w:val="both"/>
                    <w:rPr>
                      <w:szCs w:val="24"/>
                    </w:rPr>
                  </w:pPr>
                  <w:r>
                    <w:rPr>
                      <w:szCs w:val="24"/>
                    </w:rPr>
                    <w:t>–</w:t>
                    <w:tab/>
                    <w:t>stiprinti socialinių paslaugų teikimą šeimai ir vaikams;</w:t>
                  </w:r>
                </w:p>
                <w:p>
                  <w:pPr>
                    <w:ind w:left="1080" w:hanging="360"/>
                    <w:jc w:val="both"/>
                    <w:rPr>
                      <w:szCs w:val="24"/>
                    </w:rPr>
                  </w:pPr>
                  <w:r>
                    <w:rPr>
                      <w:szCs w:val="24"/>
                    </w:rPr>
                    <w:t>–</w:t>
                    <w:tab/>
                    <w:t>stiprinti socialinį darbą su socialinės rizikos suaugusiais asmenimis;</w:t>
                  </w:r>
                </w:p>
                <w:p>
                  <w:pPr>
                    <w:ind w:left="1080" w:hanging="360"/>
                    <w:jc w:val="both"/>
                    <w:rPr>
                      <w:szCs w:val="24"/>
                    </w:rPr>
                  </w:pPr>
                  <w:r>
                    <w:rPr>
                      <w:szCs w:val="24"/>
                    </w:rPr>
                    <w:t>–</w:t>
                    <w:tab/>
                    <w:t>nestacionarių bendrųjų socialinių paslaugų plėtra, į jų teikimą įtraukiant NVO ir bendruomenes;</w:t>
                  </w:r>
                </w:p>
                <w:p>
                  <w:pPr>
                    <w:ind w:left="1080" w:hanging="360"/>
                    <w:jc w:val="both"/>
                    <w:rPr>
                      <w:szCs w:val="24"/>
                    </w:rPr>
                  </w:pPr>
                  <w:r>
                    <w:rPr>
                      <w:szCs w:val="24"/>
                    </w:rPr>
                    <w:t>–</w:t>
                    <w:tab/>
                    <w:t>socialinių paslaugų senyvo amžiaus ir neįgaliems asmenims teikimo bendruomenėse inicijavimas.</w:t>
                  </w:r>
                </w:p>
                <w:p>
                  <w:pPr>
                    <w:jc w:val="both"/>
                    <w:outlineLvl w:val="1"/>
                    <w:rPr>
                      <w:szCs w:val="24"/>
                    </w:rPr>
                  </w:pPr>
                </w:p>
                <w:p>
                  <w:pPr>
                    <w:tabs>
                      <w:tab w:val="left" w:pos="810"/>
                    </w:tabs>
                    <w:ind w:left="709"/>
                    <w:jc w:val="center"/>
                    <w:outlineLvl w:val="1"/>
                    <w:rPr>
                      <w:b/>
                      <w:bCs/>
                      <w:color w:val="FF0000"/>
                      <w:szCs w:val="24"/>
                    </w:rPr>
                    <w:sectPr>
                      <w:headerReference w:type="even" r:id="rId21"/>
                      <w:headerReference w:type="default" r:id="rId22"/>
                      <w:footerReference w:type="even" r:id="rId23"/>
                      <w:footerReference w:type="default" r:id="rId24"/>
                      <w:headerReference w:type="first" r:id="rId25"/>
                      <w:footerReference w:type="first" r:id="rId26"/>
                      <w:pgSz w:w="11905" w:h="16837"/>
                      <w:pgMar w:top="1701" w:right="1134" w:bottom="567" w:left="1134" w:header="567" w:footer="1134" w:gutter="0"/>
                      <w:pgNumType w:start="1"/>
                      <w:cols w:space="1296"/>
                      <w:titlePg/>
                      <w:docGrid w:linePitch="360"/>
                    </w:sectPr>
                  </w:pPr>
                  <w:r>
                    <w:rPr>
                      <w:szCs w:val="24"/>
                    </w:rPr>
                    <w:t>__________________________</w:t>
                  </w:r>
                </w:p>
                <w:p>
                  <w:pPr>
                    <w:tabs>
                      <w:tab w:val="center" w:pos="4153"/>
                      <w:tab w:val="right" w:pos="8306"/>
                    </w:tabs>
                    <w:rPr>
                      <w:szCs w:val="24"/>
                      <w:lang w:val="en-GB"/>
                    </w:rPr>
                  </w:pPr>
                </w:p>
              </w:sdtContent>
            </w:sdt>
            <w:sdt>
              <w:sdtPr>
                <w:alias w:val="10 p."/>
                <w:tag w:val="part_c61e0e7476a64250ae167f76e9b2c2bd"/>
                <w:lock w:val="sdtLocked"/>
                <w:richText/>
              </w:sdtPr>
              <w:sdtContent>
                <w:p>
                  <w:pPr>
                    <w:tabs>
                      <w:tab w:val="left" w:pos="1276"/>
                      <w:tab w:val="left" w:pos="1985"/>
                    </w:tabs>
                    <w:ind w:left="709"/>
                    <w:outlineLvl w:val="1"/>
                    <w:rPr>
                      <w:bCs/>
                      <w:color w:val="000000"/>
                      <w:szCs w:val="24"/>
                      <w:lang w:eastAsia="lt-LT"/>
                    </w:rPr>
                  </w:pPr>
                  <w:sdt>
                    <w:sdtPr>
                      <w:alias w:val="Numeris"/>
                      <w:tag w:val="nr_c61e0e7476a64250ae167f76e9b2c2bd"/>
                      <w:lock w:val="sdtLocked"/>
                      <w:richText/>
                    </w:sdtPr>
                    <w:sdtContent>
                      <w:r>
                        <w:rPr>
                          <w:b/>
                          <w:bCs/>
                          <w:color w:val="000000"/>
                          <w:szCs w:val="24"/>
                          <w:lang w:eastAsia="lt-LT"/>
                        </w:rPr>
                        <w:t>10</w:t>
                      </w:r>
                    </w:sdtContent>
                  </w:sdt>
                  <w:r>
                    <w:rPr>
                      <w:b/>
                      <w:bCs/>
                      <w:color w:val="000000"/>
                      <w:szCs w:val="24"/>
                      <w:lang w:eastAsia="lt-LT"/>
                    </w:rPr>
                    <w:t>. Priemonių planas 2017 metams</w:t>
                    <w:tab/>
                    <w:tab/>
                    <w:tab/>
                  </w: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142"/>
                    <w:gridCol w:w="3260"/>
                    <w:gridCol w:w="1984"/>
                    <w:gridCol w:w="3118"/>
                    <w:gridCol w:w="3827"/>
                  </w:tblGrid>
                  <w:tr>
                    <w:trPr>
                      <w:trHeight w:val="208"/>
                    </w:trPr>
                    <w:tc>
                      <w:tcPr>
                        <w:tcW w:w="2518" w:type="dxa"/>
                        <w:gridSpan w:val="2"/>
                        <w:tcBorders>
                          <w:top w:val="single" w:sz="4" w:space="0" w:color="auto"/>
                          <w:left w:val="single" w:sz="4" w:space="0" w:color="auto"/>
                          <w:bottom w:val="single" w:sz="4" w:space="0" w:color="auto"/>
                          <w:right w:val="single" w:sz="4" w:space="0" w:color="auto"/>
                        </w:tcBorders>
                        <w:shd w:val="pct5" w:color="auto" w:fill="auto"/>
                        <w:vAlign w:val="center"/>
                      </w:tcPr>
                      <w:p>
                        <w:pPr>
                          <w:ind w:left="205" w:hanging="205"/>
                          <w:jc w:val="center"/>
                          <w:rPr>
                            <w:b/>
                            <w:color w:val="000000"/>
                            <w:sz w:val="20"/>
                          </w:rPr>
                        </w:pPr>
                      </w:p>
                      <w:p>
                        <w:pPr>
                          <w:ind w:left="205" w:hanging="205"/>
                          <w:jc w:val="center"/>
                          <w:rPr>
                            <w:b/>
                            <w:color w:val="000000"/>
                            <w:sz w:val="20"/>
                          </w:rPr>
                        </w:pPr>
                        <w:r>
                          <w:rPr>
                            <w:b/>
                            <w:color w:val="000000"/>
                            <w:sz w:val="20"/>
                          </w:rPr>
                          <w:t>Uždaviniai</w:t>
                        </w:r>
                      </w:p>
                      <w:p>
                        <w:pPr>
                          <w:ind w:left="205" w:hanging="205"/>
                          <w:jc w:val="center"/>
                          <w:rPr>
                            <w:b/>
                            <w:color w:val="000000"/>
                            <w:sz w:val="20"/>
                          </w:rPr>
                        </w:pPr>
                      </w:p>
                    </w:tc>
                    <w:tc>
                      <w:tcPr>
                        <w:tcW w:w="3260"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b/>
                            <w:color w:val="000000"/>
                            <w:sz w:val="20"/>
                          </w:rPr>
                        </w:pPr>
                        <w:r>
                          <w:rPr>
                            <w:b/>
                            <w:color w:val="000000"/>
                            <w:sz w:val="20"/>
                          </w:rPr>
                          <w:t>Priemonės</w:t>
                        </w:r>
                      </w:p>
                    </w:tc>
                    <w:tc>
                      <w:tcPr>
                        <w:tcW w:w="1984" w:type="dxa"/>
                        <w:tcBorders>
                          <w:top w:val="single" w:sz="4" w:space="0" w:color="auto"/>
                          <w:left w:val="single" w:sz="4" w:space="0" w:color="auto"/>
                          <w:bottom w:val="single" w:sz="4" w:space="0" w:color="auto"/>
                          <w:right w:val="single" w:sz="4" w:space="0" w:color="auto"/>
                        </w:tcBorders>
                        <w:shd w:val="pct5" w:color="auto" w:fill="auto"/>
                        <w:vAlign w:val="center"/>
                      </w:tcPr>
                      <w:p>
                        <w:pPr>
                          <w:ind w:left="-113"/>
                          <w:jc w:val="center"/>
                          <w:rPr>
                            <w:b/>
                            <w:color w:val="000000"/>
                            <w:sz w:val="20"/>
                          </w:rPr>
                        </w:pPr>
                        <w:r>
                          <w:rPr>
                            <w:b/>
                            <w:color w:val="000000"/>
                            <w:sz w:val="20"/>
                          </w:rPr>
                          <w:t>Lėšos,</w:t>
                        </w:r>
                      </w:p>
                      <w:p>
                        <w:pPr>
                          <w:ind w:left="-113"/>
                          <w:jc w:val="center"/>
                          <w:rPr>
                            <w:b/>
                            <w:color w:val="000000"/>
                            <w:sz w:val="20"/>
                          </w:rPr>
                        </w:pPr>
                        <w:r>
                          <w:rPr>
                            <w:b/>
                            <w:color w:val="000000"/>
                            <w:sz w:val="20"/>
                          </w:rPr>
                          <w:t xml:space="preserve">finansavimo šaltiniai </w:t>
                        </w:r>
                      </w:p>
                    </w:tc>
                    <w:tc>
                      <w:tcPr>
                        <w:tcW w:w="3118"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b/>
                            <w:color w:val="000000"/>
                            <w:sz w:val="20"/>
                          </w:rPr>
                        </w:pPr>
                        <w:r>
                          <w:rPr>
                            <w:b/>
                            <w:color w:val="000000"/>
                            <w:sz w:val="20"/>
                          </w:rPr>
                          <w:t>Atsakingi vykdytojai</w:t>
                        </w:r>
                      </w:p>
                    </w:tc>
                    <w:tc>
                      <w:tcPr>
                        <w:tcW w:w="3827"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b/>
                            <w:color w:val="000000"/>
                            <w:sz w:val="20"/>
                          </w:rPr>
                        </w:pPr>
                        <w:r>
                          <w:rPr>
                            <w:b/>
                            <w:color w:val="000000"/>
                            <w:sz w:val="20"/>
                          </w:rPr>
                          <w:t>Laukiamas rezultatas</w:t>
                        </w:r>
                      </w:p>
                    </w:tc>
                  </w:tr>
                  <w:tr>
                    <w:trPr>
                      <w:trHeight w:val="321"/>
                    </w:trPr>
                    <w:tc>
                      <w:tcPr>
                        <w:tcW w:w="14707" w:type="dxa"/>
                        <w:gridSpan w:val="6"/>
                        <w:tcBorders>
                          <w:top w:val="single" w:sz="4" w:space="0" w:color="auto"/>
                          <w:left w:val="single" w:sz="4" w:space="0" w:color="auto"/>
                          <w:bottom w:val="single" w:sz="4" w:space="0" w:color="auto"/>
                          <w:right w:val="single" w:sz="4" w:space="0" w:color="auto"/>
                        </w:tcBorders>
                        <w:vAlign w:val="center"/>
                      </w:tcPr>
                      <w:p>
                        <w:pPr>
                          <w:rPr>
                            <w:b/>
                            <w:color w:val="000000"/>
                            <w:sz w:val="20"/>
                          </w:rPr>
                        </w:pPr>
                        <w:r>
                          <w:rPr>
                            <w:b/>
                            <w:color w:val="000000"/>
                            <w:sz w:val="20"/>
                          </w:rPr>
                          <w:t>1 tikslas. Vykdyti socialinių paslaugų infrastruktūros plėtrą</w:t>
                        </w:r>
                      </w:p>
                    </w:tc>
                  </w:tr>
                  <w:tr>
                    <w:trPr>
                      <w:trHeight w:val="208"/>
                    </w:trPr>
                    <w:tc>
                      <w:tcPr>
                        <w:tcW w:w="2518" w:type="dxa"/>
                        <w:gridSpan w:val="2"/>
                        <w:tcBorders>
                          <w:top w:val="single" w:sz="4" w:space="0" w:color="auto"/>
                          <w:left w:val="single" w:sz="4" w:space="0" w:color="auto"/>
                          <w:bottom w:val="single" w:sz="4" w:space="0" w:color="auto"/>
                          <w:right w:val="single" w:sz="4" w:space="0" w:color="auto"/>
                        </w:tcBorders>
                        <w:vAlign w:val="center"/>
                      </w:tcPr>
                      <w:p>
                        <w:pPr>
                          <w:rPr>
                            <w:b/>
                            <w:color w:val="000000"/>
                            <w:sz w:val="20"/>
                          </w:rPr>
                        </w:pPr>
                        <w:r>
                          <w:rPr>
                            <w:b/>
                            <w:color w:val="000000"/>
                            <w:sz w:val="20"/>
                          </w:rPr>
                          <w:t>Išanalizuoti socialinių paslaugų infrastruktūrą ir galimos plėtros poreikį bei galimybes</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Atlikti socialinių paslaugų infrastruktūros analizę ir nustatyti plėtros poreikį bei galimybes pagal atskiras gavėjų grupes</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Socialinės paramos ir rūpybos skyrius</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Atlikta situacijos ir plėtros galimybių analizė</w:t>
                        </w:r>
                      </w:p>
                    </w:tc>
                  </w:tr>
                  <w:tr>
                    <w:trPr>
                      <w:trHeight w:val="208"/>
                    </w:trPr>
                    <w:tc>
                      <w:tcPr>
                        <w:tcW w:w="2518" w:type="dxa"/>
                        <w:gridSpan w:val="2"/>
                        <w:tcBorders>
                          <w:top w:val="single" w:sz="4" w:space="0" w:color="auto"/>
                          <w:left w:val="single" w:sz="4" w:space="0" w:color="auto"/>
                          <w:bottom w:val="single" w:sz="4" w:space="0" w:color="auto"/>
                          <w:right w:val="single" w:sz="4" w:space="0" w:color="auto"/>
                        </w:tcBorders>
                        <w:vAlign w:val="center"/>
                      </w:tcPr>
                      <w:p>
                        <w:pPr>
                          <w:rPr>
                            <w:b/>
                            <w:color w:val="000000"/>
                            <w:sz w:val="20"/>
                          </w:rPr>
                        </w:pPr>
                        <w:r>
                          <w:rPr>
                            <w:b/>
                            <w:color w:val="000000"/>
                            <w:sz w:val="20"/>
                          </w:rPr>
                          <w:t>Vykdyti dienos centrų plėtrą</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Patvirtinti dienos centrų veiklos plėtros programą ir pradėti įgyvendinti ją</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30,0 tūkst. Eur (SB)</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Socialinės paramos ir rūpybos skyrius, NVO, bendruomenės</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Patvirtinta Dienos centrų programa.</w:t>
                        </w:r>
                      </w:p>
                      <w:p>
                        <w:pPr>
                          <w:rPr>
                            <w:color w:val="000000"/>
                            <w:sz w:val="20"/>
                          </w:rPr>
                        </w:pPr>
                        <w:r>
                          <w:rPr>
                            <w:color w:val="000000"/>
                            <w:sz w:val="20"/>
                          </w:rPr>
                          <w:t>Paskelbtas dienos centrų veiklos projektų konkursas. Įgalintas 1 dienos centras.</w:t>
                        </w:r>
                      </w:p>
                      <w:p>
                        <w:pPr>
                          <w:rPr>
                            <w:color w:val="000000"/>
                            <w:sz w:val="20"/>
                          </w:rPr>
                        </w:pPr>
                        <w:r>
                          <w:rPr>
                            <w:color w:val="000000"/>
                            <w:sz w:val="20"/>
                          </w:rPr>
                          <w:t xml:space="preserve">Veikiančiuose dienos centruose suteikta paslaugų iki 200 asmenų. </w:t>
                        </w:r>
                      </w:p>
                    </w:tc>
                  </w:tr>
                  <w:tr>
                    <w:trPr>
                      <w:trHeight w:val="208"/>
                    </w:trPr>
                    <w:tc>
                      <w:tcPr>
                        <w:tcW w:w="2518" w:type="dxa"/>
                        <w:gridSpan w:val="2"/>
                        <w:vMerge w:val="restart"/>
                        <w:tcBorders>
                          <w:top w:val="single" w:sz="4" w:space="0" w:color="auto"/>
                          <w:left w:val="single" w:sz="4" w:space="0" w:color="auto"/>
                          <w:right w:val="single" w:sz="4" w:space="0" w:color="auto"/>
                        </w:tcBorders>
                        <w:vAlign w:val="center"/>
                      </w:tcPr>
                      <w:p>
                        <w:pPr>
                          <w:tabs>
                            <w:tab w:val="left" w:pos="248"/>
                          </w:tabs>
                          <w:rPr>
                            <w:b/>
                            <w:color w:val="000000"/>
                            <w:sz w:val="20"/>
                          </w:rPr>
                        </w:pPr>
                        <w:r>
                          <w:rPr>
                            <w:b/>
                            <w:color w:val="000000"/>
                            <w:sz w:val="20"/>
                          </w:rPr>
                          <w:t>Plėtoti socialines paslaugas asmenims su proto negalia</w:t>
                        </w:r>
                      </w:p>
                      <w:p>
                        <w:pPr>
                          <w:ind w:left="205" w:hanging="205"/>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Parengti  Telšių „Vilties“ mokyklos ugdymo įstaigos pertvarkymo į socialinių paslaugų įstaigą priemonių planą </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strike/>
                            <w:color w:val="000000"/>
                            <w:sz w:val="20"/>
                          </w:rPr>
                        </w:pP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Socialinės paramos ir rūpybos skyrius, Telšių „Vilties“ mokykla ir jos bendruomenės nariai  </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Parengti ir pateikti siūlymai, pradėtas pertvarkymo procesas. </w:t>
                        </w:r>
                      </w:p>
                    </w:tc>
                  </w:tr>
                  <w:tr>
                    <w:trPr>
                      <w:trHeight w:val="208"/>
                    </w:trPr>
                    <w:tc>
                      <w:tcPr>
                        <w:tcW w:w="2518" w:type="dxa"/>
                        <w:gridSpan w:val="2"/>
                        <w:vMerge/>
                        <w:tcBorders>
                          <w:left w:val="single" w:sz="4" w:space="0" w:color="auto"/>
                          <w:right w:val="single" w:sz="4" w:space="0" w:color="auto"/>
                        </w:tcBorders>
                        <w:vAlign w:val="center"/>
                      </w:tcPr>
                      <w:p>
                        <w:pPr>
                          <w:ind w:left="205" w:hanging="205"/>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Organizuoti trumpalaikę socialinę globą institucijoje  </w:t>
                        </w:r>
                      </w:p>
                    </w:tc>
                    <w:tc>
                      <w:tcPr>
                        <w:tcW w:w="1984" w:type="dxa"/>
                        <w:vMerge w:val="restart"/>
                        <w:tcBorders>
                          <w:top w:val="single" w:sz="4" w:space="0" w:color="auto"/>
                          <w:left w:val="single" w:sz="4" w:space="0" w:color="auto"/>
                          <w:right w:val="single" w:sz="4" w:space="0" w:color="auto"/>
                        </w:tcBorders>
                        <w:vAlign w:val="center"/>
                      </w:tcPr>
                      <w:p>
                        <w:pPr>
                          <w:jc w:val="center"/>
                          <w:rPr>
                            <w:color w:val="000000"/>
                            <w:sz w:val="20"/>
                          </w:rPr>
                        </w:pPr>
                        <w:r>
                          <w:rPr>
                            <w:color w:val="000000"/>
                            <w:sz w:val="20"/>
                          </w:rPr>
                          <w:t>77,3 tūkst. Eur (SB), 33,0 tūkst. Eur (VB),</w:t>
                        </w:r>
                      </w:p>
                      <w:p>
                        <w:pPr>
                          <w:jc w:val="center"/>
                          <w:rPr>
                            <w:color w:val="000000"/>
                            <w:sz w:val="20"/>
                          </w:rPr>
                        </w:pPr>
                        <w:r>
                          <w:rPr>
                            <w:color w:val="000000"/>
                            <w:sz w:val="20"/>
                          </w:rPr>
                          <w:t>asmens lėšos</w:t>
                        </w:r>
                      </w:p>
                    </w:tc>
                    <w:tc>
                      <w:tcPr>
                        <w:tcW w:w="3118" w:type="dxa"/>
                        <w:vMerge w:val="restart"/>
                        <w:tcBorders>
                          <w:top w:val="single" w:sz="4" w:space="0" w:color="auto"/>
                          <w:left w:val="single" w:sz="4" w:space="0" w:color="auto"/>
                          <w:right w:val="single" w:sz="4" w:space="0" w:color="auto"/>
                        </w:tcBorders>
                        <w:vAlign w:val="center"/>
                      </w:tcPr>
                      <w:p>
                        <w:pPr>
                          <w:ind w:hanging="17"/>
                          <w:rPr>
                            <w:color w:val="000000"/>
                            <w:sz w:val="20"/>
                          </w:rPr>
                        </w:pPr>
                        <w:r>
                          <w:rPr>
                            <w:color w:val="000000"/>
                            <w:sz w:val="20"/>
                          </w:rPr>
                          <w:t xml:space="preserve">Telšių „Vilties“ mokykla,  Socialinės paramos ir rūpybos skyrius</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Gauta trumpalaikės socialinės globos licencija, pradėta teikti trumpalaikė socialinė globa Telšių „Vilties“ mokyklos Socialinės globos skyriuje. Numatomas paslaugų gavėjų skaičius ─ 30. Iki III ketv.</w:t>
                        </w:r>
                      </w:p>
                    </w:tc>
                  </w:tr>
                  <w:tr>
                    <w:trPr>
                      <w:trHeight w:val="208"/>
                    </w:trPr>
                    <w:tc>
                      <w:tcPr>
                        <w:tcW w:w="2518" w:type="dxa"/>
                        <w:gridSpan w:val="2"/>
                        <w:vMerge/>
                        <w:tcBorders>
                          <w:left w:val="single" w:sz="4" w:space="0" w:color="auto"/>
                          <w:right w:val="single" w:sz="4" w:space="0" w:color="auto"/>
                        </w:tcBorders>
                        <w:vAlign w:val="center"/>
                      </w:tcPr>
                      <w:p>
                        <w:pPr>
                          <w:ind w:left="205" w:hanging="205"/>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Organizuoti atokvėpio paslaugas institucijoje</w:t>
                        </w:r>
                      </w:p>
                    </w:tc>
                    <w:tc>
                      <w:tcPr>
                        <w:tcW w:w="1984" w:type="dxa"/>
                        <w:vMerge/>
                        <w:tcBorders>
                          <w:left w:val="single" w:sz="4" w:space="0" w:color="auto"/>
                          <w:bottom w:val="single" w:sz="4" w:space="0" w:color="auto"/>
                          <w:right w:val="single" w:sz="4" w:space="0" w:color="auto"/>
                        </w:tcBorders>
                        <w:vAlign w:val="center"/>
                      </w:tcPr>
                      <w:p>
                        <w:pPr>
                          <w:rPr>
                            <w:color w:val="000000"/>
                            <w:sz w:val="20"/>
                          </w:rPr>
                        </w:pPr>
                      </w:p>
                    </w:tc>
                    <w:tc>
                      <w:tcPr>
                        <w:tcW w:w="3118" w:type="dxa"/>
                        <w:vMerge/>
                        <w:tcBorders>
                          <w:left w:val="single" w:sz="4" w:space="0" w:color="auto"/>
                          <w:bottom w:val="single" w:sz="4" w:space="0" w:color="auto"/>
                          <w:right w:val="single" w:sz="4" w:space="0" w:color="auto"/>
                        </w:tcBorders>
                        <w:vAlign w:val="center"/>
                      </w:tcPr>
                      <w:p>
                        <w:pPr>
                          <w:ind w:hanging="176"/>
                          <w:jc w:val="center"/>
                          <w:rPr>
                            <w:color w:val="000000"/>
                            <w:sz w:val="20"/>
                          </w:rPr>
                        </w:pP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Pasirengta teikti atokvėpio paslaugas Telšių „Vilties“ mokykloje ir asmenų namuose. Numatomas paslaugų gavėjų skaičius iki 5. </w:t>
                        </w:r>
                      </w:p>
                    </w:tc>
                  </w:tr>
                  <w:tr>
                    <w:trPr>
                      <w:trHeight w:val="208"/>
                    </w:trPr>
                    <w:tc>
                      <w:tcPr>
                        <w:tcW w:w="2518" w:type="dxa"/>
                        <w:gridSpan w:val="2"/>
                        <w:vMerge/>
                        <w:tcBorders>
                          <w:left w:val="single" w:sz="4" w:space="0" w:color="auto"/>
                          <w:bottom w:val="single" w:sz="4" w:space="0" w:color="auto"/>
                          <w:right w:val="single" w:sz="4" w:space="0" w:color="auto"/>
                        </w:tcBorders>
                        <w:vAlign w:val="center"/>
                      </w:tcPr>
                      <w:p>
                        <w:pPr>
                          <w:ind w:left="205" w:hanging="205"/>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Rekonstruoti Telšių „Vilties“ mokyklos patalpas ir  pritaikyti neįgaliųjų poreikiams</w:t>
                        </w:r>
                      </w:p>
                      <w:p>
                        <w:pPr>
                          <w:ind w:firstLine="53"/>
                          <w:rPr>
                            <w:color w:val="000000"/>
                            <w:sz w:val="20"/>
                          </w:rPr>
                        </w:pPr>
                      </w:p>
                    </w:tc>
                    <w:tc>
                      <w:tcPr>
                        <w:tcW w:w="1984"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Projektinės lėšos, </w:t>
                        </w:r>
                      </w:p>
                      <w:p>
                        <w:pPr>
                          <w:rPr>
                            <w:color w:val="000000"/>
                            <w:sz w:val="20"/>
                          </w:rPr>
                        </w:pPr>
                        <w:r>
                          <w:rPr>
                            <w:color w:val="000000"/>
                            <w:sz w:val="20"/>
                          </w:rPr>
                          <w:t>SB, kitos lėšos</w:t>
                        </w:r>
                      </w:p>
                      <w:p>
                        <w:pPr>
                          <w:rPr>
                            <w:color w:val="000000"/>
                            <w:sz w:val="20"/>
                          </w:rPr>
                        </w:pPr>
                      </w:p>
                    </w:tc>
                    <w:tc>
                      <w:tcPr>
                        <w:tcW w:w="3118" w:type="dxa"/>
                        <w:tcBorders>
                          <w:top w:val="single" w:sz="4" w:space="0" w:color="auto"/>
                          <w:left w:val="single" w:sz="4" w:space="0" w:color="auto"/>
                          <w:bottom w:val="single" w:sz="4" w:space="0" w:color="auto"/>
                          <w:right w:val="single" w:sz="4" w:space="0" w:color="auto"/>
                        </w:tcBorders>
                        <w:vAlign w:val="center"/>
                      </w:tcPr>
                      <w:p>
                        <w:pPr>
                          <w:ind w:hanging="70"/>
                          <w:rPr>
                            <w:color w:val="000000"/>
                            <w:sz w:val="20"/>
                          </w:rPr>
                        </w:pPr>
                        <w:r>
                          <w:rPr>
                            <w:color w:val="000000"/>
                            <w:sz w:val="20"/>
                          </w:rPr>
                          <w:t>Socialinės paramos ir rūpybos skyrius, Strateginio planavimo ir investicijų skyrius, Statybos ir urbanistikos skyrius, Telšių „Vilties“ mokykla</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Parengtas priemonių planas dėl grupinių gyvenimo namų įsteigimo 10 asmenų su proto negalia Telšių „Vilties“ mokyklos patalpose. </w:t>
                        </w:r>
                      </w:p>
                    </w:tc>
                  </w:tr>
                  <w:tr>
                    <w:trPr>
                      <w:trHeight w:val="278"/>
                    </w:trPr>
                    <w:tc>
                      <w:tcPr>
                        <w:tcW w:w="2518" w:type="dxa"/>
                        <w:gridSpan w:val="2"/>
                        <w:tcBorders>
                          <w:top w:val="single" w:sz="4" w:space="0" w:color="auto"/>
                          <w:left w:val="single" w:sz="4" w:space="0" w:color="auto"/>
                          <w:bottom w:val="single" w:sz="4" w:space="0" w:color="auto"/>
                          <w:right w:val="single" w:sz="4" w:space="0" w:color="auto"/>
                        </w:tcBorders>
                        <w:vAlign w:val="center"/>
                      </w:tcPr>
                      <w:p>
                        <w:pPr>
                          <w:tabs>
                            <w:tab w:val="left" w:pos="248"/>
                          </w:tabs>
                          <w:rPr>
                            <w:b/>
                            <w:color w:val="000000"/>
                            <w:sz w:val="20"/>
                          </w:rPr>
                        </w:pPr>
                        <w:r>
                          <w:rPr>
                            <w:b/>
                            <w:color w:val="000000"/>
                            <w:sz w:val="20"/>
                          </w:rPr>
                          <w:t>Plėtoti socialines paslaugas vaikams ir šeimoms</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Organizuoti kompleksinės pagalbos teikimą šeimai ir vaikams</w:t>
                        </w:r>
                      </w:p>
                    </w:tc>
                    <w:tc>
                      <w:tcPr>
                        <w:tcW w:w="1984"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Projektinės lėšos, ES –  </w:t>
                        </w:r>
                        <w:r>
                          <w:rPr>
                            <w:rFonts w:cs="Arial"/>
                            <w:i/>
                            <w:color w:val="000000"/>
                            <w:sz w:val="20"/>
                            <w:lang w:eastAsia="lt-LT"/>
                          </w:rPr>
                          <w:t>322,947 tūkst. Eurų</w:t>
                        </w:r>
                      </w:p>
                      <w:p>
                        <w:pPr>
                          <w:rPr>
                            <w:color w:val="000000"/>
                            <w:sz w:val="20"/>
                          </w:rPr>
                        </w:pP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Socialinės paramos ir rūpybos skyrius, Telšių socialinių paslaugų centras, NVO</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Įsteigti Bendruomeniniai šeimos namai Telšių socialinių paslaugų centro Telšių dienos centre. Įsteigta 1,5 darbuotojų etato (1 socialinio darbuotojo, 0,5 psichologo etato) projekto veikloms įgyvendinti. Įgalintos 2 NVO.</w:t>
                        </w:r>
                      </w:p>
                      <w:p>
                        <w:pPr>
                          <w:rPr>
                            <w:color w:val="000000"/>
                            <w:sz w:val="20"/>
                          </w:rPr>
                        </w:pPr>
                        <w:r>
                          <w:rPr>
                            <w:color w:val="000000"/>
                            <w:sz w:val="20"/>
                          </w:rPr>
                          <w:t>Projekto įgyvendinimas teikiant informavimo, pozityvios tėvystės mokymų, psichosocialinės pagalbos, šeimos įgūdžių ugdymo ir sociokultūrines paslaugas. 2017-2020 m. kompleksines paslaugas šeimai gautų 380 asmenų.</w:t>
                        </w:r>
                      </w:p>
                    </w:tc>
                  </w:tr>
                  <w:tr>
                    <w:trPr>
                      <w:trHeight w:val="278"/>
                    </w:trPr>
                    <w:tc>
                      <w:tcPr>
                        <w:tcW w:w="2518" w:type="dxa"/>
                        <w:gridSpan w:val="2"/>
                        <w:tcBorders>
                          <w:top w:val="single" w:sz="4" w:space="0" w:color="auto"/>
                          <w:left w:val="single" w:sz="4" w:space="0" w:color="auto"/>
                          <w:bottom w:val="single" w:sz="4" w:space="0" w:color="auto"/>
                          <w:right w:val="single" w:sz="4" w:space="0" w:color="auto"/>
                        </w:tcBorders>
                        <w:vAlign w:val="center"/>
                      </w:tcPr>
                      <w:p>
                        <w:pPr>
                          <w:tabs>
                            <w:tab w:val="left" w:pos="248"/>
                          </w:tabs>
                          <w:rPr>
                            <w:b/>
                            <w:color w:val="000000"/>
                            <w:sz w:val="20"/>
                          </w:rPr>
                        </w:pPr>
                        <w:r>
                          <w:rPr>
                            <w:b/>
                            <w:color w:val="000000"/>
                            <w:sz w:val="20"/>
                          </w:rPr>
                          <w:t>Plėtoti socialines paslaugas senyvo amžiaus ir neįgaliems asmenims</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Suteikti pagalbą steigiant privačius senelių namus Telšių rajone</w:t>
                        </w:r>
                      </w:p>
                    </w:tc>
                    <w:tc>
                      <w:tcPr>
                        <w:tcW w:w="1984"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Privačios lėšos</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Socialinės paramos ir rūpybos skyrius</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Įkurti privatūs senelių globos namai Telšių rajone.</w:t>
                        </w:r>
                      </w:p>
                    </w:tc>
                  </w:tr>
                  <w:tr>
                    <w:trPr>
                      <w:trHeight w:val="1112"/>
                    </w:trPr>
                    <w:tc>
                      <w:tcPr>
                        <w:tcW w:w="2518" w:type="dxa"/>
                        <w:gridSpan w:val="2"/>
                        <w:vMerge w:val="restart"/>
                        <w:tcBorders>
                          <w:top w:val="single" w:sz="4" w:space="0" w:color="auto"/>
                          <w:left w:val="single" w:sz="4" w:space="0" w:color="auto"/>
                          <w:right w:val="single" w:sz="4" w:space="0" w:color="auto"/>
                        </w:tcBorders>
                        <w:vAlign w:val="center"/>
                      </w:tcPr>
                      <w:p>
                        <w:pPr>
                          <w:tabs>
                            <w:tab w:val="left" w:pos="248"/>
                          </w:tabs>
                          <w:rPr>
                            <w:b/>
                            <w:color w:val="000000"/>
                            <w:sz w:val="20"/>
                          </w:rPr>
                        </w:pPr>
                        <w:r>
                          <w:rPr>
                            <w:b/>
                            <w:color w:val="000000"/>
                            <w:sz w:val="20"/>
                          </w:rPr>
                          <w:t>Plėtoti socialines paslaugas socialinės rizikos asmenims</w:t>
                        </w:r>
                      </w:p>
                    </w:tc>
                    <w:tc>
                      <w:tcPr>
                        <w:tcW w:w="3260" w:type="dxa"/>
                        <w:tcBorders>
                          <w:top w:val="single" w:sz="4" w:space="0" w:color="auto"/>
                          <w:left w:val="single" w:sz="4" w:space="0" w:color="auto"/>
                          <w:bottom w:val="single" w:sz="4" w:space="0" w:color="auto"/>
                          <w:right w:val="single" w:sz="4" w:space="0" w:color="auto"/>
                        </w:tcBorders>
                        <w:vAlign w:val="center"/>
                      </w:tcPr>
                      <w:p>
                        <w:pPr>
                          <w:rPr>
                            <w:strike/>
                            <w:color w:val="000000"/>
                            <w:sz w:val="20"/>
                          </w:rPr>
                        </w:pPr>
                        <w:r>
                          <w:rPr>
                            <w:color w:val="000000"/>
                            <w:sz w:val="20"/>
                          </w:rPr>
                          <w:t xml:space="preserve">Gerinti paslaugų teikimą Telšių nakvynės namuose </w:t>
                        </w:r>
                      </w:p>
                    </w:tc>
                    <w:tc>
                      <w:tcPr>
                        <w:tcW w:w="1984" w:type="dxa"/>
                        <w:tcBorders>
                          <w:top w:val="single" w:sz="4" w:space="0" w:color="auto"/>
                          <w:left w:val="single" w:sz="4" w:space="0" w:color="auto"/>
                          <w:bottom w:val="single" w:sz="4" w:space="0" w:color="auto"/>
                          <w:right w:val="single" w:sz="4" w:space="0" w:color="auto"/>
                        </w:tcBorders>
                        <w:vAlign w:val="center"/>
                      </w:tcPr>
                      <w:p>
                        <w:pPr>
                          <w:tabs>
                            <w:tab w:val="left" w:pos="540"/>
                          </w:tabs>
                          <w:jc w:val="center"/>
                          <w:rPr>
                            <w:strike/>
                            <w:color w:val="000000"/>
                            <w:sz w:val="20"/>
                          </w:rPr>
                        </w:pPr>
                        <w:r>
                          <w:rPr>
                            <w:color w:val="000000"/>
                            <w:sz w:val="20"/>
                          </w:rPr>
                          <w:t>SB remontui 32,0 tūkst. Eur ir baldams 5,3 tūkst. Eur</w:t>
                        </w:r>
                      </w:p>
                    </w:tc>
                    <w:tc>
                      <w:tcPr>
                        <w:tcW w:w="3118" w:type="dxa"/>
                        <w:tcBorders>
                          <w:top w:val="single" w:sz="4" w:space="0" w:color="auto"/>
                          <w:left w:val="single" w:sz="4" w:space="0" w:color="auto"/>
                          <w:bottom w:val="single" w:sz="4" w:space="0" w:color="auto"/>
                          <w:right w:val="single" w:sz="4" w:space="0" w:color="auto"/>
                        </w:tcBorders>
                        <w:vAlign w:val="center"/>
                      </w:tcPr>
                      <w:p>
                        <w:pPr>
                          <w:tabs>
                            <w:tab w:val="left" w:pos="540"/>
                          </w:tabs>
                          <w:ind w:right="-108"/>
                          <w:rPr>
                            <w:strike/>
                            <w:color w:val="000000"/>
                            <w:sz w:val="20"/>
                          </w:rPr>
                        </w:pPr>
                        <w:r>
                          <w:rPr>
                            <w:color w:val="000000"/>
                            <w:sz w:val="20"/>
                          </w:rPr>
                          <w:t xml:space="preserve">Socialinės paramos ir rūpybos skyrius, Telšių socialinių paslaugų centro Nakvynės namai, Statybos ir  urbanistikos skyrius</w:t>
                        </w:r>
                      </w:p>
                    </w:tc>
                    <w:tc>
                      <w:tcPr>
                        <w:tcW w:w="3827" w:type="dxa"/>
                        <w:tcBorders>
                          <w:top w:val="single" w:sz="4" w:space="0" w:color="auto"/>
                          <w:left w:val="single" w:sz="4" w:space="0" w:color="auto"/>
                          <w:bottom w:val="single" w:sz="4" w:space="0" w:color="auto"/>
                          <w:right w:val="single" w:sz="4" w:space="0" w:color="auto"/>
                        </w:tcBorders>
                        <w:vAlign w:val="center"/>
                      </w:tcPr>
                      <w:p>
                        <w:pPr>
                          <w:tabs>
                            <w:tab w:val="left" w:pos="540"/>
                          </w:tabs>
                          <w:rPr>
                            <w:strike/>
                            <w:color w:val="000000"/>
                            <w:sz w:val="20"/>
                          </w:rPr>
                        </w:pPr>
                        <w:r>
                          <w:rPr>
                            <w:color w:val="000000"/>
                            <w:sz w:val="20"/>
                          </w:rPr>
                          <w:t xml:space="preserve">Atliktas Telšių nakvynės namų remontas, padidintas vienos nakties paslaugų vietų skaičius iki 10 vietų. </w:t>
                        </w:r>
                      </w:p>
                    </w:tc>
                  </w:tr>
                  <w:tr>
                    <w:trPr>
                      <w:trHeight w:val="1455"/>
                    </w:trPr>
                    <w:tc>
                      <w:tcPr>
                        <w:tcW w:w="2518" w:type="dxa"/>
                        <w:gridSpan w:val="2"/>
                        <w:vMerge/>
                        <w:tcBorders>
                          <w:left w:val="single" w:sz="4" w:space="0" w:color="auto"/>
                          <w:bottom w:val="single" w:sz="4" w:space="0" w:color="auto"/>
                          <w:right w:val="single" w:sz="4" w:space="0" w:color="auto"/>
                        </w:tcBorders>
                        <w:vAlign w:val="center"/>
                      </w:tcPr>
                      <w:p>
                        <w:pPr>
                          <w:tabs>
                            <w:tab w:val="left" w:pos="248"/>
                          </w:tabs>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Plėtoti socialinių paslaugų infrastruktūrą sprendžiant apgyvendinimo ir socialinės priežiūros problemas</w:t>
                        </w:r>
                      </w:p>
                    </w:tc>
                    <w:tc>
                      <w:tcPr>
                        <w:tcW w:w="1984" w:type="dxa"/>
                        <w:tcBorders>
                          <w:top w:val="single" w:sz="4" w:space="0" w:color="auto"/>
                          <w:left w:val="single" w:sz="4" w:space="0" w:color="auto"/>
                          <w:bottom w:val="single" w:sz="4" w:space="0" w:color="auto"/>
                          <w:right w:val="single" w:sz="4" w:space="0" w:color="auto"/>
                        </w:tcBorders>
                        <w:vAlign w:val="center"/>
                      </w:tcPr>
                      <w:p>
                        <w:pPr>
                          <w:tabs>
                            <w:tab w:val="left" w:pos="540"/>
                          </w:tabs>
                          <w:jc w:val="center"/>
                          <w:rPr>
                            <w:color w:val="000000"/>
                            <w:sz w:val="20"/>
                          </w:rPr>
                        </w:pPr>
                        <w:r>
                          <w:rPr>
                            <w:color w:val="000000"/>
                            <w:sz w:val="20"/>
                          </w:rPr>
                          <w:t>ES lėšos, SB, asmens bei kitos lėšos</w:t>
                        </w:r>
                      </w:p>
                    </w:tc>
                    <w:tc>
                      <w:tcPr>
                        <w:tcW w:w="3118" w:type="dxa"/>
                        <w:tcBorders>
                          <w:top w:val="single" w:sz="4" w:space="0" w:color="auto"/>
                          <w:left w:val="single" w:sz="4" w:space="0" w:color="auto"/>
                          <w:bottom w:val="single" w:sz="4" w:space="0" w:color="auto"/>
                          <w:right w:val="single" w:sz="4" w:space="0" w:color="auto"/>
                        </w:tcBorders>
                        <w:vAlign w:val="center"/>
                      </w:tcPr>
                      <w:p>
                        <w:pPr>
                          <w:tabs>
                            <w:tab w:val="left" w:pos="540"/>
                          </w:tabs>
                          <w:ind w:right="-108"/>
                          <w:rPr>
                            <w:color w:val="000000"/>
                            <w:sz w:val="20"/>
                          </w:rPr>
                        </w:pPr>
                        <w:r>
                          <w:rPr>
                            <w:color w:val="000000"/>
                            <w:sz w:val="20"/>
                          </w:rPr>
                          <w:t xml:space="preserve">Socialinės paramos ir rūpybos skyrius, Strateginio planavimo ir investicijų skyrius, labdaros ir paramos fondai, kitos nevyriausybinės organizacijos </w:t>
                        </w:r>
                      </w:p>
                    </w:tc>
                    <w:tc>
                      <w:tcPr>
                        <w:tcW w:w="3827" w:type="dxa"/>
                        <w:tcBorders>
                          <w:top w:val="single" w:sz="4" w:space="0" w:color="auto"/>
                          <w:left w:val="single" w:sz="4" w:space="0" w:color="auto"/>
                          <w:bottom w:val="single" w:sz="4" w:space="0" w:color="auto"/>
                          <w:right w:val="single" w:sz="4" w:space="0" w:color="auto"/>
                        </w:tcBorders>
                        <w:vAlign w:val="center"/>
                      </w:tcPr>
                      <w:p>
                        <w:pPr>
                          <w:tabs>
                            <w:tab w:val="left" w:pos="540"/>
                          </w:tabs>
                          <w:rPr>
                            <w:color w:val="000000"/>
                            <w:sz w:val="20"/>
                          </w:rPr>
                        </w:pPr>
                        <w:r>
                          <w:rPr>
                            <w:color w:val="000000"/>
                            <w:sz w:val="20"/>
                          </w:rPr>
                          <w:t>Parengtas ir pradėtas įgyvendinti socialinių paslaugų infrastruktūros projektas „Tvarios socialinių paslaugų sistemos kūrimas socialinės rizikos asmenims ir jų šeimos nariams Telšių rajone“;</w:t>
                        </w:r>
                      </w:p>
                      <w:p>
                        <w:pPr>
                          <w:rPr>
                            <w:color w:val="000000"/>
                            <w:sz w:val="20"/>
                          </w:rPr>
                        </w:pPr>
                        <w:r>
                          <w:rPr>
                            <w:color w:val="000000"/>
                            <w:sz w:val="20"/>
                          </w:rPr>
                          <w:t>5 priklausomybe sergantys asmenys nukreipti į psichosocialinės reabilitacijos centrus;</w:t>
                        </w:r>
                      </w:p>
                      <w:p>
                        <w:pPr>
                          <w:rPr>
                            <w:color w:val="000000"/>
                            <w:sz w:val="20"/>
                          </w:rPr>
                        </w:pPr>
                        <w:r>
                          <w:rPr>
                            <w:color w:val="000000"/>
                            <w:sz w:val="20"/>
                          </w:rPr>
                          <w:t>sudarytos 2 daugiašalės bendradarbiavimo sutartys.</w:t>
                        </w:r>
                      </w:p>
                    </w:tc>
                  </w:tr>
                  <w:tr>
                    <w:trPr>
                      <w:trHeight w:val="208"/>
                    </w:trPr>
                    <w:tc>
                      <w:tcPr>
                        <w:tcW w:w="14707" w:type="dxa"/>
                        <w:gridSpan w:val="6"/>
                        <w:tcBorders>
                          <w:top w:val="single" w:sz="4" w:space="0" w:color="auto"/>
                          <w:left w:val="single" w:sz="4" w:space="0" w:color="auto"/>
                          <w:bottom w:val="single" w:sz="4" w:space="0" w:color="auto"/>
                          <w:right w:val="single" w:sz="4" w:space="0" w:color="auto"/>
                        </w:tcBorders>
                        <w:vAlign w:val="center"/>
                      </w:tcPr>
                      <w:p>
                        <w:pPr>
                          <w:rPr>
                            <w:b/>
                            <w:color w:val="000000"/>
                            <w:sz w:val="20"/>
                          </w:rPr>
                        </w:pPr>
                        <w:r>
                          <w:rPr>
                            <w:b/>
                            <w:color w:val="000000"/>
                            <w:sz w:val="20"/>
                          </w:rPr>
                          <w:t>2. tikslas. Stiprinti socialinių paslaugų teikimą šeimai ir vaikams</w:t>
                        </w:r>
                      </w:p>
                    </w:tc>
                  </w:tr>
                  <w:tr>
                    <w:trPr>
                      <w:trHeight w:val="2296"/>
                    </w:trPr>
                    <w:tc>
                      <w:tcPr>
                        <w:tcW w:w="2376" w:type="dxa"/>
                        <w:vMerge w:val="restart"/>
                        <w:tcBorders>
                          <w:top w:val="single" w:sz="4" w:space="0" w:color="auto"/>
                          <w:left w:val="single" w:sz="4" w:space="0" w:color="auto"/>
                          <w:right w:val="single" w:sz="4" w:space="0" w:color="auto"/>
                        </w:tcBorders>
                        <w:vAlign w:val="center"/>
                      </w:tcPr>
                      <w:p>
                        <w:pPr>
                          <w:rPr>
                            <w:b/>
                            <w:color w:val="000000"/>
                            <w:sz w:val="20"/>
                          </w:rPr>
                        </w:pPr>
                        <w:r>
                          <w:rPr>
                            <w:b/>
                            <w:color w:val="000000"/>
                            <w:sz w:val="20"/>
                          </w:rPr>
                          <w:t>Didinti psichologinės pagalbos prieinamumą ir vykdyti smurto prevenciją</w:t>
                        </w:r>
                      </w:p>
                    </w:tc>
                    <w:tc>
                      <w:tcPr>
                        <w:tcW w:w="3402" w:type="dxa"/>
                        <w:gridSpan w:val="2"/>
                        <w:tcBorders>
                          <w:top w:val="single" w:sz="4" w:space="0" w:color="auto"/>
                          <w:left w:val="single" w:sz="4" w:space="0" w:color="auto"/>
                          <w:right w:val="single" w:sz="4" w:space="0" w:color="auto"/>
                        </w:tcBorders>
                        <w:vAlign w:val="center"/>
                      </w:tcPr>
                      <w:p>
                        <w:pPr>
                          <w:rPr>
                            <w:b/>
                            <w:color w:val="000000"/>
                            <w:sz w:val="20"/>
                          </w:rPr>
                        </w:pPr>
                        <w:r>
                          <w:rPr>
                            <w:color w:val="000000"/>
                            <w:sz w:val="20"/>
                          </w:rPr>
                          <w:t>Teikti pagalbą socialinės rizikos šeimoms ir jose augantiems vaikams</w:t>
                        </w:r>
                      </w:p>
                    </w:tc>
                    <w:tc>
                      <w:tcPr>
                        <w:tcW w:w="1984" w:type="dxa"/>
                        <w:vMerge w:val="restart"/>
                        <w:tcBorders>
                          <w:top w:val="single" w:sz="4" w:space="0" w:color="auto"/>
                          <w:left w:val="single" w:sz="4" w:space="0" w:color="auto"/>
                          <w:right w:val="single" w:sz="4" w:space="0" w:color="auto"/>
                        </w:tcBorders>
                        <w:vAlign w:val="center"/>
                      </w:tcPr>
                      <w:p>
                        <w:pPr>
                          <w:ind w:left="-113"/>
                          <w:jc w:val="center"/>
                          <w:rPr>
                            <w:b/>
                            <w:color w:val="000000"/>
                            <w:sz w:val="20"/>
                          </w:rPr>
                        </w:pPr>
                        <w:r>
                          <w:rPr>
                            <w:color w:val="000000"/>
                            <w:sz w:val="20"/>
                          </w:rPr>
                          <w:t>40,08 tūkst. Eur (SB), projektinės lėšos, kitos lėšos</w:t>
                        </w:r>
                      </w:p>
                      <w:p>
                        <w:pPr>
                          <w:jc w:val="center"/>
                          <w:rPr>
                            <w:b/>
                            <w:color w:val="000000"/>
                            <w:sz w:val="20"/>
                          </w:rPr>
                        </w:pPr>
                        <w:r>
                          <w:rPr>
                            <w:color w:val="000000"/>
                            <w:sz w:val="20"/>
                          </w:rPr>
                          <w:t>SB, projektinės lėšos</w:t>
                        </w:r>
                      </w:p>
                    </w:tc>
                    <w:tc>
                      <w:tcPr>
                        <w:tcW w:w="3118" w:type="dxa"/>
                        <w:tcBorders>
                          <w:top w:val="single" w:sz="4" w:space="0" w:color="auto"/>
                          <w:left w:val="single" w:sz="4" w:space="0" w:color="auto"/>
                          <w:right w:val="single" w:sz="4" w:space="0" w:color="auto"/>
                        </w:tcBorders>
                        <w:vAlign w:val="center"/>
                      </w:tcPr>
                      <w:p>
                        <w:pPr>
                          <w:rPr>
                            <w:b/>
                            <w:color w:val="000000"/>
                            <w:sz w:val="20"/>
                          </w:rPr>
                        </w:pPr>
                        <w:r>
                          <w:rPr>
                            <w:color w:val="000000"/>
                            <w:sz w:val="20"/>
                          </w:rPr>
                          <w:t>Telšių krizių centras, Socialinės paramos ir rūpybos skyrius, Telšių socialinių paslaugų centras</w:t>
                        </w:r>
                      </w:p>
                    </w:tc>
                    <w:tc>
                      <w:tcPr>
                        <w:tcW w:w="3827" w:type="dxa"/>
                        <w:tcBorders>
                          <w:top w:val="single" w:sz="4" w:space="0" w:color="auto"/>
                          <w:left w:val="single" w:sz="4" w:space="0" w:color="auto"/>
                          <w:right w:val="single" w:sz="4" w:space="0" w:color="auto"/>
                        </w:tcBorders>
                        <w:vAlign w:val="center"/>
                      </w:tcPr>
                      <w:p>
                        <w:pPr>
                          <w:rPr>
                            <w:rFonts w:ascii="Courier New" w:hAnsi="Courier New" w:cs="Courier New"/>
                            <w:b/>
                            <w:color w:val="000000"/>
                            <w:sz w:val="20"/>
                            <w:lang w:eastAsia="ar-SA"/>
                          </w:rPr>
                        </w:pPr>
                        <w:r>
                          <w:rPr>
                            <w:color w:val="000000"/>
                            <w:sz w:val="20"/>
                          </w:rPr>
                          <w:t>Suorganizuoti Telšių Krizių centro specialistų susitikimai ir konsultacijos seniūnijose (privalomai kartą per metus kiekvienoje seniūnijoje ir pagal poreikį). Sustiprintas psichologinės pagalbos teikimas. Suorganizuoti susitikimai ir konsultacijos, suteikta pagalba pagal poreikį Telšių krizių centre, seniūnijose, šeimose jų namuose.</w:t>
                        </w:r>
                      </w:p>
                    </w:tc>
                  </w:tr>
                  <w:tr>
                    <w:trPr>
                      <w:trHeight w:val="1610"/>
                    </w:trPr>
                    <w:tc>
                      <w:tcPr>
                        <w:tcW w:w="2376" w:type="dxa"/>
                        <w:vMerge/>
                        <w:tcBorders>
                          <w:left w:val="single" w:sz="4" w:space="0" w:color="auto"/>
                          <w:right w:val="single" w:sz="4" w:space="0" w:color="auto"/>
                        </w:tcBorders>
                        <w:vAlign w:val="center"/>
                      </w:tcPr>
                      <w:p>
                        <w:pPr>
                          <w:ind w:left="205" w:hanging="205"/>
                          <w:jc w:val="center"/>
                          <w:rPr>
                            <w:b/>
                            <w:color w:val="000000"/>
                            <w:sz w:val="20"/>
                          </w:rPr>
                        </w:pPr>
                      </w:p>
                    </w:tc>
                    <w:tc>
                      <w:tcPr>
                        <w:tcW w:w="3402" w:type="dxa"/>
                        <w:gridSpan w:val="2"/>
                        <w:tcBorders>
                          <w:top w:val="single" w:sz="4" w:space="0" w:color="auto"/>
                          <w:left w:val="single" w:sz="4" w:space="0" w:color="auto"/>
                          <w:right w:val="single" w:sz="4" w:space="0" w:color="auto"/>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color w:val="000000"/>
                            <w:sz w:val="20"/>
                            <w:lang w:eastAsia="ar-SA"/>
                          </w:rPr>
                        </w:pPr>
                        <w:r>
                          <w:rPr>
                            <w:color w:val="000000"/>
                            <w:sz w:val="20"/>
                            <w:lang w:eastAsia="ar-SA"/>
                          </w:rPr>
                          <w:t>Organizuoti krizių įveikimo paslaugas smurtą patiriantiems ar krizėje atsidūrusiems asmenims (šeimoms)</w:t>
                        </w:r>
                      </w:p>
                    </w:tc>
                    <w:tc>
                      <w:tcPr>
                        <w:tcW w:w="1984" w:type="dxa"/>
                        <w:vMerge/>
                        <w:tcBorders>
                          <w:left w:val="single" w:sz="4" w:space="0" w:color="auto"/>
                          <w:right w:val="single" w:sz="4" w:space="0" w:color="auto"/>
                        </w:tcBorders>
                        <w:vAlign w:val="center"/>
                      </w:tcPr>
                      <w:p>
                        <w:pPr>
                          <w:jc w:val="center"/>
                          <w:rPr>
                            <w:color w:val="000000"/>
                            <w:sz w:val="20"/>
                          </w:rPr>
                        </w:pPr>
                      </w:p>
                    </w:tc>
                    <w:tc>
                      <w:tcPr>
                        <w:tcW w:w="3118" w:type="dxa"/>
                        <w:tcBorders>
                          <w:top w:val="single" w:sz="4" w:space="0" w:color="auto"/>
                          <w:left w:val="single" w:sz="4" w:space="0" w:color="auto"/>
                          <w:right w:val="single" w:sz="4" w:space="0" w:color="auto"/>
                        </w:tcBorders>
                        <w:vAlign w:val="center"/>
                      </w:tcPr>
                      <w:p>
                        <w:pPr>
                          <w:rPr>
                            <w:color w:val="000000"/>
                            <w:sz w:val="20"/>
                          </w:rPr>
                        </w:pPr>
                        <w:r>
                          <w:rPr>
                            <w:color w:val="000000"/>
                            <w:sz w:val="20"/>
                          </w:rPr>
                          <w:t>Telšių krizių centras, Socialinės paramos ir rūpybos skyrius, Vaiko teisių apsaugos skyrius, savivaldybės gydytojas, Telšių sveikatos biuras, Telšių socialinių paslaugų centras, Telšių vaikų globos namų Laikini šeimos namai</w:t>
                        </w:r>
                      </w:p>
                    </w:tc>
                    <w:tc>
                      <w:tcPr>
                        <w:tcW w:w="3827" w:type="dxa"/>
                        <w:tcBorders>
                          <w:left w:val="single" w:sz="4" w:space="0" w:color="auto"/>
                          <w:right w:val="single" w:sz="4" w:space="0" w:color="auto"/>
                        </w:tcBorders>
                      </w:tcPr>
                      <w:p>
                        <w:pPr>
                          <w:widowControl w:val="0"/>
                          <w:tabs>
                            <w:tab w:val="left" w:pos="916"/>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color w:val="000000"/>
                            <w:sz w:val="20"/>
                            <w:lang w:eastAsia="ar-SA"/>
                          </w:rPr>
                        </w:pPr>
                        <w:r>
                          <w:rPr>
                            <w:color w:val="000000"/>
                            <w:sz w:val="20"/>
                            <w:lang w:eastAsia="ar-SA"/>
                          </w:rPr>
                          <w:t>Suteiktos intensyvios krizių įveikimo su apgyvendinimo paslaugų pagal poreikį Telšių krizių centre. Paslaugų gavėjų skaičius – 20 asmenų.</w:t>
                        </w:r>
                      </w:p>
                    </w:tc>
                  </w:tr>
                  <w:tr>
                    <w:trPr>
                      <w:trHeight w:val="918"/>
                    </w:trPr>
                    <w:tc>
                      <w:tcPr>
                        <w:tcW w:w="2376" w:type="dxa"/>
                        <w:tcBorders>
                          <w:left w:val="single" w:sz="4" w:space="0" w:color="auto"/>
                          <w:bottom w:val="single" w:sz="4" w:space="0" w:color="auto"/>
                          <w:right w:val="single" w:sz="4" w:space="0" w:color="auto"/>
                        </w:tcBorders>
                        <w:shd w:val="clear" w:color="auto" w:fill="auto"/>
                        <w:vAlign w:val="center"/>
                      </w:tcPr>
                      <w:p>
                        <w:pPr>
                          <w:rPr>
                            <w:b/>
                            <w:color w:val="000000"/>
                            <w:sz w:val="20"/>
                          </w:rPr>
                        </w:pPr>
                        <w:r>
                          <w:rPr>
                            <w:b/>
                            <w:color w:val="000000"/>
                            <w:sz w:val="20"/>
                          </w:rPr>
                          <w:t>Organizuoti socialines paslaugas šeimai ir vaikams</w:t>
                        </w:r>
                      </w:p>
                      <w:p>
                        <w:pPr>
                          <w:rPr>
                            <w:b/>
                            <w:color w:val="000000"/>
                            <w:sz w:val="20"/>
                          </w:rPr>
                        </w:pPr>
                      </w:p>
                    </w:tc>
                    <w:tc>
                      <w:tcPr>
                        <w:tcW w:w="3402" w:type="dxa"/>
                        <w:gridSpan w:val="2"/>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Socialinių projektų finansavimas</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 xml:space="preserve">10,0 tūkst. Eur (SB) </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Socialinės paramos ir rūpybos skyrius, nevyriausybinės organizacijos</w:t>
                        </w:r>
                      </w:p>
                    </w:tc>
                    <w:tc>
                      <w:tcPr>
                        <w:tcW w:w="3827" w:type="dxa"/>
                        <w:tcBorders>
                          <w:top w:val="single" w:sz="4" w:space="0" w:color="auto"/>
                          <w:left w:val="single" w:sz="4" w:space="0" w:color="auto"/>
                          <w:bottom w:val="single" w:sz="4" w:space="0" w:color="auto"/>
                          <w:right w:val="single" w:sz="4" w:space="0" w:color="auto"/>
                        </w:tcBorders>
                        <w:vAlign w:val="center"/>
                      </w:tcPr>
                      <w:p>
                        <w:pPr>
                          <w:tabs>
                            <w:tab w:val="left" w:pos="540"/>
                          </w:tabs>
                          <w:rPr>
                            <w:color w:val="000000"/>
                            <w:szCs w:val="24"/>
                          </w:rPr>
                        </w:pPr>
                        <w:r>
                          <w:rPr>
                            <w:color w:val="000000"/>
                            <w:sz w:val="20"/>
                          </w:rPr>
                          <w:t>Finansavimas skirtas ne mažiau kaip 4 socialiniams projektams.</w:t>
                        </w:r>
                      </w:p>
                    </w:tc>
                  </w:tr>
                  <w:tr>
                    <w:trPr>
                      <w:trHeight w:val="1837"/>
                    </w:trPr>
                    <w:tc>
                      <w:tcPr>
                        <w:tcW w:w="2376" w:type="dxa"/>
                        <w:vMerge w:val="restart"/>
                        <w:tcBorders>
                          <w:left w:val="single" w:sz="4" w:space="0" w:color="auto"/>
                          <w:right w:val="single" w:sz="4" w:space="0" w:color="auto"/>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rFonts w:ascii="Courier New" w:hAnsi="Courier New" w:cs="Courier New"/>
                            <w:color w:val="000000"/>
                            <w:sz w:val="20"/>
                            <w:lang w:eastAsia="ar-SA"/>
                          </w:rPr>
                        </w:pPr>
                        <w:r>
                          <w:rPr>
                            <w:b/>
                            <w:color w:val="000000"/>
                            <w:sz w:val="20"/>
                            <w:lang w:eastAsia="ar-SA"/>
                          </w:rPr>
                          <w:t xml:space="preserve">Stiprinti socialinio darbo su stebimomis ir socialinės rizikos šeimomis </w:t>
                        </w:r>
                      </w:p>
                      <w:p>
                        <w:pPr>
                          <w:tabs>
                            <w:tab w:val="left" w:pos="540"/>
                          </w:tabs>
                          <w:rPr>
                            <w:b/>
                            <w:color w:val="000000"/>
                            <w:sz w:val="20"/>
                          </w:rPr>
                        </w:pPr>
                      </w:p>
                    </w:tc>
                    <w:tc>
                      <w:tcPr>
                        <w:tcW w:w="3402" w:type="dxa"/>
                        <w:gridSpan w:val="2"/>
                        <w:tcBorders>
                          <w:top w:val="single" w:sz="4" w:space="0" w:color="auto"/>
                          <w:left w:val="single" w:sz="4" w:space="0" w:color="auto"/>
                          <w:right w:val="single" w:sz="4" w:space="0" w:color="auto"/>
                        </w:tcBorders>
                        <w:vAlign w:val="center"/>
                      </w:tcPr>
                      <w:p>
                        <w:pPr>
                          <w:rPr>
                            <w:color w:val="000000"/>
                            <w:sz w:val="20"/>
                          </w:rPr>
                        </w:pPr>
                        <w:r>
                          <w:rPr>
                            <w:color w:val="000000"/>
                            <w:sz w:val="20"/>
                          </w:rPr>
                          <w:t>Vykdyti darbo su socialinės rizikos ir stebimomis šeimomis kontrolę paslaugų teikimo laikotarpiu</w:t>
                        </w:r>
                      </w:p>
                    </w:tc>
                    <w:tc>
                      <w:tcPr>
                        <w:tcW w:w="1984" w:type="dxa"/>
                        <w:tcBorders>
                          <w:top w:val="single" w:sz="4" w:space="0" w:color="auto"/>
                          <w:left w:val="single" w:sz="4" w:space="0" w:color="auto"/>
                          <w:right w:val="single" w:sz="4" w:space="0" w:color="auto"/>
                        </w:tcBorders>
                        <w:vAlign w:val="center"/>
                      </w:tcPr>
                      <w:p>
                        <w:pPr>
                          <w:jc w:val="center"/>
                          <w:rPr>
                            <w:color w:val="000000"/>
                            <w:sz w:val="20"/>
                          </w:rPr>
                        </w:pPr>
                      </w:p>
                    </w:tc>
                    <w:tc>
                      <w:tcPr>
                        <w:tcW w:w="3118" w:type="dxa"/>
                        <w:tcBorders>
                          <w:top w:val="single" w:sz="4" w:space="0" w:color="auto"/>
                          <w:left w:val="single" w:sz="4" w:space="0" w:color="auto"/>
                          <w:right w:val="single" w:sz="4" w:space="0" w:color="auto"/>
                        </w:tcBorders>
                        <w:vAlign w:val="center"/>
                      </w:tcPr>
                      <w:p>
                        <w:pPr>
                          <w:rPr>
                            <w:color w:val="000000"/>
                            <w:sz w:val="20"/>
                          </w:rPr>
                        </w:pPr>
                        <w:r>
                          <w:rPr>
                            <w:color w:val="000000"/>
                            <w:sz w:val="20"/>
                          </w:rPr>
                          <w:t xml:space="preserve">Socialinės paramos ir rūpybos skyrius, Vaiko teisių apsaugos skyrius, Švietimo skyrius, socialinių paslaugų teikėjai, seniūnijų darbuotojai.  </w:t>
                        </w:r>
                      </w:p>
                    </w:tc>
                    <w:tc>
                      <w:tcPr>
                        <w:tcW w:w="3827" w:type="dxa"/>
                        <w:tcBorders>
                          <w:top w:val="single" w:sz="4" w:space="0" w:color="auto"/>
                          <w:left w:val="single" w:sz="4" w:space="0" w:color="auto"/>
                          <w:right w:val="single" w:sz="4" w:space="0" w:color="auto"/>
                        </w:tcBorders>
                        <w:vAlign w:val="center"/>
                      </w:tcPr>
                      <w:p>
                        <w:pPr>
                          <w:ind w:firstLine="53"/>
                          <w:rPr>
                            <w:color w:val="000000"/>
                            <w:sz w:val="20"/>
                          </w:rPr>
                        </w:pPr>
                        <w:r>
                          <w:rPr>
                            <w:color w:val="000000"/>
                            <w:sz w:val="20"/>
                          </w:rPr>
                          <w:t>Aplankytos šeimos, surašyti apsilankymo aktai. Rekomendacijos, pastabos ir pasiūlymai dėl tolimesnio paslaugų teikimo pateikti socialinių paslaugų teikėjui.</w:t>
                        </w:r>
                      </w:p>
                      <w:p>
                        <w:pPr>
                          <w:rPr>
                            <w:color w:val="000000"/>
                            <w:sz w:val="20"/>
                          </w:rPr>
                        </w:pPr>
                        <w:r>
                          <w:rPr>
                            <w:color w:val="000000"/>
                            <w:sz w:val="20"/>
                          </w:rPr>
                          <w:t xml:space="preserve">Apsilankyta seniūnijų organizuojamuose posėdžiuose bent kartą metuose kiekvienoje seniūnijoje. Atlikta atvejų analizė komandose. </w:t>
                        </w:r>
                      </w:p>
                    </w:tc>
                  </w:tr>
                  <w:tr>
                    <w:trPr>
                      <w:trHeight w:val="1555"/>
                    </w:trPr>
                    <w:tc>
                      <w:tcPr>
                        <w:tcW w:w="2376" w:type="dxa"/>
                        <w:vMerge/>
                        <w:tcBorders>
                          <w:left w:val="single" w:sz="4" w:space="0" w:color="auto"/>
                          <w:right w:val="single" w:sz="4" w:space="0" w:color="auto"/>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b/>
                            <w:color w:val="000000"/>
                            <w:sz w:val="20"/>
                            <w:lang w:eastAsia="ar-SA"/>
                          </w:rPr>
                        </w:pPr>
                      </w:p>
                    </w:tc>
                    <w:tc>
                      <w:tcPr>
                        <w:tcW w:w="3402"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rFonts w:ascii="Courier New" w:hAnsi="Courier New" w:cs="Courier New"/>
                            <w:color w:val="000000"/>
                            <w:sz w:val="20"/>
                            <w:lang w:eastAsia="ar-SA"/>
                          </w:rPr>
                        </w:pPr>
                        <w:r>
                          <w:rPr>
                            <w:color w:val="000000"/>
                            <w:sz w:val="20"/>
                          </w:rPr>
                          <w:t xml:space="preserve">Plėtoti socialinių įgūdžių ugdymo ir palaikymo paslaugų teikimą </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SB,</w:t>
                        </w:r>
                      </w:p>
                      <w:p>
                        <w:pPr>
                          <w:jc w:val="center"/>
                          <w:rPr>
                            <w:color w:val="000000"/>
                            <w:sz w:val="20"/>
                          </w:rPr>
                        </w:pPr>
                        <w:r>
                          <w:rPr>
                            <w:color w:val="000000"/>
                            <w:sz w:val="20"/>
                          </w:rPr>
                          <w:t>181,0 tūkst. Eur (VB)</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Socialinės paramos ir rūpybos skyrius, Telšių socialinių paslaugų centras </w:t>
                        </w:r>
                      </w:p>
                    </w:tc>
                    <w:tc>
                      <w:tcPr>
                        <w:tcW w:w="3827" w:type="dxa"/>
                        <w:tcBorders>
                          <w:top w:val="single" w:sz="4" w:space="0" w:color="auto"/>
                          <w:left w:val="single" w:sz="4" w:space="0" w:color="auto"/>
                          <w:bottom w:val="single" w:sz="4" w:space="0" w:color="auto"/>
                          <w:right w:val="single" w:sz="4" w:space="0" w:color="auto"/>
                        </w:tcBorders>
                        <w:vAlign w:val="center"/>
                      </w:tcPr>
                      <w:p>
                        <w:pPr>
                          <w:widowControl w:val="0"/>
                          <w:tabs>
                            <w:tab w:val="left" w:pos="916"/>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rFonts w:ascii="Courier New" w:hAnsi="Courier New" w:cs="Courier New"/>
                            <w:color w:val="000000"/>
                            <w:sz w:val="20"/>
                            <w:lang w:eastAsia="ar-SA"/>
                          </w:rPr>
                        </w:pPr>
                        <w:r>
                          <w:rPr>
                            <w:color w:val="000000"/>
                            <w:sz w:val="20"/>
                          </w:rPr>
                          <w:t xml:space="preserve">Suteiktos socialinių įgūdžių ugdymo ir palaikymo paslaugos socialinės rizikos šeimoms asmens namuose, dienos centruose. Numatomas paslaugų gavėjų šeimų skaičius – 190. </w:t>
                        </w:r>
                      </w:p>
                    </w:tc>
                  </w:tr>
                  <w:tr>
                    <w:trPr>
                      <w:trHeight w:val="1555"/>
                    </w:trPr>
                    <w:tc>
                      <w:tcPr>
                        <w:tcW w:w="2376" w:type="dxa"/>
                        <w:vMerge/>
                        <w:tcBorders>
                          <w:left w:val="single" w:sz="4" w:space="0" w:color="auto"/>
                          <w:right w:val="single" w:sz="4" w:space="0" w:color="auto"/>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b/>
                            <w:color w:val="000000"/>
                            <w:sz w:val="20"/>
                            <w:lang w:eastAsia="ar-SA"/>
                          </w:rPr>
                        </w:pPr>
                      </w:p>
                    </w:tc>
                    <w:tc>
                      <w:tcPr>
                        <w:tcW w:w="3402" w:type="dxa"/>
                        <w:gridSpan w:val="2"/>
                        <w:tcBorders>
                          <w:top w:val="single" w:sz="4" w:space="0" w:color="auto"/>
                          <w:left w:val="single" w:sz="4" w:space="0" w:color="auto"/>
                          <w:right w:val="single" w:sz="4" w:space="0" w:color="auto"/>
                        </w:tcBorders>
                        <w:vAlign w:val="center"/>
                      </w:tcPr>
                      <w:p>
                        <w:pPr>
                          <w:rPr>
                            <w:color w:val="000000"/>
                            <w:sz w:val="20"/>
                          </w:rPr>
                        </w:pPr>
                        <w:r>
                          <w:rPr>
                            <w:color w:val="000000"/>
                            <w:sz w:val="20"/>
                            <w:lang w:eastAsia="ar-SA"/>
                          </w:rPr>
                          <w:t xml:space="preserve">Organizuoti ir teikti apgyvendinimo paslaugas socialinės rizikos šeimoms savarankiško gyvenimo namuose </w:t>
                        </w:r>
                      </w:p>
                    </w:tc>
                    <w:tc>
                      <w:tcPr>
                        <w:tcW w:w="1984" w:type="dxa"/>
                        <w:tcBorders>
                          <w:top w:val="single" w:sz="4" w:space="0" w:color="auto"/>
                          <w:left w:val="single" w:sz="4" w:space="0" w:color="auto"/>
                          <w:right w:val="single" w:sz="4" w:space="0" w:color="auto"/>
                        </w:tcBorders>
                        <w:vAlign w:val="center"/>
                      </w:tcPr>
                      <w:p>
                        <w:pPr>
                          <w:jc w:val="center"/>
                          <w:rPr>
                            <w:color w:val="000000"/>
                            <w:sz w:val="20"/>
                          </w:rPr>
                        </w:pPr>
                        <w:r>
                          <w:rPr>
                            <w:color w:val="000000"/>
                            <w:sz w:val="20"/>
                          </w:rPr>
                          <w:t>SB</w:t>
                        </w:r>
                      </w:p>
                    </w:tc>
                    <w:tc>
                      <w:tcPr>
                        <w:tcW w:w="3118" w:type="dxa"/>
                        <w:tcBorders>
                          <w:top w:val="single" w:sz="4" w:space="0" w:color="auto"/>
                          <w:left w:val="single" w:sz="4" w:space="0" w:color="auto"/>
                          <w:right w:val="single" w:sz="4" w:space="0" w:color="auto"/>
                        </w:tcBorders>
                        <w:vAlign w:val="center"/>
                      </w:tcPr>
                      <w:p>
                        <w:pPr>
                          <w:rPr>
                            <w:color w:val="000000"/>
                            <w:sz w:val="20"/>
                          </w:rPr>
                        </w:pPr>
                        <w:r>
                          <w:rPr>
                            <w:color w:val="000000"/>
                            <w:sz w:val="20"/>
                          </w:rPr>
                          <w:t xml:space="preserve">Socialinės paramos ir rūpybos skyrius, Telšių vaikų globos namai </w:t>
                        </w:r>
                      </w:p>
                    </w:tc>
                    <w:tc>
                      <w:tcPr>
                        <w:tcW w:w="3827" w:type="dxa"/>
                        <w:tcBorders>
                          <w:top w:val="single" w:sz="4" w:space="0" w:color="auto"/>
                          <w:left w:val="single" w:sz="4" w:space="0" w:color="auto"/>
                          <w:right w:val="single" w:sz="4" w:space="0" w:color="auto"/>
                        </w:tcBorders>
                        <w:vAlign w:val="center"/>
                      </w:tcPr>
                      <w:p>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color w:val="000000"/>
                            <w:sz w:val="20"/>
                            <w:lang w:eastAsia="ar-SA"/>
                          </w:rPr>
                        </w:pPr>
                        <w:r>
                          <w:rPr>
                            <w:color w:val="000000"/>
                            <w:sz w:val="20"/>
                            <w:lang w:eastAsia="ar-SA"/>
                          </w:rPr>
                          <w:t>Numatomas paslaugų gavėjų skaičius 30 asmenų.</w:t>
                        </w:r>
                      </w:p>
                      <w:p>
                        <w:pPr>
                          <w:rPr>
                            <w:color w:val="000000"/>
                            <w:sz w:val="20"/>
                          </w:rPr>
                        </w:pPr>
                      </w:p>
                    </w:tc>
                  </w:tr>
                  <w:tr>
                    <w:trPr>
                      <w:trHeight w:val="208"/>
                    </w:trPr>
                    <w:tc>
                      <w:tcPr>
                        <w:tcW w:w="2376" w:type="dxa"/>
                        <w:vMerge/>
                        <w:tcBorders>
                          <w:left w:val="single" w:sz="4" w:space="0" w:color="auto"/>
                          <w:right w:val="single" w:sz="4" w:space="0" w:color="auto"/>
                        </w:tcBorders>
                        <w:vAlign w:val="center"/>
                      </w:tcPr>
                      <w:p>
                        <w:pPr>
                          <w:rPr>
                            <w:b/>
                            <w:color w:val="000000"/>
                            <w:sz w:val="20"/>
                          </w:rPr>
                        </w:pPr>
                      </w:p>
                    </w:tc>
                    <w:tc>
                      <w:tcPr>
                        <w:tcW w:w="3402" w:type="dxa"/>
                        <w:gridSpan w:val="2"/>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Plėtoti bendrųjų socialinių paslaugų teikimą dienos centruose</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SB, projektinės lėšos</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Socialinės paramos ir rūpybos skyrius, Telšių socialinių paslaugų centras, Bendruomenės, NVO</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Suteiktos bendrosios paslaugos, iš jų:</w:t>
                        </w:r>
                      </w:p>
                      <w:p>
                        <w:pPr>
                          <w:rPr>
                            <w:color w:val="000000"/>
                            <w:sz w:val="20"/>
                          </w:rPr>
                        </w:pPr>
                        <w:r>
                          <w:rPr>
                            <w:color w:val="000000"/>
                            <w:sz w:val="20"/>
                          </w:rPr>
                          <w:t xml:space="preserve">sociokultūrinės paslaugos  – 250  gavėjų;</w:t>
                        </w:r>
                      </w:p>
                      <w:p>
                        <w:pPr>
                          <w:rPr>
                            <w:color w:val="000000"/>
                            <w:sz w:val="20"/>
                          </w:rPr>
                        </w:pPr>
                        <w:r>
                          <w:rPr>
                            <w:color w:val="000000"/>
                            <w:sz w:val="20"/>
                          </w:rPr>
                          <w:t>asmens higienos ir priežiūros – 60.</w:t>
                        </w:r>
                      </w:p>
                    </w:tc>
                  </w:tr>
                  <w:tr>
                    <w:trPr>
                      <w:trHeight w:val="208"/>
                    </w:trPr>
                    <w:tc>
                      <w:tcPr>
                        <w:tcW w:w="2376" w:type="dxa"/>
                        <w:vMerge w:val="restart"/>
                        <w:tcBorders>
                          <w:top w:val="single" w:sz="4" w:space="0" w:color="auto"/>
                          <w:left w:val="single" w:sz="4" w:space="0" w:color="auto"/>
                          <w:right w:val="single" w:sz="4" w:space="0" w:color="auto"/>
                        </w:tcBorders>
                        <w:vAlign w:val="center"/>
                      </w:tcPr>
                      <w:p>
                        <w:pPr>
                          <w:tabs>
                            <w:tab w:val="left" w:pos="248"/>
                          </w:tabs>
                          <w:ind w:left="106"/>
                          <w:rPr>
                            <w:b/>
                            <w:color w:val="000000"/>
                            <w:sz w:val="20"/>
                          </w:rPr>
                        </w:pPr>
                        <w:r>
                          <w:rPr>
                            <w:b/>
                            <w:color w:val="000000"/>
                            <w:sz w:val="20"/>
                          </w:rPr>
                          <w:t>Įgyvendinti institucinės globos perėjimo prie globos bendruomenėje priemones</w:t>
                        </w:r>
                      </w:p>
                    </w:tc>
                    <w:tc>
                      <w:tcPr>
                        <w:tcW w:w="3402" w:type="dxa"/>
                        <w:gridSpan w:val="2"/>
                        <w:tcBorders>
                          <w:top w:val="single" w:sz="4" w:space="0" w:color="auto"/>
                          <w:left w:val="single" w:sz="4" w:space="0" w:color="auto"/>
                          <w:bottom w:val="single" w:sz="4" w:space="0" w:color="auto"/>
                          <w:right w:val="single" w:sz="4" w:space="0" w:color="auto"/>
                        </w:tcBorders>
                        <w:vAlign w:val="center"/>
                      </w:tcPr>
                      <w:p>
                        <w:pPr>
                          <w:rPr>
                            <w:strike/>
                            <w:color w:val="000000"/>
                            <w:sz w:val="20"/>
                          </w:rPr>
                        </w:pPr>
                        <w:r>
                          <w:rPr>
                            <w:color w:val="000000"/>
                            <w:sz w:val="20"/>
                          </w:rPr>
                          <w:t xml:space="preserve">Organizuoti socialinę globą (rūpybą) be tėvų globos (rūpybos)  likusiems vaikams budinčių globėjų šeimose.</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10,020 tūkst. Eur</w:t>
                        </w:r>
                      </w:p>
                      <w:p>
                        <w:pPr>
                          <w:jc w:val="center"/>
                          <w:rPr>
                            <w:strike/>
                            <w:color w:val="000000"/>
                            <w:sz w:val="20"/>
                          </w:rPr>
                        </w:pPr>
                        <w:r>
                          <w:rPr>
                            <w:color w:val="000000"/>
                            <w:sz w:val="20"/>
                          </w:rPr>
                          <w:t>(SB)</w:t>
                        </w:r>
                      </w:p>
                    </w:tc>
                    <w:tc>
                      <w:tcPr>
                        <w:tcW w:w="3118" w:type="dxa"/>
                        <w:tcBorders>
                          <w:top w:val="single" w:sz="4" w:space="0" w:color="auto"/>
                          <w:left w:val="single" w:sz="4" w:space="0" w:color="auto"/>
                          <w:bottom w:val="single" w:sz="4" w:space="0" w:color="auto"/>
                          <w:right w:val="single" w:sz="4" w:space="0" w:color="auto"/>
                        </w:tcBorders>
                        <w:vAlign w:val="center"/>
                      </w:tcPr>
                      <w:p>
                        <w:pPr>
                          <w:rPr>
                            <w:strike/>
                            <w:color w:val="000000"/>
                            <w:sz w:val="20"/>
                          </w:rPr>
                        </w:pPr>
                        <w:r>
                          <w:rPr>
                            <w:color w:val="000000"/>
                            <w:sz w:val="20"/>
                          </w:rPr>
                          <w:t xml:space="preserve">Socialinės paramos ir rūpybos skyrius, Vaiko teisių apsaugos skyrius,  VšĮ „Soneima“</w:t>
                        </w:r>
                      </w:p>
                    </w:tc>
                    <w:tc>
                      <w:tcPr>
                        <w:tcW w:w="3827" w:type="dxa"/>
                        <w:tcBorders>
                          <w:top w:val="single" w:sz="4" w:space="0" w:color="auto"/>
                          <w:left w:val="single" w:sz="4" w:space="0" w:color="auto"/>
                          <w:bottom w:val="single" w:sz="4" w:space="0" w:color="auto"/>
                          <w:right w:val="single" w:sz="4" w:space="0" w:color="auto"/>
                        </w:tcBorders>
                        <w:vAlign w:val="center"/>
                      </w:tcPr>
                      <w:p>
                        <w:pPr>
                          <w:rPr>
                            <w:strike/>
                            <w:color w:val="000000"/>
                            <w:sz w:val="20"/>
                          </w:rPr>
                        </w:pPr>
                        <w:r>
                          <w:rPr>
                            <w:color w:val="000000"/>
                            <w:sz w:val="20"/>
                          </w:rPr>
                          <w:t>Parengtos 3 budinčių globėjų šeimos, kurios teiktų laikinąją( trumpalaikę) socialinę globą (rūpybą) 9 ir daugiau tėvų globos netekusiems vaikams iki bus išspręstas jų globos (rūpybos) klausimas.</w:t>
                        </w:r>
                      </w:p>
                    </w:tc>
                  </w:tr>
                  <w:tr>
                    <w:trPr>
                      <w:trHeight w:val="208"/>
                    </w:trPr>
                    <w:tc>
                      <w:tcPr>
                        <w:tcW w:w="2376" w:type="dxa"/>
                        <w:vMerge/>
                        <w:tcBorders>
                          <w:top w:val="single" w:sz="4" w:space="0" w:color="auto"/>
                          <w:left w:val="single" w:sz="4" w:space="0" w:color="auto"/>
                          <w:right w:val="single" w:sz="4" w:space="0" w:color="auto"/>
                        </w:tcBorders>
                        <w:vAlign w:val="center"/>
                      </w:tcPr>
                      <w:p>
                        <w:pPr>
                          <w:tabs>
                            <w:tab w:val="left" w:pos="248"/>
                          </w:tabs>
                          <w:ind w:left="106"/>
                          <w:rPr>
                            <w:b/>
                            <w:color w:val="000000"/>
                            <w:sz w:val="20"/>
                          </w:rPr>
                        </w:pPr>
                      </w:p>
                    </w:tc>
                    <w:tc>
                      <w:tcPr>
                        <w:tcW w:w="3402" w:type="dxa"/>
                        <w:gridSpan w:val="2"/>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Stiprinti socialinę globą šeimoje</w:t>
                        </w:r>
                      </w:p>
                    </w:tc>
                    <w:tc>
                      <w:tcPr>
                        <w:tcW w:w="1984"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149,980 tūkst.  Eur</w:t>
                        </w:r>
                      </w:p>
                      <w:p>
                        <w:pPr>
                          <w:jc w:val="center"/>
                          <w:rPr>
                            <w:color w:val="000000"/>
                            <w:sz w:val="20"/>
                          </w:rPr>
                        </w:pPr>
                        <w:r>
                          <w:rPr>
                            <w:color w:val="000000"/>
                            <w:sz w:val="20"/>
                          </w:rPr>
                          <w:t>(SB)</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Socialinės paramos ir rūpybos skyrius, Vaiko teisių apsaugos skyrius, Telšių vaikų globos namai, Telšių socialinių paslaugų centras, VšĮ „Soneima“</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Finansuojama socialinė globa 5 šeimoms, globojančioms po 4 ir daugiau vaikų. </w:t>
                        </w:r>
                      </w:p>
                    </w:tc>
                  </w:tr>
                  <w:tr>
                    <w:trPr>
                      <w:trHeight w:val="208"/>
                    </w:trPr>
                    <w:tc>
                      <w:tcPr>
                        <w:tcW w:w="2376" w:type="dxa"/>
                        <w:vMerge/>
                        <w:tcBorders>
                          <w:left w:val="single" w:sz="4" w:space="0" w:color="auto"/>
                          <w:right w:val="single" w:sz="4" w:space="0" w:color="auto"/>
                        </w:tcBorders>
                        <w:vAlign w:val="center"/>
                      </w:tcPr>
                      <w:p>
                        <w:pPr>
                          <w:rPr>
                            <w:b/>
                            <w:color w:val="000000"/>
                            <w:sz w:val="20"/>
                          </w:rPr>
                        </w:pPr>
                      </w:p>
                    </w:tc>
                    <w:tc>
                      <w:tcPr>
                        <w:tcW w:w="3402" w:type="dxa"/>
                        <w:gridSpan w:val="2"/>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Stiprinti globėjų (rūpintojų) ir įtėvių paieškos, rengimo, atrankos, konsultavimo ir pagalbos paslaugų teikimą  </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19 tūkst. Eur (SB)</w:t>
                        </w:r>
                      </w:p>
                      <w:p>
                        <w:pPr>
                          <w:jc w:val="center"/>
                          <w:rPr>
                            <w:color w:val="000000"/>
                            <w:sz w:val="20"/>
                          </w:rPr>
                        </w:pP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„Soneima“, Socialinės paramos ir rūpybos skyrius, Vaiko teisių apsaugos skyrius</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Parengta 18 globėjų (rūpintojų) šeimų ir 1 įtėvių šeima. Pasiekta, kad būtų įvaikinti 2 vaikai. Parengta laikinosios  globos šeimoje tvarka ir numatytas finansavimas.</w:t>
                        </w:r>
                      </w:p>
                    </w:tc>
                  </w:tr>
                  <w:tr>
                    <w:trPr>
                      <w:trHeight w:val="208"/>
                    </w:trPr>
                    <w:tc>
                      <w:tcPr>
                        <w:tcW w:w="14707" w:type="dxa"/>
                        <w:gridSpan w:val="6"/>
                        <w:tcBorders>
                          <w:top w:val="single" w:sz="4" w:space="0" w:color="auto"/>
                          <w:left w:val="single" w:sz="4" w:space="0" w:color="auto"/>
                          <w:bottom w:val="single" w:sz="4" w:space="0" w:color="auto"/>
                          <w:right w:val="single" w:sz="4" w:space="0" w:color="auto"/>
                        </w:tcBorders>
                        <w:vAlign w:val="center"/>
                      </w:tcPr>
                      <w:p>
                        <w:pPr>
                          <w:rPr>
                            <w:color w:val="000000"/>
                            <w:szCs w:val="24"/>
                            <w:lang w:val="en-GB"/>
                          </w:rPr>
                        </w:pPr>
                        <w:r>
                          <w:rPr>
                            <w:b/>
                            <w:color w:val="000000"/>
                            <w:sz w:val="20"/>
                          </w:rPr>
                          <w:t>3. tikslas. Stiprinti socialinį darbą su socialinės rizikos suaugusiais asmenimis</w:t>
                        </w:r>
                      </w:p>
                    </w:tc>
                  </w:tr>
                  <w:tr>
                    <w:trPr>
                      <w:trHeight w:val="2688"/>
                    </w:trPr>
                    <w:tc>
                      <w:tcPr>
                        <w:tcW w:w="2518" w:type="dxa"/>
                        <w:gridSpan w:val="2"/>
                        <w:vMerge w:val="restart"/>
                        <w:tcBorders>
                          <w:top w:val="single" w:sz="4" w:space="0" w:color="auto"/>
                          <w:left w:val="single" w:sz="4" w:space="0" w:color="auto"/>
                          <w:right w:val="single" w:sz="4" w:space="0" w:color="auto"/>
                        </w:tcBorders>
                        <w:vAlign w:val="center"/>
                      </w:tcPr>
                      <w:p>
                        <w:pPr>
                          <w:rPr>
                            <w:b/>
                            <w:color w:val="000000"/>
                            <w:sz w:val="20"/>
                          </w:rPr>
                        </w:pPr>
                        <w:r>
                          <w:rPr>
                            <w:b/>
                            <w:color w:val="000000"/>
                            <w:sz w:val="20"/>
                          </w:rPr>
                          <w:t>Įgyvendinti Socialinės rizikos asmenų 2016-2021 metų integracijos ir socialinės pagalbos programos priemonių planą</w:t>
                        </w:r>
                      </w:p>
                      <w:p>
                        <w:pPr>
                          <w:rPr>
                            <w:b/>
                            <w:color w:val="000000"/>
                            <w:sz w:val="20"/>
                          </w:rPr>
                        </w:pPr>
                      </w:p>
                      <w:p>
                        <w:pPr>
                          <w:rPr>
                            <w:b/>
                            <w:color w:val="000000"/>
                            <w:sz w:val="20"/>
                          </w:rPr>
                        </w:pPr>
                      </w:p>
                    </w:tc>
                    <w:tc>
                      <w:tcPr>
                        <w:tcW w:w="3260" w:type="dxa"/>
                        <w:tcBorders>
                          <w:top w:val="single" w:sz="4" w:space="0" w:color="auto"/>
                          <w:left w:val="single" w:sz="4" w:space="0" w:color="auto"/>
                          <w:right w:val="single" w:sz="4" w:space="0" w:color="auto"/>
                        </w:tcBorders>
                        <w:vAlign w:val="center"/>
                      </w:tcPr>
                      <w:p>
                        <w:pPr>
                          <w:rPr>
                            <w:color w:val="000000"/>
                            <w:sz w:val="20"/>
                          </w:rPr>
                        </w:pPr>
                        <w:r>
                          <w:rPr>
                            <w:color w:val="000000"/>
                            <w:sz w:val="20"/>
                          </w:rPr>
                          <w:t>Vykdyti socialinės rizikos asmenų apskaitą ir informacinę/ prevencinę veiklą bei organizuoti paslaugų teikimą</w:t>
                        </w:r>
                      </w:p>
                    </w:tc>
                    <w:tc>
                      <w:tcPr>
                        <w:tcW w:w="1984" w:type="dxa"/>
                        <w:tcBorders>
                          <w:top w:val="single" w:sz="4" w:space="0" w:color="auto"/>
                          <w:left w:val="single" w:sz="4" w:space="0" w:color="auto"/>
                          <w:right w:val="single" w:sz="4" w:space="0" w:color="auto"/>
                        </w:tcBorders>
                        <w:vAlign w:val="center"/>
                      </w:tcPr>
                      <w:p>
                        <w:pPr>
                          <w:jc w:val="center"/>
                          <w:rPr>
                            <w:color w:val="000000"/>
                            <w:sz w:val="20"/>
                          </w:rPr>
                        </w:pPr>
                        <w:r>
                          <w:rPr>
                            <w:color w:val="000000"/>
                            <w:sz w:val="20"/>
                          </w:rPr>
                          <w:t>SB, kitos lėšos</w:t>
                        </w:r>
                      </w:p>
                    </w:tc>
                    <w:tc>
                      <w:tcPr>
                        <w:tcW w:w="3118" w:type="dxa"/>
                        <w:tcBorders>
                          <w:top w:val="single" w:sz="4" w:space="0" w:color="auto"/>
                          <w:left w:val="single" w:sz="4" w:space="0" w:color="auto"/>
                          <w:right w:val="single" w:sz="4" w:space="0" w:color="auto"/>
                        </w:tcBorders>
                        <w:vAlign w:val="center"/>
                      </w:tcPr>
                      <w:p>
                        <w:pPr>
                          <w:rPr>
                            <w:color w:val="000000"/>
                            <w:sz w:val="20"/>
                          </w:rPr>
                        </w:pPr>
                        <w:r>
                          <w:rPr>
                            <w:color w:val="000000"/>
                            <w:sz w:val="20"/>
                          </w:rPr>
                          <w:t>Socialinės paramos ir rūpybos skyrius, Telšių socialinių paslaugų centras, nevyriausybinės organizacijos</w:t>
                        </w:r>
                      </w:p>
                    </w:tc>
                    <w:tc>
                      <w:tcPr>
                        <w:tcW w:w="3827" w:type="dxa"/>
                        <w:tcBorders>
                          <w:top w:val="single" w:sz="4" w:space="0" w:color="auto"/>
                          <w:left w:val="single" w:sz="4" w:space="0" w:color="auto"/>
                          <w:right w:val="single" w:sz="4" w:space="0" w:color="auto"/>
                        </w:tcBorders>
                        <w:vAlign w:val="center"/>
                      </w:tcPr>
                      <w:p>
                        <w:pPr>
                          <w:tabs>
                            <w:tab w:val="left" w:pos="540"/>
                          </w:tabs>
                          <w:rPr>
                            <w:color w:val="000000"/>
                            <w:sz w:val="20"/>
                          </w:rPr>
                        </w:pPr>
                        <w:r>
                          <w:rPr>
                            <w:color w:val="000000"/>
                            <w:sz w:val="20"/>
                          </w:rPr>
                          <w:t>Vedama socialinės rizikos asmenų apskaita;</w:t>
                        </w:r>
                      </w:p>
                      <w:p>
                        <w:pPr>
                          <w:tabs>
                            <w:tab w:val="left" w:pos="540"/>
                          </w:tabs>
                          <w:rPr>
                            <w:color w:val="000000"/>
                            <w:sz w:val="20"/>
                          </w:rPr>
                        </w:pPr>
                        <w:r>
                          <w:rPr>
                            <w:color w:val="000000"/>
                            <w:sz w:val="20"/>
                          </w:rPr>
                          <w:t>sudaromi individualūs darbo planai su kiekvienu į socialinės rizikos asmenų apskaitą įtrauktu asmeniu;</w:t>
                        </w:r>
                      </w:p>
                      <w:p>
                        <w:pPr>
                          <w:rPr>
                            <w:color w:val="000000"/>
                            <w:sz w:val="20"/>
                          </w:rPr>
                        </w:pPr>
                        <w:r>
                          <w:rPr>
                            <w:color w:val="000000"/>
                            <w:sz w:val="20"/>
                          </w:rPr>
                          <w:t>piniginė socialinė parama socialinės rizikos asmenims skiriama derinant piniginę ir nepiniginę formas;</w:t>
                        </w:r>
                      </w:p>
                      <w:p>
                        <w:pPr>
                          <w:tabs>
                            <w:tab w:val="left" w:pos="540"/>
                          </w:tabs>
                          <w:rPr>
                            <w:color w:val="000000"/>
                            <w:sz w:val="20"/>
                          </w:rPr>
                        </w:pPr>
                        <w:r>
                          <w:rPr>
                            <w:color w:val="000000"/>
                            <w:sz w:val="20"/>
                          </w:rPr>
                          <w:t>sukurti ir išplatinti bukletai/ lankstinukai, pagal galimybes taikytos kitos socialinės reklamos priemonės priklausomybės ligų prevencijai įgyvendinti.</w:t>
                        </w:r>
                      </w:p>
                    </w:tc>
                  </w:tr>
                  <w:tr>
                    <w:trPr>
                      <w:trHeight w:val="699"/>
                    </w:trPr>
                    <w:tc>
                      <w:tcPr>
                        <w:tcW w:w="2518" w:type="dxa"/>
                        <w:gridSpan w:val="2"/>
                        <w:vMerge/>
                        <w:tcBorders>
                          <w:left w:val="single" w:sz="4" w:space="0" w:color="auto"/>
                          <w:right w:val="single" w:sz="4" w:space="0" w:color="auto"/>
                        </w:tcBorders>
                        <w:vAlign w:val="center"/>
                      </w:tcPr>
                      <w:p>
                        <w:pPr>
                          <w:rPr>
                            <w:b/>
                            <w:color w:val="000000"/>
                            <w:sz w:val="20"/>
                            <w:highlight w:val="green"/>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Užtikrinti būtiniausių socialinių paslaugų teikimą socialinės rizikos asmenims, gyvenantiems Telšių mieste bei kaimiškose vietovėse</w:t>
                        </w:r>
                      </w:p>
                      <w:p>
                        <w:pPr>
                          <w:rPr>
                            <w:color w:val="000000"/>
                            <w:sz w:val="20"/>
                          </w:rPr>
                        </w:pPr>
                      </w:p>
                    </w:tc>
                    <w:tc>
                      <w:tcPr>
                        <w:tcW w:w="1984" w:type="dxa"/>
                        <w:tcBorders>
                          <w:top w:val="single" w:sz="4" w:space="0" w:color="auto"/>
                          <w:left w:val="single" w:sz="4" w:space="0" w:color="auto"/>
                          <w:bottom w:val="single" w:sz="4" w:space="0" w:color="auto"/>
                          <w:right w:val="single" w:sz="4" w:space="0" w:color="auto"/>
                        </w:tcBorders>
                        <w:vAlign w:val="center"/>
                      </w:tcPr>
                      <w:p>
                        <w:pPr>
                          <w:tabs>
                            <w:tab w:val="left" w:pos="540"/>
                          </w:tabs>
                          <w:jc w:val="center"/>
                          <w:rPr>
                            <w:color w:val="000000"/>
                            <w:sz w:val="20"/>
                          </w:rPr>
                        </w:pPr>
                        <w:r>
                          <w:rPr>
                            <w:color w:val="000000"/>
                            <w:sz w:val="20"/>
                          </w:rPr>
                          <w:t>10,0 tūkst. Eur SB, asmens lėšos, kitos lėšos</w:t>
                        </w:r>
                      </w:p>
                    </w:tc>
                    <w:tc>
                      <w:tcPr>
                        <w:tcW w:w="3118" w:type="dxa"/>
                        <w:tcBorders>
                          <w:top w:val="single" w:sz="4" w:space="0" w:color="auto"/>
                          <w:left w:val="single" w:sz="4" w:space="0" w:color="auto"/>
                          <w:bottom w:val="single" w:sz="4" w:space="0" w:color="auto"/>
                          <w:right w:val="single" w:sz="4" w:space="0" w:color="auto"/>
                        </w:tcBorders>
                        <w:vAlign w:val="center"/>
                      </w:tcPr>
                      <w:p>
                        <w:pPr>
                          <w:tabs>
                            <w:tab w:val="left" w:pos="540"/>
                          </w:tabs>
                          <w:ind w:right="-108"/>
                          <w:rPr>
                            <w:color w:val="000000"/>
                            <w:sz w:val="20"/>
                          </w:rPr>
                        </w:pPr>
                        <w:r>
                          <w:rPr>
                            <w:color w:val="000000"/>
                            <w:sz w:val="20"/>
                          </w:rPr>
                          <w:t>Telšių socialinių paslaugų centras;</w:t>
                        </w:r>
                      </w:p>
                      <w:p>
                        <w:pPr>
                          <w:tabs>
                            <w:tab w:val="left" w:pos="540"/>
                          </w:tabs>
                          <w:ind w:right="-108"/>
                          <w:rPr>
                            <w:color w:val="000000"/>
                            <w:sz w:val="20"/>
                          </w:rPr>
                        </w:pPr>
                        <w:r>
                          <w:rPr>
                            <w:color w:val="000000"/>
                            <w:sz w:val="20"/>
                          </w:rPr>
                          <w:t>Telšių vyskupijos Carito labdaros valgykla; kaimo bendruomenės, bei kitos nevyriausybinės organizacijos</w:t>
                        </w:r>
                      </w:p>
                    </w:tc>
                    <w:tc>
                      <w:tcPr>
                        <w:tcW w:w="3827" w:type="dxa"/>
                        <w:tcBorders>
                          <w:top w:val="single" w:sz="4" w:space="0" w:color="auto"/>
                          <w:left w:val="single" w:sz="4" w:space="0" w:color="auto"/>
                          <w:bottom w:val="single" w:sz="4" w:space="0" w:color="auto"/>
                          <w:right w:val="single" w:sz="4" w:space="0" w:color="auto"/>
                        </w:tcBorders>
                        <w:vAlign w:val="center"/>
                      </w:tcPr>
                      <w:p>
                        <w:pPr>
                          <w:tabs>
                            <w:tab w:val="left" w:pos="540"/>
                          </w:tabs>
                          <w:rPr>
                            <w:color w:val="000000"/>
                            <w:sz w:val="20"/>
                          </w:rPr>
                        </w:pPr>
                        <w:r>
                          <w:rPr>
                            <w:color w:val="000000"/>
                            <w:sz w:val="20"/>
                          </w:rPr>
                          <w:t xml:space="preserve">Pradėtos teikti dienos užimtumo, maitinimo organizavimo paslaugos bendruomenės centruose, asmeninės  higienos paslaugos (maudymosi, skalbimo) – bendruomenių centruose, viešosiose pirtyse, paslaugų įstaigose. Suteikta laikino apnakvindinimo paslaugų 30 asmenų; apgyvendinimo nakvynės namuose – 35; nemokamo maitinimo Caritas valgykloje – 50 asmenų;</w:t>
                        </w:r>
                      </w:p>
                      <w:p>
                        <w:pPr>
                          <w:tabs>
                            <w:tab w:val="left" w:pos="540"/>
                          </w:tabs>
                          <w:rPr>
                            <w:color w:val="000000"/>
                            <w:sz w:val="20"/>
                          </w:rPr>
                        </w:pPr>
                        <w:r>
                          <w:rPr>
                            <w:color w:val="000000"/>
                            <w:sz w:val="20"/>
                          </w:rPr>
                          <w:t xml:space="preserve">asmeninės  higienos paslaugų –10.</w:t>
                        </w:r>
                      </w:p>
                    </w:tc>
                  </w:tr>
                  <w:tr>
                    <w:trPr>
                      <w:trHeight w:val="257"/>
                    </w:trPr>
                    <w:tc>
                      <w:tcPr>
                        <w:tcW w:w="14707" w:type="dxa"/>
                        <w:gridSpan w:val="6"/>
                        <w:tcBorders>
                          <w:left w:val="single" w:sz="4" w:space="0" w:color="auto"/>
                          <w:right w:val="single" w:sz="4" w:space="0" w:color="auto"/>
                        </w:tcBorders>
                        <w:vAlign w:val="center"/>
                      </w:tcPr>
                      <w:p>
                        <w:pPr>
                          <w:rPr>
                            <w:color w:val="000000"/>
                            <w:sz w:val="20"/>
                          </w:rPr>
                        </w:pPr>
                        <w:r>
                          <w:rPr>
                            <w:b/>
                            <w:color w:val="000000"/>
                            <w:sz w:val="20"/>
                          </w:rPr>
                          <w:t>4. tikslas. Stiprinti socialinių paslaugų teikimą senyvo amžiaus ir neįgaliems asmenims ir vykdyti neįgaliųjų ir senyvo amžiaus asmenų integraciją į visuomenę</w:t>
                        </w:r>
                      </w:p>
                    </w:tc>
                  </w:tr>
                  <w:tr>
                    <w:trPr>
                      <w:trHeight w:val="208"/>
                    </w:trPr>
                    <w:tc>
                      <w:tcPr>
                        <w:tcW w:w="2518" w:type="dxa"/>
                        <w:gridSpan w:val="2"/>
                        <w:vMerge w:val="restart"/>
                        <w:tcBorders>
                          <w:top w:val="single" w:sz="4" w:space="0" w:color="auto"/>
                          <w:left w:val="single" w:sz="4" w:space="0" w:color="auto"/>
                          <w:right w:val="single" w:sz="4" w:space="0" w:color="auto"/>
                        </w:tcBorders>
                        <w:vAlign w:val="center"/>
                      </w:tcPr>
                      <w:p>
                        <w:pPr>
                          <w:rPr>
                            <w:b/>
                            <w:color w:val="000000"/>
                            <w:sz w:val="20"/>
                          </w:rPr>
                        </w:pPr>
                      </w:p>
                      <w:p>
                        <w:pPr>
                          <w:rPr>
                            <w:b/>
                            <w:color w:val="000000"/>
                            <w:sz w:val="20"/>
                          </w:rPr>
                        </w:pPr>
                        <w:r>
                          <w:rPr>
                            <w:b/>
                            <w:color w:val="000000"/>
                            <w:sz w:val="20"/>
                          </w:rPr>
                          <w:t>Vykdyti neįgalių ir senyvo amžiaus asmenų integraciją į visuomenę, didinti socialinių paslaugų prieinamumą pagal poreikį</w:t>
                        </w: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Vykdyti būsto ir aplinkos pritaikymo neįgaliesiems programą</w:t>
                        </w:r>
                      </w:p>
                    </w:tc>
                    <w:tc>
                      <w:tcPr>
                        <w:tcW w:w="1984"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37,01 tūkst. Eur (VB); 18,2 tūkst. Eur (SB)</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Socialinės paramos ir rūpybos skyrius, Statybos ir  urbanistikos skyrius</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Pritaikyti 4 būstai. </w:t>
                        </w:r>
                      </w:p>
                    </w:tc>
                  </w:tr>
                  <w:tr>
                    <w:trPr>
                      <w:trHeight w:val="208"/>
                    </w:trPr>
                    <w:tc>
                      <w:tcPr>
                        <w:tcW w:w="2518" w:type="dxa"/>
                        <w:gridSpan w:val="2"/>
                        <w:vMerge/>
                        <w:tcBorders>
                          <w:top w:val="single" w:sz="4" w:space="0" w:color="auto"/>
                          <w:left w:val="single" w:sz="4" w:space="0" w:color="auto"/>
                          <w:right w:val="single" w:sz="4" w:space="0" w:color="auto"/>
                        </w:tcBorders>
                        <w:vAlign w:val="center"/>
                      </w:tcPr>
                      <w:p>
                        <w:pPr>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Parengti Viešosios aplinkos pritaikymo programą ir įgyvendinti ją</w:t>
                        </w:r>
                      </w:p>
                    </w:tc>
                    <w:tc>
                      <w:tcPr>
                        <w:tcW w:w="1984"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10,0 tūkst. Eur (SB)</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Socialinės paramos ir rūpybos skyrius, Statybos ir  urbanistikos skyrius</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Pritaikyti 2 viešosios paskirties objektai.</w:t>
                        </w:r>
                      </w:p>
                    </w:tc>
                  </w:tr>
                  <w:tr>
                    <w:trPr>
                      <w:trHeight w:val="208"/>
                    </w:trPr>
                    <w:tc>
                      <w:tcPr>
                        <w:tcW w:w="2518" w:type="dxa"/>
                        <w:gridSpan w:val="2"/>
                        <w:vMerge/>
                        <w:tcBorders>
                          <w:left w:val="single" w:sz="4" w:space="0" w:color="auto"/>
                          <w:right w:val="single" w:sz="4" w:space="0" w:color="auto"/>
                        </w:tcBorders>
                        <w:vAlign w:val="center"/>
                      </w:tcPr>
                      <w:p>
                        <w:pPr>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Finansuoti socialinius projektus</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 xml:space="preserve">30,0 tūkst. Eur (SB) </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Socialinės paramos ir rūpybos skyrius, NVO</w:t>
                        </w:r>
                      </w:p>
                    </w:tc>
                    <w:tc>
                      <w:tcPr>
                        <w:tcW w:w="3827" w:type="dxa"/>
                        <w:tcBorders>
                          <w:top w:val="single" w:sz="4" w:space="0" w:color="auto"/>
                          <w:left w:val="single" w:sz="4" w:space="0" w:color="auto"/>
                          <w:bottom w:val="single" w:sz="4" w:space="0" w:color="auto"/>
                          <w:right w:val="single" w:sz="4" w:space="0" w:color="auto"/>
                        </w:tcBorders>
                        <w:vAlign w:val="center"/>
                      </w:tcPr>
                      <w:p>
                        <w:pPr>
                          <w:tabs>
                            <w:tab w:val="left" w:pos="540"/>
                          </w:tabs>
                          <w:rPr>
                            <w:color w:val="000000"/>
                            <w:szCs w:val="24"/>
                          </w:rPr>
                        </w:pPr>
                        <w:r>
                          <w:rPr>
                            <w:color w:val="000000"/>
                            <w:sz w:val="20"/>
                          </w:rPr>
                          <w:t>Finansuota ne mažiau kaip 14 socialinių projektų.</w:t>
                        </w:r>
                      </w:p>
                    </w:tc>
                  </w:tr>
                  <w:tr>
                    <w:trPr>
                      <w:trHeight w:val="208"/>
                    </w:trPr>
                    <w:tc>
                      <w:tcPr>
                        <w:tcW w:w="2518" w:type="dxa"/>
                        <w:gridSpan w:val="2"/>
                        <w:vMerge/>
                        <w:tcBorders>
                          <w:left w:val="single" w:sz="4" w:space="0" w:color="auto"/>
                          <w:right w:val="single" w:sz="4" w:space="0" w:color="auto"/>
                        </w:tcBorders>
                        <w:vAlign w:val="center"/>
                      </w:tcPr>
                      <w:p>
                        <w:pPr>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Organizuoti socialinės reabilitacijos paslaugų neįgaliesiems bendruomenėje teikimą</w:t>
                        </w:r>
                      </w:p>
                    </w:tc>
                    <w:tc>
                      <w:tcPr>
                        <w:tcW w:w="1984"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58,5 tūkst. Eur (VB),</w:t>
                        </w:r>
                      </w:p>
                      <w:p>
                        <w:pPr>
                          <w:tabs>
                            <w:tab w:val="left" w:pos="303"/>
                            <w:tab w:val="left" w:pos="540"/>
                          </w:tabs>
                          <w:snapToGrid w:val="0"/>
                          <w:jc w:val="center"/>
                          <w:rPr>
                            <w:color w:val="000000"/>
                            <w:sz w:val="20"/>
                          </w:rPr>
                        </w:pPr>
                        <w:r>
                          <w:rPr>
                            <w:color w:val="000000"/>
                            <w:sz w:val="20"/>
                          </w:rPr>
                          <w:t xml:space="preserve">11,7 tūkst. Eur (SB) </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Socialinės paramos ir rūpybos skyrius, NVO</w:t>
                        </w:r>
                      </w:p>
                    </w:tc>
                    <w:tc>
                      <w:tcPr>
                        <w:tcW w:w="3827"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Finansavimas skirtas 7 nevyriausybinių organizacijų projektams. Paslaugas gaus 370 neįgalių asmenų.</w:t>
                        </w:r>
                      </w:p>
                    </w:tc>
                  </w:tr>
                  <w:tr>
                    <w:trPr>
                      <w:trHeight w:val="208"/>
                    </w:trPr>
                    <w:tc>
                      <w:tcPr>
                        <w:tcW w:w="2518" w:type="dxa"/>
                        <w:gridSpan w:val="2"/>
                        <w:vMerge/>
                        <w:tcBorders>
                          <w:left w:val="single" w:sz="4" w:space="0" w:color="auto"/>
                          <w:right w:val="single" w:sz="4" w:space="0" w:color="auto"/>
                        </w:tcBorders>
                        <w:vAlign w:val="center"/>
                      </w:tcPr>
                      <w:p>
                        <w:pPr>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strike/>
                            <w:color w:val="000000"/>
                            <w:sz w:val="20"/>
                          </w:rPr>
                        </w:pPr>
                        <w:r>
                          <w:rPr>
                            <w:color w:val="000000"/>
                            <w:sz w:val="20"/>
                          </w:rPr>
                          <w:t>Plėtoti bendrųjų socialinių paslaugų ir pagalbos į namus paslaugų teikimą Telšių miesto ir kaimiškų seniūnijų bei nuošalesnių vietovių gyventojams, į paslaugų teikimą įtraukiant kaimo bendruomenes</w:t>
                        </w:r>
                      </w:p>
                    </w:tc>
                    <w:tc>
                      <w:tcPr>
                        <w:tcW w:w="1984" w:type="dxa"/>
                        <w:tcBorders>
                          <w:top w:val="single" w:sz="4" w:space="0" w:color="auto"/>
                          <w:left w:val="single" w:sz="4" w:space="0" w:color="auto"/>
                          <w:bottom w:val="single" w:sz="4" w:space="0" w:color="auto"/>
                          <w:right w:val="single" w:sz="4" w:space="0" w:color="auto"/>
                        </w:tcBorders>
                        <w:vAlign w:val="center"/>
                      </w:tcPr>
                      <w:p>
                        <w:pPr>
                          <w:rPr>
                            <w:strike/>
                            <w:color w:val="000000"/>
                            <w:sz w:val="20"/>
                          </w:rPr>
                        </w:pPr>
                        <w:r>
                          <w:rPr>
                            <w:color w:val="000000"/>
                            <w:sz w:val="20"/>
                          </w:rPr>
                          <w:t>SB, asmens lėšos, kitos lėšos</w:t>
                        </w:r>
                      </w:p>
                    </w:tc>
                    <w:tc>
                      <w:tcPr>
                        <w:tcW w:w="3118" w:type="dxa"/>
                        <w:tcBorders>
                          <w:top w:val="single" w:sz="4" w:space="0" w:color="auto"/>
                          <w:left w:val="single" w:sz="4" w:space="0" w:color="auto"/>
                          <w:bottom w:val="single" w:sz="4" w:space="0" w:color="auto"/>
                          <w:right w:val="single" w:sz="4" w:space="0" w:color="auto"/>
                        </w:tcBorders>
                        <w:vAlign w:val="center"/>
                      </w:tcPr>
                      <w:p>
                        <w:pPr>
                          <w:rPr>
                            <w:strike/>
                            <w:color w:val="000000"/>
                            <w:sz w:val="20"/>
                          </w:rPr>
                        </w:pPr>
                        <w:r>
                          <w:rPr>
                            <w:color w:val="000000"/>
                            <w:sz w:val="20"/>
                          </w:rPr>
                          <w:t>Socialinės paramos ir rūpybos skyrius, Telšių socialinių paslaugų centras, kaimo bendruomenės, NVO</w:t>
                        </w:r>
                      </w:p>
                    </w:tc>
                    <w:tc>
                      <w:tcPr>
                        <w:tcW w:w="3827" w:type="dxa"/>
                        <w:tcBorders>
                          <w:top w:val="single" w:sz="4" w:space="0" w:color="auto"/>
                          <w:left w:val="single" w:sz="4" w:space="0" w:color="auto"/>
                          <w:bottom w:val="single" w:sz="4" w:space="0" w:color="auto"/>
                          <w:right w:val="single" w:sz="4" w:space="0" w:color="auto"/>
                        </w:tcBorders>
                        <w:vAlign w:val="center"/>
                      </w:tcPr>
                      <w:p>
                        <w:pPr>
                          <w:tabs>
                            <w:tab w:val="left" w:pos="540"/>
                          </w:tabs>
                          <w:rPr>
                            <w:color w:val="000000"/>
                            <w:sz w:val="20"/>
                          </w:rPr>
                        </w:pPr>
                        <w:r>
                          <w:rPr>
                            <w:color w:val="000000"/>
                            <w:sz w:val="20"/>
                          </w:rPr>
                          <w:t xml:space="preserve">Paslaugas gaus: pagalbos į namus –  160, sociokultūrinių – 105, asmeninės higienos –30, transporto organizavimo paslaugų – .250 asmenų</w:t>
                        </w:r>
                      </w:p>
                      <w:p>
                        <w:pPr>
                          <w:tabs>
                            <w:tab w:val="left" w:pos="540"/>
                          </w:tabs>
                          <w:rPr>
                            <w:strike/>
                            <w:color w:val="000000"/>
                            <w:sz w:val="20"/>
                          </w:rPr>
                        </w:pPr>
                        <w:r>
                          <w:rPr>
                            <w:color w:val="000000"/>
                            <w:sz w:val="20"/>
                          </w:rPr>
                          <w:t xml:space="preserve">Į paslaugų į namus teikimą įtraukta 1 kaimo bendruomenė. Į transporto paslaugų teikimą įtraukta 1 NVO. </w:t>
                        </w:r>
                      </w:p>
                    </w:tc>
                  </w:tr>
                  <w:tr>
                    <w:trPr>
                      <w:trHeight w:val="1462"/>
                    </w:trPr>
                    <w:tc>
                      <w:tcPr>
                        <w:tcW w:w="2518" w:type="dxa"/>
                        <w:gridSpan w:val="2"/>
                        <w:vMerge/>
                        <w:tcBorders>
                          <w:left w:val="single" w:sz="4" w:space="0" w:color="auto"/>
                          <w:right w:val="single" w:sz="4" w:space="0" w:color="auto"/>
                        </w:tcBorders>
                        <w:vAlign w:val="center"/>
                      </w:tcPr>
                      <w:p>
                        <w:pPr>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Teikti apgyvendinimo paslaugas savarankiško gyvenimo namuose ir ieškoti infrastruktūros plėtros galimybių</w:t>
                        </w:r>
                      </w:p>
                    </w:tc>
                    <w:tc>
                      <w:tcPr>
                        <w:tcW w:w="1984" w:type="dxa"/>
                        <w:tcBorders>
                          <w:top w:val="single" w:sz="4" w:space="0" w:color="auto"/>
                          <w:left w:val="single" w:sz="4" w:space="0" w:color="auto"/>
                          <w:bottom w:val="single" w:sz="4" w:space="0" w:color="auto"/>
                          <w:right w:val="single" w:sz="4" w:space="0" w:color="auto"/>
                        </w:tcBorders>
                        <w:vAlign w:val="center"/>
                      </w:tcPr>
                      <w:p>
                        <w:pPr>
                          <w:tabs>
                            <w:tab w:val="left" w:pos="540"/>
                          </w:tabs>
                          <w:jc w:val="center"/>
                          <w:rPr>
                            <w:color w:val="000000"/>
                            <w:sz w:val="20"/>
                          </w:rPr>
                        </w:pPr>
                        <w:r>
                          <w:rPr>
                            <w:color w:val="000000"/>
                            <w:sz w:val="20"/>
                          </w:rPr>
                          <w:t>SB, asmens lėšos, kitos lėšos</w:t>
                        </w:r>
                      </w:p>
                    </w:tc>
                    <w:tc>
                      <w:tcPr>
                        <w:tcW w:w="3118" w:type="dxa"/>
                        <w:tcBorders>
                          <w:top w:val="single" w:sz="4" w:space="0" w:color="auto"/>
                          <w:left w:val="single" w:sz="4" w:space="0" w:color="auto"/>
                          <w:bottom w:val="single" w:sz="4" w:space="0" w:color="auto"/>
                          <w:right w:val="single" w:sz="4" w:space="0" w:color="auto"/>
                        </w:tcBorders>
                        <w:vAlign w:val="center"/>
                      </w:tcPr>
                      <w:p>
                        <w:pPr>
                          <w:tabs>
                            <w:tab w:val="left" w:pos="540"/>
                          </w:tabs>
                          <w:ind w:right="-108"/>
                          <w:rPr>
                            <w:color w:val="000000"/>
                            <w:sz w:val="20"/>
                          </w:rPr>
                        </w:pPr>
                        <w:r>
                          <w:rPr>
                            <w:color w:val="000000"/>
                            <w:sz w:val="20"/>
                          </w:rPr>
                          <w:t>Socialinės paramos ir rūpybos skyrius, Telšių socialinių paslaugų centras, Telšių rajono senelių globos namai</w:t>
                        </w:r>
                      </w:p>
                    </w:tc>
                    <w:tc>
                      <w:tcPr>
                        <w:tcW w:w="3827" w:type="dxa"/>
                        <w:tcBorders>
                          <w:top w:val="single" w:sz="4" w:space="0" w:color="auto"/>
                          <w:left w:val="single" w:sz="4" w:space="0" w:color="auto"/>
                          <w:bottom w:val="single" w:sz="4" w:space="0" w:color="auto"/>
                          <w:right w:val="single" w:sz="4" w:space="0" w:color="auto"/>
                        </w:tcBorders>
                        <w:vAlign w:val="center"/>
                      </w:tcPr>
                      <w:p>
                        <w:pPr>
                          <w:tabs>
                            <w:tab w:val="left" w:pos="540"/>
                          </w:tabs>
                          <w:rPr>
                            <w:color w:val="000000"/>
                            <w:sz w:val="20"/>
                          </w:rPr>
                        </w:pPr>
                        <w:r>
                          <w:rPr>
                            <w:color w:val="000000"/>
                            <w:sz w:val="20"/>
                          </w:rPr>
                          <w:t>Suteiktos socialinės paslaugos Telšių rajono senelių globos namų struktūriniame padalinyje – Gedrimų savarankiško gyvenimo namuose – 35.</w:t>
                        </w:r>
                      </w:p>
                      <w:p>
                        <w:pPr>
                          <w:tabs>
                            <w:tab w:val="left" w:pos="540"/>
                          </w:tabs>
                          <w:rPr>
                            <w:color w:val="000000"/>
                            <w:sz w:val="20"/>
                          </w:rPr>
                        </w:pPr>
                        <w:r>
                          <w:rPr>
                            <w:color w:val="000000"/>
                            <w:sz w:val="20"/>
                          </w:rPr>
                          <w:t>Apklaustos bendruomenės dėl paslaugų plėtojimo ir savarankiškų/ grupinių namų kūrimo jų seniūnijos teritorijoje poreikio bei galimybių.</w:t>
                        </w:r>
                      </w:p>
                    </w:tc>
                  </w:tr>
                  <w:tr>
                    <w:trPr>
                      <w:trHeight w:val="208"/>
                    </w:trPr>
                    <w:tc>
                      <w:tcPr>
                        <w:tcW w:w="2518" w:type="dxa"/>
                        <w:gridSpan w:val="2"/>
                        <w:vMerge/>
                        <w:tcBorders>
                          <w:left w:val="single" w:sz="4" w:space="0" w:color="auto"/>
                          <w:bottom w:val="single" w:sz="4" w:space="0" w:color="auto"/>
                          <w:right w:val="single" w:sz="4" w:space="0" w:color="auto"/>
                        </w:tcBorders>
                        <w:vAlign w:val="center"/>
                      </w:tcPr>
                      <w:p>
                        <w:pPr>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Organizuoti kompleksinę/ integralią dienos socialinę globą asmenų namuose</w:t>
                        </w:r>
                      </w:p>
                      <w:p>
                        <w:pPr>
                          <w:rPr>
                            <w:color w:val="000000"/>
                            <w:sz w:val="20"/>
                          </w:rPr>
                        </w:pP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SB, asmens įmokos, VB,</w:t>
                        </w:r>
                      </w:p>
                      <w:p>
                        <w:pPr>
                          <w:jc w:val="center"/>
                          <w:rPr>
                            <w:color w:val="000000"/>
                            <w:sz w:val="20"/>
                          </w:rPr>
                        </w:pPr>
                        <w:r>
                          <w:rPr>
                            <w:color w:val="000000"/>
                            <w:sz w:val="20"/>
                          </w:rPr>
                          <w:t>kitos lėšos</w:t>
                        </w:r>
                      </w:p>
                      <w:p>
                        <w:pPr>
                          <w:jc w:val="center"/>
                          <w:rPr>
                            <w:color w:val="000000"/>
                            <w:sz w:val="20"/>
                          </w:rPr>
                        </w:pPr>
                        <w:r>
                          <w:rPr>
                            <w:color w:val="000000"/>
                            <w:sz w:val="20"/>
                          </w:rPr>
                          <w:t>ES lėšos, kitos lėšos, asmens lėšos</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Socialinės paramos ir rūpybos skyrius, Telšių socialinių paslaugų centras, kiti galimi teikėjai</w:t>
                        </w:r>
                      </w:p>
                    </w:tc>
                    <w:tc>
                      <w:tcPr>
                        <w:tcW w:w="3827" w:type="dxa"/>
                        <w:tcBorders>
                          <w:top w:val="single" w:sz="4" w:space="0" w:color="auto"/>
                          <w:left w:val="single" w:sz="4" w:space="0" w:color="auto"/>
                          <w:bottom w:val="single" w:sz="4" w:space="0" w:color="auto"/>
                          <w:right w:val="single" w:sz="4" w:space="0" w:color="auto"/>
                        </w:tcBorders>
                        <w:vAlign w:val="center"/>
                      </w:tcPr>
                      <w:p>
                        <w:pPr>
                          <w:tabs>
                            <w:tab w:val="left" w:pos="248"/>
                          </w:tabs>
                          <w:jc w:val="center"/>
                          <w:rPr>
                            <w:color w:val="000000"/>
                            <w:sz w:val="20"/>
                          </w:rPr>
                        </w:pPr>
                        <w:r>
                          <w:rPr>
                            <w:color w:val="000000"/>
                            <w:sz w:val="20"/>
                          </w:rPr>
                          <w:t>Dienos socialinės globos namuose paslaugų gavėjų ~60; integralios pagalbos – 35.</w:t>
                        </w:r>
                      </w:p>
                    </w:tc>
                  </w:tr>
                  <w:tr>
                    <w:trPr>
                      <w:trHeight w:val="208"/>
                    </w:trPr>
                    <w:tc>
                      <w:tcPr>
                        <w:tcW w:w="2518" w:type="dxa"/>
                        <w:gridSpan w:val="2"/>
                        <w:vMerge/>
                        <w:tcBorders>
                          <w:left w:val="single" w:sz="4" w:space="0" w:color="auto"/>
                          <w:right w:val="single" w:sz="4" w:space="0" w:color="auto"/>
                        </w:tcBorders>
                        <w:vAlign w:val="center"/>
                      </w:tcPr>
                      <w:p>
                        <w:pPr>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Didinti trumpalaikės, dienos socialinės globos/ atokvėpio paslaugų suteikimo galimybes institucijoje</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SB, asmens įmokos, VB,</w:t>
                        </w:r>
                      </w:p>
                      <w:p>
                        <w:pPr>
                          <w:jc w:val="center"/>
                          <w:rPr>
                            <w:color w:val="000000"/>
                            <w:sz w:val="20"/>
                          </w:rPr>
                        </w:pPr>
                        <w:r>
                          <w:rPr>
                            <w:color w:val="000000"/>
                            <w:sz w:val="20"/>
                          </w:rPr>
                          <w:t>kitos lėšos</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 xml:space="preserve">Socialinės paramos ir rūpybos skyrius, Telšių socialinių paslaugų centras, Telšių rajono senelių globos namai, </w:t>
                        </w:r>
                      </w:p>
                      <w:p>
                        <w:pPr>
                          <w:rPr>
                            <w:color w:val="000000"/>
                            <w:sz w:val="20"/>
                          </w:rPr>
                        </w:pPr>
                        <w:r>
                          <w:rPr>
                            <w:color w:val="000000"/>
                            <w:sz w:val="20"/>
                          </w:rPr>
                          <w:t xml:space="preserve">Telšių „Vilties“ mokykla, VPSPC </w:t>
                        </w:r>
                      </w:p>
                    </w:tc>
                    <w:tc>
                      <w:tcPr>
                        <w:tcW w:w="3827" w:type="dxa"/>
                        <w:tcBorders>
                          <w:top w:val="single" w:sz="4" w:space="0" w:color="auto"/>
                          <w:left w:val="single" w:sz="4" w:space="0" w:color="auto"/>
                          <w:bottom w:val="single" w:sz="4" w:space="0" w:color="auto"/>
                          <w:right w:val="single" w:sz="4" w:space="0" w:color="auto"/>
                        </w:tcBorders>
                        <w:vAlign w:val="center"/>
                      </w:tcPr>
                      <w:p>
                        <w:pPr>
                          <w:tabs>
                            <w:tab w:val="left" w:pos="248"/>
                          </w:tabs>
                          <w:rPr>
                            <w:color w:val="000000"/>
                            <w:sz w:val="20"/>
                          </w:rPr>
                        </w:pPr>
                        <w:r>
                          <w:rPr>
                            <w:color w:val="000000"/>
                            <w:sz w:val="20"/>
                          </w:rPr>
                          <w:t xml:space="preserve">Dienos socialinės globos institucijoje gavėjų skaičius – 38; VPSPC – 15; Telšių rajono senelių globos namuose  –  2.</w:t>
                        </w:r>
                      </w:p>
                    </w:tc>
                  </w:tr>
                  <w:tr>
                    <w:trPr>
                      <w:trHeight w:val="208"/>
                    </w:trPr>
                    <w:tc>
                      <w:tcPr>
                        <w:tcW w:w="2518" w:type="dxa"/>
                        <w:gridSpan w:val="2"/>
                        <w:vMerge/>
                        <w:tcBorders>
                          <w:left w:val="single" w:sz="4" w:space="0" w:color="auto"/>
                          <w:right w:val="single" w:sz="4" w:space="0" w:color="auto"/>
                        </w:tcBorders>
                        <w:vAlign w:val="center"/>
                      </w:tcPr>
                      <w:p>
                        <w:pPr>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Organizuoti ilgalaikės/ trumpalaikės socialinės globos teikimą ir vykdyti alternatyvių teikėjų paiešką.</w:t>
                        </w:r>
                        <w:r>
                          <w:rPr>
                            <w:strike/>
                            <w:color w:val="000000"/>
                            <w:sz w:val="20"/>
                          </w:rPr>
                          <w:t xml:space="preserve"> </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SB, VB, asmens įmokos, kitos lėšos</w:t>
                        </w:r>
                      </w:p>
                    </w:tc>
                    <w:tc>
                      <w:tcPr>
                        <w:tcW w:w="31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Socialinės paramos ir rūpybos skyrius, seniūnijos, nevyriausybinės organizacijos, privatūs teikėjai ir kiti subjektai</w:t>
                        </w:r>
                      </w:p>
                    </w:tc>
                    <w:tc>
                      <w:tcPr>
                        <w:tcW w:w="3827" w:type="dxa"/>
                        <w:tcBorders>
                          <w:top w:val="single" w:sz="4" w:space="0" w:color="auto"/>
                          <w:left w:val="single" w:sz="4" w:space="0" w:color="auto"/>
                          <w:bottom w:val="single" w:sz="4" w:space="0" w:color="auto"/>
                          <w:right w:val="single" w:sz="4" w:space="0" w:color="auto"/>
                        </w:tcBorders>
                        <w:vAlign w:val="center"/>
                      </w:tcPr>
                      <w:p>
                        <w:pPr>
                          <w:tabs>
                            <w:tab w:val="left" w:pos="540"/>
                          </w:tabs>
                          <w:rPr>
                            <w:color w:val="000000"/>
                            <w:sz w:val="20"/>
                          </w:rPr>
                        </w:pPr>
                        <w:r>
                          <w:rPr>
                            <w:color w:val="000000"/>
                            <w:sz w:val="20"/>
                          </w:rPr>
                          <w:t xml:space="preserve">Telšių rajono senelių globos namuose – 65; perkamos paslaugos – 45. </w:t>
                        </w:r>
                      </w:p>
                      <w:p>
                        <w:pPr>
                          <w:tabs>
                            <w:tab w:val="left" w:pos="540"/>
                          </w:tabs>
                          <w:rPr>
                            <w:color w:val="000000"/>
                            <w:sz w:val="20"/>
                          </w:rPr>
                        </w:pPr>
                        <w:r>
                          <w:rPr>
                            <w:color w:val="000000"/>
                            <w:sz w:val="20"/>
                          </w:rPr>
                          <w:t>Surastas 1 alternatyvus paslaugų teikėjas.</w:t>
                        </w:r>
                      </w:p>
                      <w:p>
                        <w:pPr>
                          <w:tabs>
                            <w:tab w:val="left" w:pos="540"/>
                          </w:tabs>
                          <w:rPr>
                            <w:color w:val="000000"/>
                            <w:sz w:val="20"/>
                            <w:highlight w:val="green"/>
                          </w:rPr>
                        </w:pPr>
                        <w:r>
                          <w:rPr>
                            <w:color w:val="000000"/>
                            <w:sz w:val="20"/>
                          </w:rPr>
                          <w:t>Organizuota pagalba 2 asmenims mokant pagalbos pinigus.</w:t>
                        </w:r>
                      </w:p>
                    </w:tc>
                  </w:tr>
                </w:tbl>
                <w:p>
                  <w:pPr>
                    <w:tabs>
                      <w:tab w:val="left" w:pos="1276"/>
                      <w:tab w:val="left" w:pos="1985"/>
                    </w:tabs>
                    <w:ind w:left="709"/>
                    <w:outlineLvl w:val="1"/>
                    <w:rPr>
                      <w:bCs/>
                      <w:color w:val="000000"/>
                      <w:szCs w:val="24"/>
                      <w:lang w:eastAsia="lt-LT"/>
                    </w:rPr>
                  </w:pPr>
                </w:p>
                <w:p>
                  <w:pPr>
                    <w:jc w:val="center"/>
                    <w:rPr>
                      <w:szCs w:val="24"/>
                    </w:rPr>
                  </w:pPr>
                  <w:r>
                    <w:rPr>
                      <w:szCs w:val="24"/>
                    </w:rPr>
                    <w:t>___________________________</w:t>
                  </w:r>
                </w:p>
                <w:p>
                  <w:pPr>
                    <w:ind w:left="709"/>
                    <w:outlineLvl w:val="1"/>
                    <w:rPr>
                      <w:b/>
                      <w:bCs/>
                      <w:szCs w:val="24"/>
                      <w:lang w:eastAsia="lt-LT"/>
                    </w:rPr>
                  </w:pPr>
                </w:p>
                <w:p>
                  <w:pPr>
                    <w:ind w:left="709"/>
                    <w:outlineLvl w:val="1"/>
                    <w:rPr>
                      <w:b/>
                      <w:bCs/>
                      <w:color w:val="000000"/>
                      <w:szCs w:val="24"/>
                      <w:lang w:eastAsia="lt-LT"/>
                    </w:rPr>
                  </w:pPr>
                </w:p>
                <w:p>
                  <w:pPr>
                    <w:rPr>
                      <w:sz w:val="4"/>
                      <w:szCs w:val="4"/>
                    </w:rPr>
                  </w:pPr>
                </w:p>
                <w:p>
                  <w:pPr>
                    <w:jc w:val="center"/>
                    <w:rPr>
                      <w:szCs w:val="24"/>
                    </w:rPr>
                    <w:sectPr>
                      <w:pgSz w:w="16837" w:h="11905" w:orient="landscape" w:code="9"/>
                      <w:pgMar w:top="1134" w:right="1701" w:bottom="1134" w:left="567" w:header="567" w:footer="1134" w:gutter="0"/>
                      <w:pgNumType w:start="31"/>
                      <w:cols w:space="1296"/>
                      <w:titlePg/>
                      <w:docGrid w:linePitch="360"/>
                    </w:sectPr>
                  </w:pPr>
                </w:p>
                <w:p>
                  <w:pPr>
                    <w:tabs>
                      <w:tab w:val="center" w:pos="4153"/>
                      <w:tab w:val="right" w:pos="8306"/>
                    </w:tabs>
                    <w:rPr>
                      <w:szCs w:val="24"/>
                      <w:lang w:val="en-GB"/>
                    </w:rPr>
                  </w:pPr>
                </w:p>
                <w:p>
                  <w:pPr>
                    <w:rPr>
                      <w:sz w:val="4"/>
                      <w:szCs w:val="4"/>
                    </w:rPr>
                  </w:pPr>
                </w:p>
                <w:p>
                  <w:pPr>
                    <w:rPr>
                      <w:sz w:val="4"/>
                      <w:szCs w:val="4"/>
                    </w:rPr>
                  </w:pPr>
                </w:p>
              </w:sdtContent>
            </w:sdt>
            <w:sdt>
              <w:sdtPr>
                <w:alias w:val="11 p."/>
                <w:tag w:val="part_85694fd72e494c93ab1e203e106a23f8"/>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
                      <w:szCs w:val="24"/>
                      <w:lang w:eastAsia="ar-SA"/>
                    </w:rPr>
                  </w:pPr>
                  <w:sdt>
                    <w:sdtPr>
                      <w:alias w:val="Numeris"/>
                      <w:tag w:val="nr_85694fd72e494c93ab1e203e106a23f8"/>
                      <w:lock w:val="sdtLocked"/>
                      <w:richText/>
                    </w:sdtPr>
                    <w:sdtContent>
                      <w:r>
                        <w:rPr>
                          <w:b/>
                          <w:szCs w:val="24"/>
                          <w:lang w:eastAsia="ar-SA"/>
                        </w:rPr>
                        <w:t>11</w:t>
                      </w:r>
                    </w:sdtContent>
                  </w:sdt>
                  <w:r>
                    <w:rPr>
                      <w:b/>
                      <w:szCs w:val="24"/>
                      <w:lang w:eastAsia="ar-SA"/>
                    </w:rPr>
                    <w:t xml:space="preserve">. Regioninių socialinių paslaugų poreikis 2017 metais.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328"/>
                    <w:jc w:val="center"/>
                    <w:textAlignment w:val="baseline"/>
                    <w:rPr>
                      <w:szCs w:val="24"/>
                      <w:lang w:eastAsia="ar-SA"/>
                    </w:rPr>
                  </w:pPr>
                </w:p>
                <w:tbl>
                  <w:tblPr>
                    <w:tblW w:w="9862" w:type="dxa"/>
                    <w:tblInd w:w="-34" w:type="dxa"/>
                    <w:tblLayout w:type="fixed"/>
                    <w:tblLook w:val="0000" w:firstRow="0" w:lastRow="0" w:firstColumn="0" w:lastColumn="0" w:noHBand="0" w:noVBand="0"/>
                  </w:tblPr>
                  <w:tblGrid>
                    <w:gridCol w:w="568"/>
                    <w:gridCol w:w="3921"/>
                    <w:gridCol w:w="3393"/>
                    <w:gridCol w:w="1980"/>
                  </w:tblGrid>
                  <w:tr>
                    <w:trPr>
                      <w:tblHeader/>
                    </w:trPr>
                    <w:tc>
                      <w:tcPr>
                        <w:tcW w:w="568" w:type="dxa"/>
                        <w:tcBorders>
                          <w:top w:val="single" w:sz="4" w:space="0" w:color="000000"/>
                          <w:left w:val="single" w:sz="4" w:space="0" w:color="000000"/>
                          <w:bottom w:val="single" w:sz="4" w:space="0" w:color="000000"/>
                        </w:tcBorders>
                        <w:shd w:val="pct5" w:color="auto" w:fill="auto"/>
                        <w:vAlign w:val="center"/>
                      </w:tcPr>
                      <w:p>
                        <w:pPr>
                          <w:jc w:val="center"/>
                          <w:rPr>
                            <w:sz w:val="20"/>
                          </w:rPr>
                        </w:pPr>
                        <w:r>
                          <w:rPr>
                            <w:sz w:val="20"/>
                          </w:rPr>
                          <w:t>Eil. Nr.</w:t>
                        </w:r>
                      </w:p>
                    </w:tc>
                    <w:tc>
                      <w:tcPr>
                        <w:tcW w:w="3921" w:type="dxa"/>
                        <w:tcBorders>
                          <w:top w:val="single" w:sz="4" w:space="0" w:color="000000"/>
                          <w:left w:val="single" w:sz="4" w:space="0" w:color="000000"/>
                          <w:bottom w:val="single" w:sz="4" w:space="0" w:color="000000"/>
                        </w:tcBorders>
                        <w:shd w:val="pct5" w:color="auto" w:fill="auto"/>
                        <w:vAlign w:val="center"/>
                      </w:tcPr>
                      <w:p>
                        <w:pPr>
                          <w:jc w:val="center"/>
                          <w:rPr>
                            <w:sz w:val="20"/>
                          </w:rPr>
                        </w:pPr>
                        <w:r>
                          <w:rPr>
                            <w:sz w:val="20"/>
                          </w:rPr>
                          <w:t xml:space="preserve">Socialinių paslaugų rūšys pagal  žmonių socialines grupes</w:t>
                        </w:r>
                      </w:p>
                    </w:tc>
                    <w:tc>
                      <w:tcPr>
                        <w:tcW w:w="3393" w:type="dxa"/>
                        <w:tcBorders>
                          <w:top w:val="single" w:sz="4" w:space="0" w:color="000000"/>
                          <w:left w:val="single" w:sz="4" w:space="0" w:color="000000"/>
                          <w:bottom w:val="single" w:sz="4" w:space="0" w:color="000000"/>
                        </w:tcBorders>
                        <w:shd w:val="pct5" w:color="auto" w:fill="auto"/>
                        <w:vAlign w:val="center"/>
                      </w:tcPr>
                      <w:p>
                        <w:pPr>
                          <w:jc w:val="center"/>
                          <w:rPr>
                            <w:sz w:val="20"/>
                          </w:rPr>
                        </w:pPr>
                        <w:r>
                          <w:rPr>
                            <w:sz w:val="20"/>
                          </w:rPr>
                          <w:t>Socialinės globos įstaiga</w:t>
                        </w:r>
                      </w:p>
                    </w:tc>
                    <w:tc>
                      <w:tcPr>
                        <w:tcW w:w="1980" w:type="dxa"/>
                        <w:tcBorders>
                          <w:top w:val="single" w:sz="4" w:space="0" w:color="000000"/>
                          <w:left w:val="single" w:sz="4" w:space="0" w:color="000000"/>
                          <w:bottom w:val="single" w:sz="4" w:space="0" w:color="000000"/>
                          <w:right w:val="single" w:sz="4" w:space="0" w:color="000000"/>
                        </w:tcBorders>
                        <w:shd w:val="pct5" w:color="auto" w:fill="auto"/>
                        <w:vAlign w:val="center"/>
                      </w:tcPr>
                      <w:p>
                        <w:pPr>
                          <w:jc w:val="center"/>
                          <w:rPr>
                            <w:sz w:val="20"/>
                          </w:rPr>
                        </w:pPr>
                        <w:r>
                          <w:rPr>
                            <w:sz w:val="20"/>
                          </w:rPr>
                          <w:t>Mastas</w:t>
                        </w:r>
                      </w:p>
                      <w:p>
                        <w:pPr>
                          <w:jc w:val="center"/>
                          <w:rPr>
                            <w:sz w:val="20"/>
                          </w:rPr>
                        </w:pPr>
                        <w:r>
                          <w:rPr>
                            <w:sz w:val="20"/>
                          </w:rPr>
                          <w:t>(vietų sk.)</w:t>
                        </w:r>
                      </w:p>
                    </w:tc>
                  </w:tr>
                  <w:tr>
                    <w:trPr>
                      <w:tblHeader/>
                    </w:trPr>
                    <w:tc>
                      <w:tcPr>
                        <w:tcW w:w="568" w:type="dxa"/>
                        <w:tcBorders>
                          <w:top w:val="single" w:sz="4" w:space="0" w:color="000000"/>
                          <w:left w:val="single" w:sz="4" w:space="0" w:color="000000"/>
                          <w:bottom w:val="single" w:sz="4" w:space="0" w:color="000000"/>
                        </w:tcBorders>
                        <w:shd w:val="clear" w:color="auto" w:fill="D9D9D9"/>
                        <w:vAlign w:val="center"/>
                      </w:tcPr>
                      <w:p>
                        <w:pPr>
                          <w:jc w:val="center"/>
                          <w:rPr>
                            <w:sz w:val="20"/>
                          </w:rPr>
                        </w:pPr>
                        <w:r>
                          <w:rPr>
                            <w:sz w:val="20"/>
                          </w:rPr>
                          <w:t>1.</w:t>
                        </w:r>
                      </w:p>
                    </w:tc>
                    <w:tc>
                      <w:tcPr>
                        <w:tcW w:w="3921" w:type="dxa"/>
                        <w:tcBorders>
                          <w:top w:val="single" w:sz="4" w:space="0" w:color="000000"/>
                          <w:left w:val="single" w:sz="4" w:space="0" w:color="000000"/>
                          <w:bottom w:val="single" w:sz="4" w:space="0" w:color="000000"/>
                        </w:tcBorders>
                        <w:shd w:val="clear" w:color="auto" w:fill="D9D9D9"/>
                        <w:vAlign w:val="center"/>
                      </w:tcPr>
                      <w:p>
                        <w:pPr>
                          <w:rPr>
                            <w:b/>
                            <w:sz w:val="20"/>
                          </w:rPr>
                        </w:pPr>
                        <w:r>
                          <w:rPr>
                            <w:b/>
                            <w:sz w:val="20"/>
                          </w:rPr>
                          <w:t>Ilgalaikė socialinė globa:</w:t>
                        </w:r>
                      </w:p>
                    </w:tc>
                    <w:tc>
                      <w:tcPr>
                        <w:tcW w:w="3393" w:type="dxa"/>
                        <w:tcBorders>
                          <w:top w:val="single" w:sz="4" w:space="0" w:color="000000"/>
                          <w:left w:val="single" w:sz="4" w:space="0" w:color="000000"/>
                          <w:bottom w:val="single" w:sz="4" w:space="0" w:color="000000"/>
                        </w:tcBorders>
                        <w:shd w:val="clear" w:color="auto" w:fill="D9D9D9"/>
                        <w:vAlign w:val="center"/>
                      </w:tcPr>
                      <w:p>
                        <w:pPr>
                          <w:jc w:val="center"/>
                          <w:rPr>
                            <w:sz w:val="20"/>
                          </w:rPr>
                        </w:pPr>
                      </w:p>
                    </w:tc>
                    <w:tc>
                      <w:tcPr>
                        <w:tcW w:w="1980" w:type="dxa"/>
                        <w:tcBorders>
                          <w:top w:val="single" w:sz="4" w:space="0" w:color="000000"/>
                          <w:left w:val="single" w:sz="4" w:space="0" w:color="000000"/>
                          <w:bottom w:val="single" w:sz="4" w:space="0" w:color="000000"/>
                          <w:right w:val="single" w:sz="4" w:space="0" w:color="000000"/>
                        </w:tcBorders>
                        <w:shd w:val="clear" w:color="auto" w:fill="D9D9D9"/>
                        <w:vAlign w:val="center"/>
                      </w:tcPr>
                      <w:p>
                        <w:pPr>
                          <w:jc w:val="center"/>
                          <w:rPr>
                            <w:b/>
                            <w:sz w:val="20"/>
                          </w:rPr>
                        </w:pPr>
                        <w:r>
                          <w:rPr>
                            <w:b/>
                            <w:sz w:val="20"/>
                          </w:rPr>
                          <w:t>6</w:t>
                        </w:r>
                      </w:p>
                    </w:tc>
                  </w:tr>
                  <w:tr>
                    <w:trPr>
                      <w:trHeight w:val="333"/>
                    </w:trPr>
                    <w:tc>
                      <w:tcPr>
                        <w:tcW w:w="568" w:type="dxa"/>
                        <w:tcBorders>
                          <w:left w:val="single" w:sz="4" w:space="0" w:color="000000"/>
                          <w:bottom w:val="single" w:sz="4" w:space="0" w:color="000000"/>
                        </w:tcBorders>
                        <w:vAlign w:val="center"/>
                      </w:tcPr>
                      <w:p>
                        <w:pPr>
                          <w:jc w:val="center"/>
                          <w:rPr>
                            <w:sz w:val="20"/>
                          </w:rPr>
                        </w:pPr>
                        <w:r>
                          <w:rPr>
                            <w:sz w:val="20"/>
                          </w:rPr>
                          <w:t>1.1.</w:t>
                        </w:r>
                      </w:p>
                    </w:tc>
                    <w:tc>
                      <w:tcPr>
                        <w:tcW w:w="3921" w:type="dxa"/>
                        <w:tcBorders>
                          <w:left w:val="single" w:sz="4" w:space="0" w:color="000000"/>
                          <w:bottom w:val="single" w:sz="4" w:space="0" w:color="000000"/>
                        </w:tcBorders>
                        <w:vAlign w:val="center"/>
                      </w:tcPr>
                      <w:p>
                        <w:pPr>
                          <w:rPr>
                            <w:sz w:val="20"/>
                          </w:rPr>
                        </w:pPr>
                        <w:r>
                          <w:rPr>
                            <w:sz w:val="20"/>
                          </w:rPr>
                          <w:t>Asmenims su psichine negalia</w:t>
                        </w:r>
                      </w:p>
                    </w:tc>
                    <w:tc>
                      <w:tcPr>
                        <w:tcW w:w="3393" w:type="dxa"/>
                        <w:tcBorders>
                          <w:left w:val="single" w:sz="4" w:space="0" w:color="000000"/>
                          <w:bottom w:val="single" w:sz="4" w:space="0" w:color="000000"/>
                        </w:tcBorders>
                        <w:vAlign w:val="center"/>
                      </w:tcPr>
                      <w:p>
                        <w:pPr>
                          <w:rPr>
                            <w:sz w:val="20"/>
                          </w:rPr>
                        </w:pPr>
                        <w:r>
                          <w:rPr>
                            <w:sz w:val="20"/>
                          </w:rPr>
                          <w:t>Valstybiniai socialiniai globos namai</w:t>
                        </w:r>
                      </w:p>
                    </w:tc>
                    <w:tc>
                      <w:tcPr>
                        <w:tcW w:w="1980" w:type="dxa"/>
                        <w:tcBorders>
                          <w:left w:val="single" w:sz="4" w:space="0" w:color="000000"/>
                          <w:bottom w:val="single" w:sz="4" w:space="0" w:color="000000"/>
                          <w:right w:val="single" w:sz="4" w:space="0" w:color="000000"/>
                        </w:tcBorders>
                        <w:vAlign w:val="center"/>
                      </w:tcPr>
                      <w:p>
                        <w:pPr>
                          <w:jc w:val="center"/>
                          <w:rPr>
                            <w:sz w:val="20"/>
                          </w:rPr>
                        </w:pPr>
                        <w:r>
                          <w:rPr>
                            <w:sz w:val="20"/>
                          </w:rPr>
                          <w:t>4</w:t>
                        </w:r>
                      </w:p>
                    </w:tc>
                  </w:tr>
                  <w:tr>
                    <w:tc>
                      <w:tcPr>
                        <w:tcW w:w="568" w:type="dxa"/>
                        <w:tcBorders>
                          <w:left w:val="single" w:sz="4" w:space="0" w:color="000000"/>
                          <w:bottom w:val="single" w:sz="4" w:space="0" w:color="000000"/>
                        </w:tcBorders>
                        <w:vAlign w:val="center"/>
                      </w:tcPr>
                      <w:p>
                        <w:pPr>
                          <w:jc w:val="center"/>
                          <w:rPr>
                            <w:sz w:val="20"/>
                          </w:rPr>
                        </w:pPr>
                        <w:r>
                          <w:rPr>
                            <w:sz w:val="20"/>
                          </w:rPr>
                          <w:t>1.2.</w:t>
                        </w:r>
                      </w:p>
                    </w:tc>
                    <w:tc>
                      <w:tcPr>
                        <w:tcW w:w="3921" w:type="dxa"/>
                        <w:tcBorders>
                          <w:left w:val="single" w:sz="4" w:space="0" w:color="000000"/>
                          <w:bottom w:val="single" w:sz="4" w:space="0" w:color="000000"/>
                        </w:tcBorders>
                        <w:vAlign w:val="center"/>
                      </w:tcPr>
                      <w:p>
                        <w:pPr>
                          <w:rPr>
                            <w:sz w:val="20"/>
                          </w:rPr>
                        </w:pPr>
                        <w:r>
                          <w:rPr>
                            <w:sz w:val="20"/>
                          </w:rPr>
                          <w:t>Be tėvų globos likusiems vaikams</w:t>
                        </w:r>
                      </w:p>
                    </w:tc>
                    <w:tc>
                      <w:tcPr>
                        <w:tcW w:w="3393" w:type="dxa"/>
                        <w:tcBorders>
                          <w:left w:val="single" w:sz="4" w:space="0" w:color="000000"/>
                          <w:bottom w:val="single" w:sz="4" w:space="0" w:color="000000"/>
                        </w:tcBorders>
                        <w:vAlign w:val="center"/>
                      </w:tcPr>
                      <w:p>
                        <w:pPr>
                          <w:rPr>
                            <w:sz w:val="20"/>
                          </w:rPr>
                        </w:pPr>
                        <w:r>
                          <w:rPr>
                            <w:sz w:val="20"/>
                          </w:rPr>
                          <w:t xml:space="preserve">Telšių vaikų globos namai, </w:t>
                        </w:r>
                      </w:p>
                      <w:p>
                        <w:pPr>
                          <w:rPr>
                            <w:sz w:val="20"/>
                          </w:rPr>
                        </w:pPr>
                        <w:r>
                          <w:rPr>
                            <w:sz w:val="20"/>
                          </w:rPr>
                          <w:t>Šiaulių vaikų globos namai „Šaltinis“</w:t>
                        </w:r>
                      </w:p>
                    </w:tc>
                    <w:tc>
                      <w:tcPr>
                        <w:tcW w:w="1980" w:type="dxa"/>
                        <w:tcBorders>
                          <w:left w:val="single" w:sz="4" w:space="0" w:color="000000"/>
                          <w:bottom w:val="single" w:sz="4" w:space="0" w:color="000000"/>
                          <w:right w:val="single" w:sz="4" w:space="0" w:color="000000"/>
                        </w:tcBorders>
                        <w:vAlign w:val="center"/>
                      </w:tcPr>
                      <w:p>
                        <w:pPr>
                          <w:jc w:val="center"/>
                          <w:rPr>
                            <w:sz w:val="20"/>
                          </w:rPr>
                        </w:pPr>
                        <w:r>
                          <w:rPr>
                            <w:sz w:val="20"/>
                          </w:rPr>
                          <w:t>2</w:t>
                        </w:r>
                      </w:p>
                    </w:tc>
                  </w:tr>
                  <w:tr>
                    <w:tc>
                      <w:tcPr>
                        <w:tcW w:w="568" w:type="dxa"/>
                        <w:tcBorders>
                          <w:left w:val="single" w:sz="4" w:space="0" w:color="000000"/>
                          <w:bottom w:val="single" w:sz="4" w:space="0" w:color="000000"/>
                        </w:tcBorders>
                        <w:shd w:val="clear" w:color="auto" w:fill="D9D9D9"/>
                        <w:vAlign w:val="center"/>
                      </w:tcPr>
                      <w:p>
                        <w:pPr>
                          <w:jc w:val="center"/>
                          <w:rPr>
                            <w:sz w:val="20"/>
                          </w:rPr>
                        </w:pPr>
                        <w:r>
                          <w:rPr>
                            <w:sz w:val="20"/>
                          </w:rPr>
                          <w:t>2.</w:t>
                        </w:r>
                      </w:p>
                    </w:tc>
                    <w:tc>
                      <w:tcPr>
                        <w:tcW w:w="3921" w:type="dxa"/>
                        <w:tcBorders>
                          <w:left w:val="single" w:sz="4" w:space="0" w:color="000000"/>
                          <w:bottom w:val="single" w:sz="4" w:space="0" w:color="000000"/>
                        </w:tcBorders>
                        <w:shd w:val="clear" w:color="auto" w:fill="D9D9D9"/>
                        <w:vAlign w:val="center"/>
                      </w:tcPr>
                      <w:p>
                        <w:pPr>
                          <w:rPr>
                            <w:b/>
                            <w:sz w:val="20"/>
                          </w:rPr>
                        </w:pPr>
                        <w:r>
                          <w:rPr>
                            <w:b/>
                            <w:sz w:val="20"/>
                          </w:rPr>
                          <w:t>Trumpalaikė socialinė globa:</w:t>
                        </w:r>
                      </w:p>
                    </w:tc>
                    <w:tc>
                      <w:tcPr>
                        <w:tcW w:w="3393" w:type="dxa"/>
                        <w:tcBorders>
                          <w:left w:val="single" w:sz="4" w:space="0" w:color="000000"/>
                          <w:bottom w:val="single" w:sz="4" w:space="0" w:color="000000"/>
                        </w:tcBorders>
                        <w:shd w:val="clear" w:color="auto" w:fill="D9D9D9"/>
                        <w:vAlign w:val="center"/>
                      </w:tcPr>
                      <w:p>
                        <w:pPr>
                          <w:rPr>
                            <w:sz w:val="20"/>
                          </w:rPr>
                        </w:pPr>
                      </w:p>
                    </w:tc>
                    <w:tc>
                      <w:tcPr>
                        <w:tcW w:w="1980" w:type="dxa"/>
                        <w:tcBorders>
                          <w:left w:val="single" w:sz="4" w:space="0" w:color="000000"/>
                          <w:bottom w:val="single" w:sz="4" w:space="0" w:color="000000"/>
                          <w:right w:val="single" w:sz="4" w:space="0" w:color="000000"/>
                        </w:tcBorders>
                        <w:shd w:val="clear" w:color="auto" w:fill="D9D9D9"/>
                        <w:vAlign w:val="center"/>
                      </w:tcPr>
                      <w:p>
                        <w:pPr>
                          <w:jc w:val="center"/>
                          <w:rPr>
                            <w:b/>
                            <w:sz w:val="20"/>
                          </w:rPr>
                        </w:pPr>
                        <w:r>
                          <w:rPr>
                            <w:b/>
                            <w:sz w:val="20"/>
                          </w:rPr>
                          <w:t>2</w:t>
                        </w:r>
                      </w:p>
                    </w:tc>
                  </w:tr>
                  <w:tr>
                    <w:tc>
                      <w:tcPr>
                        <w:tcW w:w="568" w:type="dxa"/>
                        <w:tcBorders>
                          <w:left w:val="single" w:sz="4" w:space="0" w:color="000000"/>
                          <w:bottom w:val="single" w:sz="4" w:space="0" w:color="000000"/>
                        </w:tcBorders>
                        <w:vAlign w:val="center"/>
                      </w:tcPr>
                      <w:p>
                        <w:pPr>
                          <w:jc w:val="center"/>
                          <w:rPr>
                            <w:sz w:val="20"/>
                          </w:rPr>
                        </w:pPr>
                        <w:r>
                          <w:rPr>
                            <w:sz w:val="20"/>
                          </w:rPr>
                          <w:t>2.1.</w:t>
                        </w:r>
                      </w:p>
                    </w:tc>
                    <w:tc>
                      <w:tcPr>
                        <w:tcW w:w="3921" w:type="dxa"/>
                        <w:tcBorders>
                          <w:left w:val="single" w:sz="4" w:space="0" w:color="000000"/>
                          <w:bottom w:val="single" w:sz="4" w:space="0" w:color="000000"/>
                        </w:tcBorders>
                        <w:vAlign w:val="center"/>
                      </w:tcPr>
                      <w:p>
                        <w:pPr>
                          <w:rPr>
                            <w:sz w:val="20"/>
                          </w:rPr>
                        </w:pPr>
                        <w:r>
                          <w:rPr>
                            <w:sz w:val="20"/>
                          </w:rPr>
                          <w:t>Suaugusiems asmenims</w:t>
                        </w:r>
                      </w:p>
                    </w:tc>
                    <w:tc>
                      <w:tcPr>
                        <w:tcW w:w="3393" w:type="dxa"/>
                        <w:tcBorders>
                          <w:left w:val="single" w:sz="4" w:space="0" w:color="000000"/>
                          <w:bottom w:val="single" w:sz="4" w:space="0" w:color="000000"/>
                        </w:tcBorders>
                        <w:vAlign w:val="center"/>
                      </w:tcPr>
                      <w:p>
                        <w:pPr>
                          <w:rPr>
                            <w:sz w:val="20"/>
                          </w:rPr>
                        </w:pPr>
                        <w:r>
                          <w:rPr>
                            <w:sz w:val="20"/>
                          </w:rPr>
                          <w:t>Padvarių socialinės globos namai</w:t>
                        </w:r>
                      </w:p>
                    </w:tc>
                    <w:tc>
                      <w:tcPr>
                        <w:tcW w:w="1980" w:type="dxa"/>
                        <w:tcBorders>
                          <w:left w:val="single" w:sz="4" w:space="0" w:color="000000"/>
                          <w:bottom w:val="single" w:sz="4" w:space="0" w:color="000000"/>
                          <w:right w:val="single" w:sz="4" w:space="0" w:color="000000"/>
                        </w:tcBorders>
                        <w:vAlign w:val="center"/>
                      </w:tcPr>
                      <w:p>
                        <w:pPr>
                          <w:jc w:val="center"/>
                          <w:rPr>
                            <w:sz w:val="20"/>
                          </w:rPr>
                        </w:pPr>
                        <w:r>
                          <w:rPr>
                            <w:sz w:val="20"/>
                          </w:rPr>
                          <w:t>2</w:t>
                        </w:r>
                      </w:p>
                    </w:tc>
                  </w:tr>
                  <w:tr>
                    <w:tc>
                      <w:tcPr>
                        <w:tcW w:w="568" w:type="dxa"/>
                        <w:tcBorders>
                          <w:left w:val="single" w:sz="4" w:space="0" w:color="000000"/>
                          <w:bottom w:val="single" w:sz="4" w:space="0" w:color="000000"/>
                        </w:tcBorders>
                        <w:shd w:val="clear" w:color="auto" w:fill="D9D9D9"/>
                        <w:vAlign w:val="center"/>
                      </w:tcPr>
                      <w:p>
                        <w:pPr>
                          <w:jc w:val="center"/>
                          <w:rPr>
                            <w:sz w:val="20"/>
                          </w:rPr>
                        </w:pPr>
                        <w:r>
                          <w:rPr>
                            <w:sz w:val="20"/>
                          </w:rPr>
                          <w:t>3.</w:t>
                        </w:r>
                      </w:p>
                    </w:tc>
                    <w:tc>
                      <w:tcPr>
                        <w:tcW w:w="3921" w:type="dxa"/>
                        <w:tcBorders>
                          <w:left w:val="single" w:sz="4" w:space="0" w:color="000000"/>
                          <w:bottom w:val="single" w:sz="4" w:space="0" w:color="000000"/>
                        </w:tcBorders>
                        <w:shd w:val="clear" w:color="auto" w:fill="D9D9D9"/>
                        <w:vAlign w:val="center"/>
                      </w:tcPr>
                      <w:p>
                        <w:pPr>
                          <w:rPr>
                            <w:sz w:val="20"/>
                          </w:rPr>
                        </w:pPr>
                        <w:r>
                          <w:rPr>
                            <w:b/>
                            <w:sz w:val="20"/>
                          </w:rPr>
                          <w:t>Kitos socialinės paslaugos:</w:t>
                        </w:r>
                      </w:p>
                    </w:tc>
                    <w:tc>
                      <w:tcPr>
                        <w:tcW w:w="3393" w:type="dxa"/>
                        <w:tcBorders>
                          <w:left w:val="single" w:sz="4" w:space="0" w:color="000000"/>
                          <w:bottom w:val="single" w:sz="4" w:space="0" w:color="000000"/>
                        </w:tcBorders>
                        <w:shd w:val="clear" w:color="auto" w:fill="D9D9D9"/>
                        <w:vAlign w:val="center"/>
                      </w:tcPr>
                      <w:p>
                        <w:pPr>
                          <w:rPr>
                            <w:sz w:val="20"/>
                          </w:rPr>
                        </w:pPr>
                      </w:p>
                    </w:tc>
                    <w:tc>
                      <w:tcPr>
                        <w:tcW w:w="1980" w:type="dxa"/>
                        <w:tcBorders>
                          <w:left w:val="single" w:sz="4" w:space="0" w:color="000000"/>
                          <w:bottom w:val="single" w:sz="4" w:space="0" w:color="000000"/>
                          <w:right w:val="single" w:sz="4" w:space="0" w:color="000000"/>
                        </w:tcBorders>
                        <w:shd w:val="clear" w:color="auto" w:fill="D9D9D9"/>
                        <w:vAlign w:val="center"/>
                      </w:tcPr>
                      <w:p>
                        <w:pPr>
                          <w:jc w:val="center"/>
                          <w:rPr>
                            <w:b/>
                            <w:sz w:val="20"/>
                          </w:rPr>
                        </w:pPr>
                        <w:r>
                          <w:rPr>
                            <w:b/>
                            <w:sz w:val="20"/>
                          </w:rPr>
                          <w:t>3</w:t>
                        </w:r>
                      </w:p>
                    </w:tc>
                  </w:tr>
                  <w:tr>
                    <w:tc>
                      <w:tcPr>
                        <w:tcW w:w="568" w:type="dxa"/>
                        <w:tcBorders>
                          <w:left w:val="single" w:sz="4" w:space="0" w:color="000000"/>
                          <w:bottom w:val="single" w:sz="4" w:space="0" w:color="000000"/>
                        </w:tcBorders>
                        <w:vAlign w:val="center"/>
                      </w:tcPr>
                      <w:p>
                        <w:pPr>
                          <w:jc w:val="center"/>
                          <w:rPr>
                            <w:sz w:val="20"/>
                          </w:rPr>
                        </w:pPr>
                        <w:r>
                          <w:rPr>
                            <w:sz w:val="20"/>
                          </w:rPr>
                          <w:t>3.1.</w:t>
                        </w:r>
                      </w:p>
                    </w:tc>
                    <w:tc>
                      <w:tcPr>
                        <w:tcW w:w="3921" w:type="dxa"/>
                        <w:tcBorders>
                          <w:left w:val="single" w:sz="4" w:space="0" w:color="000000"/>
                          <w:bottom w:val="single" w:sz="4" w:space="0" w:color="000000"/>
                        </w:tcBorders>
                        <w:vAlign w:val="center"/>
                      </w:tcPr>
                      <w:p>
                        <w:pPr>
                          <w:rPr>
                            <w:sz w:val="20"/>
                          </w:rPr>
                        </w:pPr>
                        <w:r>
                          <w:rPr>
                            <w:sz w:val="20"/>
                          </w:rPr>
                          <w:t xml:space="preserve">Apgyvendinimas savarankiško gyvenimo namuose  </w:t>
                        </w:r>
                      </w:p>
                    </w:tc>
                    <w:tc>
                      <w:tcPr>
                        <w:tcW w:w="3393" w:type="dxa"/>
                        <w:tcBorders>
                          <w:left w:val="single" w:sz="4" w:space="0" w:color="000000"/>
                          <w:bottom w:val="single" w:sz="4" w:space="0" w:color="000000"/>
                        </w:tcBorders>
                        <w:vAlign w:val="center"/>
                      </w:tcPr>
                      <w:p>
                        <w:pPr>
                          <w:rPr>
                            <w:sz w:val="20"/>
                          </w:rPr>
                        </w:pPr>
                        <w:r>
                          <w:rPr>
                            <w:sz w:val="20"/>
                          </w:rPr>
                          <w:t>„Senjorų prieglobstis“</w:t>
                        </w:r>
                      </w:p>
                    </w:tc>
                    <w:tc>
                      <w:tcPr>
                        <w:tcW w:w="1980" w:type="dxa"/>
                        <w:tcBorders>
                          <w:left w:val="single" w:sz="4" w:space="0" w:color="000000"/>
                          <w:bottom w:val="single" w:sz="4" w:space="0" w:color="000000"/>
                          <w:right w:val="single" w:sz="4" w:space="0" w:color="000000"/>
                        </w:tcBorders>
                        <w:vAlign w:val="center"/>
                      </w:tcPr>
                      <w:p>
                        <w:pPr>
                          <w:jc w:val="center"/>
                          <w:rPr>
                            <w:sz w:val="20"/>
                          </w:rPr>
                        </w:pPr>
                        <w:r>
                          <w:rPr>
                            <w:sz w:val="20"/>
                          </w:rPr>
                          <w:t>1</w:t>
                        </w:r>
                      </w:p>
                    </w:tc>
                  </w:tr>
                  <w:tr>
                    <w:tc>
                      <w:tcPr>
                        <w:tcW w:w="568" w:type="dxa"/>
                        <w:tcBorders>
                          <w:left w:val="single" w:sz="4" w:space="0" w:color="000000"/>
                          <w:bottom w:val="single" w:sz="4" w:space="0" w:color="000000"/>
                        </w:tcBorders>
                        <w:vAlign w:val="center"/>
                      </w:tcPr>
                      <w:p>
                        <w:pPr>
                          <w:jc w:val="center"/>
                          <w:rPr>
                            <w:sz w:val="20"/>
                          </w:rPr>
                        </w:pPr>
                        <w:r>
                          <w:rPr>
                            <w:sz w:val="20"/>
                          </w:rPr>
                          <w:t>3.2.</w:t>
                        </w:r>
                      </w:p>
                    </w:tc>
                    <w:tc>
                      <w:tcPr>
                        <w:tcW w:w="3921" w:type="dxa"/>
                        <w:tcBorders>
                          <w:left w:val="single" w:sz="4" w:space="0" w:color="000000"/>
                          <w:bottom w:val="single" w:sz="4" w:space="0" w:color="000000"/>
                        </w:tcBorders>
                        <w:vAlign w:val="center"/>
                      </w:tcPr>
                      <w:p>
                        <w:pPr>
                          <w:rPr>
                            <w:sz w:val="20"/>
                          </w:rPr>
                        </w:pPr>
                        <w:r>
                          <w:rPr>
                            <w:sz w:val="20"/>
                          </w:rPr>
                          <w:t xml:space="preserve">Gydymas nuo priklausomybės psichoaktyviomis medžiagomis </w:t>
                        </w:r>
                      </w:p>
                    </w:tc>
                    <w:tc>
                      <w:tcPr>
                        <w:tcW w:w="3393" w:type="dxa"/>
                        <w:tcBorders>
                          <w:left w:val="single" w:sz="4" w:space="0" w:color="000000"/>
                          <w:bottom w:val="single" w:sz="4" w:space="0" w:color="000000"/>
                        </w:tcBorders>
                        <w:vAlign w:val="center"/>
                      </w:tcPr>
                      <w:p>
                        <w:pPr>
                          <w:rPr>
                            <w:sz w:val="20"/>
                          </w:rPr>
                        </w:pPr>
                        <w:r>
                          <w:rPr>
                            <w:sz w:val="20"/>
                          </w:rPr>
                          <w:t>Priklausomybės ligų reabilitacijos bendruomenėje „Prieglobstis“</w:t>
                        </w:r>
                      </w:p>
                    </w:tc>
                    <w:tc>
                      <w:tcPr>
                        <w:tcW w:w="1980" w:type="dxa"/>
                        <w:tcBorders>
                          <w:left w:val="single" w:sz="4" w:space="0" w:color="000000"/>
                          <w:bottom w:val="single" w:sz="4" w:space="0" w:color="000000"/>
                          <w:right w:val="single" w:sz="4" w:space="0" w:color="000000"/>
                        </w:tcBorders>
                        <w:vAlign w:val="center"/>
                      </w:tcPr>
                      <w:p>
                        <w:pPr>
                          <w:jc w:val="center"/>
                          <w:rPr>
                            <w:color w:val="FF0000"/>
                            <w:sz w:val="20"/>
                          </w:rPr>
                        </w:pPr>
                        <w:r>
                          <w:rPr>
                            <w:sz w:val="20"/>
                          </w:rPr>
                          <w:t>2</w:t>
                        </w:r>
                      </w:p>
                    </w:tc>
                  </w:tr>
                </w:tbl>
                <w:p>
                  <w:pPr>
                    <w:jc w:val="center"/>
                    <w:rPr>
                      <w:b/>
                      <w:sz w:val="20"/>
                      <w:lang w:eastAsia="lt-LT"/>
                    </w:rPr>
                  </w:pPr>
                </w:p>
                <w:p>
                  <w:pPr>
                    <w:jc w:val="center"/>
                    <w:rPr>
                      <w:b/>
                      <w:sz w:val="20"/>
                    </w:rPr>
                  </w:pPr>
                  <w:r>
                    <w:rPr>
                      <w:b/>
                      <w:sz w:val="20"/>
                    </w:rPr>
                    <w:t>IV. FINANSAVIMO PLANAS</w:t>
                  </w:r>
                </w:p>
                <w:p>
                  <w:pPr>
                    <w:rPr>
                      <w:sz w:val="14"/>
                      <w:szCs w:val="14"/>
                    </w:rPr>
                  </w:pPr>
                </w:p>
              </w:sdtContent>
            </w:sdt>
            <w:sdt>
              <w:sdtPr>
                <w:alias w:val="12 p."/>
                <w:tag w:val="part_116cf3bca6fe40b18a02e8aecf60936c"/>
                <w:lock w:val="sdtLocked"/>
                <w:richText/>
              </w:sdtPr>
              <w:sdtContent>
                <w:p>
                  <w:pPr>
                    <w:ind w:left="993" w:hanging="426"/>
                    <w:outlineLvl w:val="1"/>
                    <w:rPr>
                      <w:b/>
                      <w:szCs w:val="24"/>
                    </w:rPr>
                  </w:pPr>
                  <w:sdt>
                    <w:sdtPr>
                      <w:alias w:val="Numeris"/>
                      <w:tag w:val="nr_116cf3bca6fe40b18a02e8aecf60936c"/>
                      <w:lock w:val="sdtLocked"/>
                      <w:richText/>
                    </w:sdtPr>
                    <w:sdtContent>
                      <w:r>
                        <w:rPr>
                          <w:b/>
                          <w:szCs w:val="24"/>
                        </w:rPr>
                        <w:t>12</w:t>
                      </w:r>
                    </w:sdtContent>
                  </w:sdt>
                  <w:r>
                    <w:rPr>
                      <w:b/>
                      <w:szCs w:val="24"/>
                    </w:rPr>
                    <w:t>.</w:t>
                    <w:tab/>
                    <w:t xml:space="preserve">Socialinių paslaugų finansavimo šaltiniai </w:t>
                  </w:r>
                  <w:r>
                    <w:rPr>
                      <w:szCs w:val="24"/>
                      <w:vertAlign w:val="superscript"/>
                    </w:rPr>
                    <w:footnoteReference w:id="34"/>
                  </w:r>
                </w:p>
                <w:p>
                  <w:pPr>
                    <w:ind w:firstLine="851"/>
                    <w:outlineLvl w:val="1"/>
                    <w:rPr>
                      <w:b/>
                      <w:szCs w:val="24"/>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4819"/>
                    <w:gridCol w:w="1418"/>
                    <w:gridCol w:w="1842"/>
                    <w:gridCol w:w="1276"/>
                  </w:tblGrid>
                  <w:tr>
                    <w:trPr>
                      <w:tblHeader/>
                    </w:trPr>
                    <w:tc>
                      <w:tcPr>
                        <w:tcW w:w="568" w:type="dxa"/>
                        <w:vMerge w:val="restart"/>
                        <w:vAlign w:val="center"/>
                      </w:tcPr>
                      <w:p>
                        <w:pPr>
                          <w:jc w:val="center"/>
                          <w:rPr>
                            <w:b/>
                            <w:sz w:val="20"/>
                          </w:rPr>
                        </w:pPr>
                        <w:r>
                          <w:rPr>
                            <w:b/>
                            <w:sz w:val="20"/>
                          </w:rPr>
                          <w:t>Eil. Nr.</w:t>
                        </w:r>
                      </w:p>
                    </w:tc>
                    <w:tc>
                      <w:tcPr>
                        <w:tcW w:w="4819" w:type="dxa"/>
                        <w:vMerge w:val="restart"/>
                        <w:vAlign w:val="center"/>
                      </w:tcPr>
                      <w:p>
                        <w:pPr>
                          <w:jc w:val="center"/>
                          <w:rPr>
                            <w:b/>
                            <w:sz w:val="20"/>
                          </w:rPr>
                        </w:pPr>
                        <w:r>
                          <w:rPr>
                            <w:b/>
                            <w:sz w:val="20"/>
                          </w:rPr>
                          <w:t>Socialinių paslaugų finansavimo šaltiniai</w:t>
                        </w:r>
                      </w:p>
                    </w:tc>
                    <w:tc>
                      <w:tcPr>
                        <w:tcW w:w="4536" w:type="dxa"/>
                        <w:gridSpan w:val="3"/>
                        <w:vAlign w:val="center"/>
                      </w:tcPr>
                      <w:p>
                        <w:pPr>
                          <w:jc w:val="center"/>
                          <w:rPr>
                            <w:b/>
                            <w:bCs/>
                            <w:sz w:val="20"/>
                          </w:rPr>
                        </w:pPr>
                        <w:r>
                          <w:rPr>
                            <w:b/>
                            <w:bCs/>
                            <w:sz w:val="20"/>
                          </w:rPr>
                          <w:t>tūkst. Eur</w:t>
                        </w:r>
                      </w:p>
                    </w:tc>
                  </w:tr>
                  <w:tr>
                    <w:trPr>
                      <w:tblHeader/>
                    </w:trPr>
                    <w:tc>
                      <w:tcPr>
                        <w:tcW w:w="568" w:type="dxa"/>
                        <w:vMerge/>
                        <w:vAlign w:val="center"/>
                      </w:tcPr>
                      <w:p>
                        <w:pPr>
                          <w:jc w:val="center"/>
                          <w:rPr>
                            <w:b/>
                            <w:sz w:val="20"/>
                          </w:rPr>
                        </w:pPr>
                      </w:p>
                    </w:tc>
                    <w:tc>
                      <w:tcPr>
                        <w:tcW w:w="4819" w:type="dxa"/>
                        <w:vMerge/>
                        <w:vAlign w:val="center"/>
                      </w:tcPr>
                      <w:p>
                        <w:pPr>
                          <w:jc w:val="center"/>
                          <w:rPr>
                            <w:b/>
                            <w:sz w:val="20"/>
                          </w:rPr>
                        </w:pPr>
                      </w:p>
                    </w:tc>
                    <w:tc>
                      <w:tcPr>
                        <w:tcW w:w="1418" w:type="dxa"/>
                        <w:vAlign w:val="center"/>
                      </w:tcPr>
                      <w:p>
                        <w:pPr>
                          <w:jc w:val="center"/>
                          <w:rPr>
                            <w:b/>
                            <w:bCs/>
                            <w:sz w:val="20"/>
                          </w:rPr>
                        </w:pPr>
                        <w:r>
                          <w:rPr>
                            <w:b/>
                            <w:bCs/>
                            <w:sz w:val="20"/>
                          </w:rPr>
                          <w:t>2015 m.</w:t>
                        </w:r>
                      </w:p>
                      <w:p>
                        <w:pPr>
                          <w:jc w:val="center"/>
                          <w:rPr>
                            <w:b/>
                            <w:bCs/>
                            <w:sz w:val="20"/>
                          </w:rPr>
                        </w:pPr>
                        <w:r>
                          <w:rPr>
                            <w:b/>
                            <w:bCs/>
                            <w:sz w:val="20"/>
                          </w:rPr>
                          <w:t>faktas</w:t>
                        </w:r>
                      </w:p>
                    </w:tc>
                    <w:tc>
                      <w:tcPr>
                        <w:tcW w:w="1842" w:type="dxa"/>
                        <w:vAlign w:val="center"/>
                      </w:tcPr>
                      <w:p>
                        <w:pPr>
                          <w:jc w:val="center"/>
                          <w:rPr>
                            <w:b/>
                            <w:bCs/>
                            <w:sz w:val="20"/>
                          </w:rPr>
                        </w:pPr>
                        <w:r>
                          <w:rPr>
                            <w:b/>
                            <w:bCs/>
                            <w:sz w:val="20"/>
                          </w:rPr>
                          <w:t>2016 m.</w:t>
                        </w:r>
                      </w:p>
                      <w:p>
                        <w:pPr>
                          <w:ind w:left="-466" w:firstLine="466"/>
                          <w:jc w:val="center"/>
                          <w:rPr>
                            <w:b/>
                            <w:bCs/>
                            <w:sz w:val="20"/>
                          </w:rPr>
                        </w:pPr>
                        <w:r>
                          <w:rPr>
                            <w:b/>
                            <w:bCs/>
                            <w:sz w:val="20"/>
                          </w:rPr>
                          <w:t>planas</w:t>
                        </w:r>
                      </w:p>
                    </w:tc>
                    <w:tc>
                      <w:tcPr>
                        <w:tcW w:w="1276" w:type="dxa"/>
                        <w:vAlign w:val="center"/>
                      </w:tcPr>
                      <w:p>
                        <w:pPr>
                          <w:jc w:val="center"/>
                          <w:rPr>
                            <w:b/>
                            <w:bCs/>
                            <w:sz w:val="20"/>
                          </w:rPr>
                        </w:pPr>
                        <w:r>
                          <w:rPr>
                            <w:b/>
                            <w:bCs/>
                            <w:sz w:val="20"/>
                          </w:rPr>
                          <w:t>2017 m.</w:t>
                        </w:r>
                      </w:p>
                      <w:p>
                        <w:pPr>
                          <w:jc w:val="center"/>
                          <w:rPr>
                            <w:b/>
                            <w:bCs/>
                            <w:sz w:val="20"/>
                          </w:rPr>
                        </w:pPr>
                        <w:r>
                          <w:rPr>
                            <w:b/>
                            <w:bCs/>
                            <w:sz w:val="20"/>
                          </w:rPr>
                          <w:t>planas</w:t>
                        </w:r>
                      </w:p>
                    </w:tc>
                  </w:tr>
                  <w:tr>
                    <w:tc>
                      <w:tcPr>
                        <w:tcW w:w="568" w:type="dxa"/>
                        <w:vAlign w:val="center"/>
                      </w:tcPr>
                      <w:p>
                        <w:pPr>
                          <w:jc w:val="center"/>
                          <w:rPr>
                            <w:b/>
                            <w:sz w:val="20"/>
                          </w:rPr>
                        </w:pPr>
                        <w:r>
                          <w:rPr>
                            <w:b/>
                            <w:sz w:val="20"/>
                          </w:rPr>
                          <w:t>1.</w:t>
                        </w:r>
                      </w:p>
                    </w:tc>
                    <w:tc>
                      <w:tcPr>
                        <w:tcW w:w="4819" w:type="dxa"/>
                        <w:vAlign w:val="center"/>
                      </w:tcPr>
                      <w:p>
                        <w:pPr>
                          <w:rPr>
                            <w:b/>
                            <w:sz w:val="20"/>
                          </w:rPr>
                        </w:pPr>
                        <w:r>
                          <w:rPr>
                            <w:b/>
                            <w:sz w:val="20"/>
                          </w:rPr>
                          <w:t>Savivaldybės biudžeto išlaidos socialinėms paslaugoms</w:t>
                        </w:r>
                      </w:p>
                    </w:tc>
                    <w:tc>
                      <w:tcPr>
                        <w:tcW w:w="1418" w:type="dxa"/>
                        <w:vAlign w:val="center"/>
                      </w:tcPr>
                      <w:p>
                        <w:pPr>
                          <w:jc w:val="center"/>
                          <w:rPr>
                            <w:b/>
                            <w:sz w:val="20"/>
                          </w:rPr>
                        </w:pPr>
                        <w:r>
                          <w:rPr>
                            <w:b/>
                            <w:sz w:val="20"/>
                          </w:rPr>
                          <w:t>1381,38</w:t>
                        </w:r>
                      </w:p>
                    </w:tc>
                    <w:tc>
                      <w:tcPr>
                        <w:tcW w:w="1842" w:type="dxa"/>
                        <w:vAlign w:val="center"/>
                      </w:tcPr>
                      <w:p>
                        <w:pPr>
                          <w:jc w:val="center"/>
                          <w:rPr>
                            <w:b/>
                            <w:sz w:val="20"/>
                          </w:rPr>
                        </w:pPr>
                        <w:r>
                          <w:rPr>
                            <w:b/>
                            <w:sz w:val="20"/>
                          </w:rPr>
                          <w:t>1763,20</w:t>
                        </w:r>
                      </w:p>
                    </w:tc>
                    <w:tc>
                      <w:tcPr>
                        <w:tcW w:w="1276" w:type="dxa"/>
                        <w:vAlign w:val="center"/>
                      </w:tcPr>
                      <w:p>
                        <w:pPr>
                          <w:jc w:val="center"/>
                          <w:rPr>
                            <w:b/>
                            <w:sz w:val="20"/>
                          </w:rPr>
                        </w:pPr>
                        <w:r>
                          <w:rPr>
                            <w:b/>
                            <w:sz w:val="20"/>
                          </w:rPr>
                          <w:t>2061,60</w:t>
                        </w:r>
                      </w:p>
                    </w:tc>
                  </w:tr>
                  <w:tr>
                    <w:tc>
                      <w:tcPr>
                        <w:tcW w:w="568" w:type="dxa"/>
                        <w:vAlign w:val="center"/>
                      </w:tcPr>
                      <w:p>
                        <w:pPr>
                          <w:jc w:val="center"/>
                          <w:rPr>
                            <w:sz w:val="20"/>
                          </w:rPr>
                        </w:pPr>
                        <w:r>
                          <w:rPr>
                            <w:sz w:val="20"/>
                          </w:rPr>
                          <w:t>1.1.</w:t>
                        </w:r>
                      </w:p>
                    </w:tc>
                    <w:tc>
                      <w:tcPr>
                        <w:tcW w:w="4819" w:type="dxa"/>
                        <w:vAlign w:val="center"/>
                      </w:tcPr>
                      <w:p>
                        <w:pPr>
                          <w:rPr>
                            <w:sz w:val="20"/>
                          </w:rPr>
                        </w:pPr>
                        <w:r>
                          <w:rPr>
                            <w:sz w:val="20"/>
                          </w:rPr>
                          <w:t>palyginti su bendru Savivaldybės biudžetu, proc.</w:t>
                        </w:r>
                      </w:p>
                    </w:tc>
                    <w:tc>
                      <w:tcPr>
                        <w:tcW w:w="1418" w:type="dxa"/>
                        <w:vAlign w:val="center"/>
                      </w:tcPr>
                      <w:p>
                        <w:pPr>
                          <w:jc w:val="center"/>
                          <w:rPr>
                            <w:sz w:val="20"/>
                          </w:rPr>
                        </w:pPr>
                        <w:r>
                          <w:rPr>
                            <w:sz w:val="20"/>
                          </w:rPr>
                          <w:t>3,7</w:t>
                        </w:r>
                      </w:p>
                    </w:tc>
                    <w:tc>
                      <w:tcPr>
                        <w:tcW w:w="1842" w:type="dxa"/>
                        <w:vAlign w:val="center"/>
                      </w:tcPr>
                      <w:p>
                        <w:pPr>
                          <w:jc w:val="center"/>
                          <w:rPr>
                            <w:sz w:val="20"/>
                          </w:rPr>
                        </w:pPr>
                        <w:r>
                          <w:rPr>
                            <w:sz w:val="20"/>
                          </w:rPr>
                          <w:t>5,2</w:t>
                        </w:r>
                      </w:p>
                    </w:tc>
                    <w:tc>
                      <w:tcPr>
                        <w:tcW w:w="1276" w:type="dxa"/>
                        <w:vAlign w:val="center"/>
                      </w:tcPr>
                      <w:p>
                        <w:pPr>
                          <w:jc w:val="center"/>
                          <w:rPr>
                            <w:sz w:val="20"/>
                          </w:rPr>
                        </w:pPr>
                        <w:r>
                          <w:rPr>
                            <w:sz w:val="20"/>
                          </w:rPr>
                          <w:t>4,0</w:t>
                        </w:r>
                      </w:p>
                    </w:tc>
                  </w:tr>
                  <w:tr>
                    <w:tc>
                      <w:tcPr>
                        <w:tcW w:w="568" w:type="dxa"/>
                        <w:vAlign w:val="center"/>
                      </w:tcPr>
                      <w:p>
                        <w:pPr>
                          <w:jc w:val="center"/>
                          <w:rPr>
                            <w:b/>
                            <w:sz w:val="20"/>
                          </w:rPr>
                        </w:pPr>
                        <w:r>
                          <w:rPr>
                            <w:b/>
                            <w:sz w:val="20"/>
                          </w:rPr>
                          <w:t>2.</w:t>
                        </w:r>
                      </w:p>
                    </w:tc>
                    <w:tc>
                      <w:tcPr>
                        <w:tcW w:w="4819" w:type="dxa"/>
                        <w:vAlign w:val="center"/>
                      </w:tcPr>
                      <w:p>
                        <w:pPr>
                          <w:rPr>
                            <w:b/>
                            <w:sz w:val="20"/>
                          </w:rPr>
                        </w:pPr>
                        <w:r>
                          <w:rPr>
                            <w:b/>
                            <w:sz w:val="20"/>
                          </w:rPr>
                          <w:t>LR valstybės biudžeto specialiosios tikslinės dotacijos, tūkst. Eur</w:t>
                        </w:r>
                      </w:p>
                    </w:tc>
                    <w:tc>
                      <w:tcPr>
                        <w:tcW w:w="1418" w:type="dxa"/>
                        <w:vAlign w:val="center"/>
                      </w:tcPr>
                      <w:p>
                        <w:pPr>
                          <w:jc w:val="center"/>
                          <w:rPr>
                            <w:b/>
                            <w:sz w:val="20"/>
                          </w:rPr>
                        </w:pPr>
                        <w:r>
                          <w:rPr>
                            <w:b/>
                            <w:sz w:val="20"/>
                          </w:rPr>
                          <w:t>741,98</w:t>
                        </w:r>
                      </w:p>
                    </w:tc>
                    <w:tc>
                      <w:tcPr>
                        <w:tcW w:w="1842" w:type="dxa"/>
                        <w:vAlign w:val="center"/>
                      </w:tcPr>
                      <w:p>
                        <w:pPr>
                          <w:jc w:val="center"/>
                          <w:rPr>
                            <w:b/>
                            <w:sz w:val="20"/>
                          </w:rPr>
                        </w:pPr>
                        <w:r>
                          <w:rPr>
                            <w:b/>
                            <w:sz w:val="20"/>
                          </w:rPr>
                          <w:t>785,46</w:t>
                        </w:r>
                      </w:p>
                    </w:tc>
                    <w:tc>
                      <w:tcPr>
                        <w:tcW w:w="1276" w:type="dxa"/>
                        <w:vAlign w:val="center"/>
                      </w:tcPr>
                      <w:p>
                        <w:pPr>
                          <w:jc w:val="center"/>
                          <w:rPr>
                            <w:b/>
                            <w:sz w:val="20"/>
                          </w:rPr>
                        </w:pPr>
                        <w:r>
                          <w:rPr>
                            <w:b/>
                            <w:sz w:val="20"/>
                          </w:rPr>
                          <w:t>863,1</w:t>
                        </w:r>
                      </w:p>
                    </w:tc>
                  </w:tr>
                  <w:tr>
                    <w:tc>
                      <w:tcPr>
                        <w:tcW w:w="568" w:type="dxa"/>
                        <w:vAlign w:val="center"/>
                      </w:tcPr>
                      <w:p>
                        <w:pPr>
                          <w:jc w:val="center"/>
                          <w:rPr>
                            <w:sz w:val="20"/>
                          </w:rPr>
                        </w:pPr>
                      </w:p>
                    </w:tc>
                    <w:tc>
                      <w:tcPr>
                        <w:tcW w:w="4819" w:type="dxa"/>
                        <w:vAlign w:val="center"/>
                      </w:tcPr>
                      <w:p>
                        <w:pPr>
                          <w:rPr>
                            <w:sz w:val="20"/>
                          </w:rPr>
                        </w:pPr>
                        <w:r>
                          <w:rPr>
                            <w:sz w:val="20"/>
                          </w:rPr>
                          <w:t>Iš jų:</w:t>
                        </w:r>
                      </w:p>
                    </w:tc>
                    <w:tc>
                      <w:tcPr>
                        <w:tcW w:w="1418" w:type="dxa"/>
                        <w:vAlign w:val="center"/>
                      </w:tcPr>
                      <w:p>
                        <w:pPr>
                          <w:jc w:val="center"/>
                          <w:rPr>
                            <w:b/>
                            <w:szCs w:val="24"/>
                          </w:rPr>
                        </w:pPr>
                      </w:p>
                    </w:tc>
                    <w:tc>
                      <w:tcPr>
                        <w:tcW w:w="1842" w:type="dxa"/>
                        <w:vAlign w:val="center"/>
                      </w:tcPr>
                      <w:p>
                        <w:pPr>
                          <w:jc w:val="center"/>
                          <w:rPr>
                            <w:b/>
                            <w:szCs w:val="24"/>
                          </w:rPr>
                        </w:pPr>
                      </w:p>
                    </w:tc>
                    <w:tc>
                      <w:tcPr>
                        <w:tcW w:w="1276" w:type="dxa"/>
                        <w:vAlign w:val="center"/>
                      </w:tcPr>
                      <w:p>
                        <w:pPr>
                          <w:jc w:val="center"/>
                          <w:rPr>
                            <w:b/>
                            <w:szCs w:val="24"/>
                          </w:rPr>
                        </w:pPr>
                      </w:p>
                    </w:tc>
                  </w:tr>
                  <w:tr>
                    <w:tc>
                      <w:tcPr>
                        <w:tcW w:w="568" w:type="dxa"/>
                        <w:vAlign w:val="center"/>
                      </w:tcPr>
                      <w:p>
                        <w:pPr>
                          <w:jc w:val="center"/>
                          <w:rPr>
                            <w:sz w:val="20"/>
                          </w:rPr>
                        </w:pPr>
                        <w:r>
                          <w:rPr>
                            <w:sz w:val="20"/>
                          </w:rPr>
                          <w:t>2.1.</w:t>
                        </w:r>
                      </w:p>
                    </w:tc>
                    <w:tc>
                      <w:tcPr>
                        <w:tcW w:w="4819" w:type="dxa"/>
                        <w:vAlign w:val="center"/>
                      </w:tcPr>
                      <w:p>
                        <w:pPr>
                          <w:rPr>
                            <w:sz w:val="20"/>
                          </w:rPr>
                        </w:pPr>
                        <w:r>
                          <w:rPr>
                            <w:sz w:val="20"/>
                          </w:rPr>
                          <w:t>socialinės rizikos šeimų socialinei priežiūrai organizuoti</w:t>
                        </w:r>
                      </w:p>
                    </w:tc>
                    <w:tc>
                      <w:tcPr>
                        <w:tcW w:w="1418" w:type="dxa"/>
                        <w:vAlign w:val="center"/>
                      </w:tcPr>
                      <w:p>
                        <w:pPr>
                          <w:jc w:val="center"/>
                          <w:rPr>
                            <w:sz w:val="20"/>
                          </w:rPr>
                        </w:pPr>
                        <w:r>
                          <w:rPr>
                            <w:sz w:val="20"/>
                          </w:rPr>
                          <w:t>99,30</w:t>
                        </w:r>
                      </w:p>
                    </w:tc>
                    <w:tc>
                      <w:tcPr>
                        <w:tcW w:w="1842" w:type="dxa"/>
                        <w:vAlign w:val="center"/>
                      </w:tcPr>
                      <w:p>
                        <w:pPr>
                          <w:jc w:val="center"/>
                          <w:rPr>
                            <w:sz w:val="20"/>
                            <w:highlight w:val="yellow"/>
                          </w:rPr>
                        </w:pPr>
                        <w:r>
                          <w:rPr>
                            <w:sz w:val="20"/>
                          </w:rPr>
                          <w:t>115,00</w:t>
                        </w:r>
                      </w:p>
                    </w:tc>
                    <w:tc>
                      <w:tcPr>
                        <w:tcW w:w="1276" w:type="dxa"/>
                        <w:vAlign w:val="center"/>
                      </w:tcPr>
                      <w:p>
                        <w:pPr>
                          <w:jc w:val="center"/>
                          <w:rPr>
                            <w:sz w:val="20"/>
                          </w:rPr>
                        </w:pPr>
                        <w:r>
                          <w:rPr>
                            <w:sz w:val="20"/>
                          </w:rPr>
                          <w:t>120,0</w:t>
                        </w:r>
                      </w:p>
                    </w:tc>
                  </w:tr>
                  <w:tr>
                    <w:tc>
                      <w:tcPr>
                        <w:tcW w:w="568" w:type="dxa"/>
                        <w:vAlign w:val="center"/>
                      </w:tcPr>
                      <w:p>
                        <w:pPr>
                          <w:jc w:val="center"/>
                          <w:rPr>
                            <w:sz w:val="20"/>
                          </w:rPr>
                        </w:pPr>
                        <w:r>
                          <w:rPr>
                            <w:sz w:val="20"/>
                          </w:rPr>
                          <w:t>2.2.</w:t>
                        </w:r>
                      </w:p>
                    </w:tc>
                    <w:tc>
                      <w:tcPr>
                        <w:tcW w:w="4819" w:type="dxa"/>
                        <w:vAlign w:val="center"/>
                      </w:tcPr>
                      <w:p>
                        <w:pPr>
                          <w:rPr>
                            <w:sz w:val="20"/>
                          </w:rPr>
                        </w:pPr>
                        <w:r>
                          <w:rPr>
                            <w:sz w:val="20"/>
                          </w:rPr>
                          <w:t>asmenų su sunkia negalia socialinei globai organizuoti</w:t>
                        </w:r>
                      </w:p>
                    </w:tc>
                    <w:tc>
                      <w:tcPr>
                        <w:tcW w:w="1418" w:type="dxa"/>
                        <w:vAlign w:val="center"/>
                      </w:tcPr>
                      <w:p>
                        <w:pPr>
                          <w:jc w:val="center"/>
                          <w:rPr>
                            <w:sz w:val="20"/>
                          </w:rPr>
                        </w:pPr>
                        <w:r>
                          <w:rPr>
                            <w:sz w:val="20"/>
                          </w:rPr>
                          <w:t>373,17</w:t>
                        </w:r>
                      </w:p>
                    </w:tc>
                    <w:tc>
                      <w:tcPr>
                        <w:tcW w:w="1842" w:type="dxa"/>
                        <w:vAlign w:val="center"/>
                      </w:tcPr>
                      <w:p>
                        <w:pPr>
                          <w:jc w:val="center"/>
                          <w:rPr>
                            <w:sz w:val="20"/>
                          </w:rPr>
                        </w:pPr>
                        <w:r>
                          <w:rPr>
                            <w:sz w:val="20"/>
                          </w:rPr>
                          <w:t>392,00</w:t>
                        </w:r>
                      </w:p>
                    </w:tc>
                    <w:tc>
                      <w:tcPr>
                        <w:tcW w:w="1276" w:type="dxa"/>
                        <w:vAlign w:val="center"/>
                      </w:tcPr>
                      <w:p>
                        <w:pPr>
                          <w:jc w:val="center"/>
                          <w:rPr>
                            <w:sz w:val="20"/>
                          </w:rPr>
                        </w:pPr>
                        <w:r>
                          <w:rPr>
                            <w:sz w:val="20"/>
                          </w:rPr>
                          <w:t>459,6</w:t>
                        </w:r>
                      </w:p>
                    </w:tc>
                  </w:tr>
                  <w:tr>
                    <w:tc>
                      <w:tcPr>
                        <w:tcW w:w="568" w:type="dxa"/>
                        <w:vAlign w:val="center"/>
                      </w:tcPr>
                      <w:p>
                        <w:pPr>
                          <w:jc w:val="center"/>
                          <w:rPr>
                            <w:sz w:val="20"/>
                          </w:rPr>
                        </w:pPr>
                        <w:r>
                          <w:rPr>
                            <w:sz w:val="20"/>
                          </w:rPr>
                          <w:t>2.3.</w:t>
                        </w:r>
                      </w:p>
                    </w:tc>
                    <w:tc>
                      <w:tcPr>
                        <w:tcW w:w="4819" w:type="dxa"/>
                        <w:vAlign w:val="center"/>
                      </w:tcPr>
                      <w:p>
                        <w:pPr>
                          <w:rPr>
                            <w:sz w:val="20"/>
                          </w:rPr>
                        </w:pPr>
                        <w:r>
                          <w:rPr>
                            <w:sz w:val="20"/>
                          </w:rPr>
                          <w:t>vaikų globos (rūpybos) išmokos</w:t>
                        </w:r>
                      </w:p>
                    </w:tc>
                    <w:tc>
                      <w:tcPr>
                        <w:tcW w:w="1418" w:type="dxa"/>
                        <w:vAlign w:val="center"/>
                      </w:tcPr>
                      <w:p>
                        <w:pPr>
                          <w:jc w:val="center"/>
                          <w:rPr>
                            <w:sz w:val="20"/>
                          </w:rPr>
                        </w:pPr>
                        <w:r>
                          <w:rPr>
                            <w:sz w:val="20"/>
                          </w:rPr>
                          <w:t>269,54</w:t>
                        </w:r>
                      </w:p>
                    </w:tc>
                    <w:tc>
                      <w:tcPr>
                        <w:tcW w:w="1842" w:type="dxa"/>
                        <w:vAlign w:val="center"/>
                      </w:tcPr>
                      <w:p>
                        <w:pPr>
                          <w:jc w:val="center"/>
                          <w:rPr>
                            <w:sz w:val="20"/>
                          </w:rPr>
                        </w:pPr>
                        <w:r>
                          <w:rPr>
                            <w:sz w:val="20"/>
                          </w:rPr>
                          <w:t>278,46</w:t>
                        </w:r>
                      </w:p>
                    </w:tc>
                    <w:tc>
                      <w:tcPr>
                        <w:tcW w:w="1276" w:type="dxa"/>
                        <w:vAlign w:val="center"/>
                      </w:tcPr>
                      <w:p>
                        <w:pPr>
                          <w:jc w:val="center"/>
                          <w:rPr>
                            <w:sz w:val="20"/>
                          </w:rPr>
                        </w:pPr>
                        <w:r>
                          <w:rPr>
                            <w:sz w:val="20"/>
                          </w:rPr>
                          <w:t>283,5</w:t>
                        </w:r>
                      </w:p>
                    </w:tc>
                  </w:tr>
                  <w:tr>
                    <w:tc>
                      <w:tcPr>
                        <w:tcW w:w="568" w:type="dxa"/>
                        <w:vAlign w:val="center"/>
                      </w:tcPr>
                      <w:p>
                        <w:pPr>
                          <w:jc w:val="center"/>
                          <w:rPr>
                            <w:b/>
                            <w:sz w:val="20"/>
                          </w:rPr>
                        </w:pPr>
                        <w:r>
                          <w:rPr>
                            <w:b/>
                            <w:sz w:val="20"/>
                          </w:rPr>
                          <w:t>3.</w:t>
                        </w:r>
                      </w:p>
                    </w:tc>
                    <w:tc>
                      <w:tcPr>
                        <w:tcW w:w="4819" w:type="dxa"/>
                        <w:vAlign w:val="center"/>
                      </w:tcPr>
                      <w:p>
                        <w:pPr>
                          <w:rPr>
                            <w:b/>
                            <w:sz w:val="20"/>
                          </w:rPr>
                        </w:pPr>
                        <w:r>
                          <w:rPr>
                            <w:b/>
                            <w:sz w:val="20"/>
                          </w:rPr>
                          <w:t>ES struktūrinių fondų lėšos, tūkst. Eur</w:t>
                        </w:r>
                      </w:p>
                    </w:tc>
                    <w:tc>
                      <w:tcPr>
                        <w:tcW w:w="1418" w:type="dxa"/>
                        <w:vAlign w:val="center"/>
                      </w:tcPr>
                      <w:p>
                        <w:pPr>
                          <w:jc w:val="center"/>
                          <w:rPr>
                            <w:b/>
                            <w:sz w:val="20"/>
                          </w:rPr>
                        </w:pPr>
                        <w:r>
                          <w:rPr>
                            <w:sz w:val="20"/>
                          </w:rPr>
                          <w:t>─</w:t>
                        </w:r>
                      </w:p>
                    </w:tc>
                    <w:tc>
                      <w:tcPr>
                        <w:tcW w:w="1842" w:type="dxa"/>
                        <w:vAlign w:val="center"/>
                      </w:tcPr>
                      <w:p>
                        <w:pPr>
                          <w:jc w:val="center"/>
                          <w:rPr>
                            <w:b/>
                            <w:sz w:val="20"/>
                          </w:rPr>
                        </w:pPr>
                        <w:r>
                          <w:rPr>
                            <w:sz w:val="20"/>
                          </w:rPr>
                          <w:t>─</w:t>
                        </w:r>
                      </w:p>
                    </w:tc>
                    <w:tc>
                      <w:tcPr>
                        <w:tcW w:w="1276" w:type="dxa"/>
                        <w:vAlign w:val="center"/>
                      </w:tcPr>
                      <w:p>
                        <w:pPr>
                          <w:jc w:val="center"/>
                          <w:rPr>
                            <w:b/>
                            <w:sz w:val="20"/>
                          </w:rPr>
                        </w:pPr>
                        <w:r>
                          <w:rPr>
                            <w:sz w:val="20"/>
                          </w:rPr>
                          <w:t>─</w:t>
                        </w:r>
                      </w:p>
                    </w:tc>
                  </w:tr>
                  <w:tr>
                    <w:tc>
                      <w:tcPr>
                        <w:tcW w:w="568" w:type="dxa"/>
                        <w:vAlign w:val="center"/>
                      </w:tcPr>
                      <w:p>
                        <w:pPr>
                          <w:jc w:val="center"/>
                          <w:rPr>
                            <w:b/>
                            <w:sz w:val="20"/>
                          </w:rPr>
                        </w:pPr>
                        <w:r>
                          <w:rPr>
                            <w:b/>
                            <w:sz w:val="20"/>
                          </w:rPr>
                          <w:t>4.</w:t>
                        </w:r>
                      </w:p>
                    </w:tc>
                    <w:tc>
                      <w:tcPr>
                        <w:tcW w:w="4819" w:type="dxa"/>
                        <w:vAlign w:val="center"/>
                      </w:tcPr>
                      <w:p>
                        <w:pPr>
                          <w:rPr>
                            <w:b/>
                            <w:sz w:val="20"/>
                          </w:rPr>
                        </w:pPr>
                        <w:r>
                          <w:rPr>
                            <w:b/>
                            <w:sz w:val="20"/>
                          </w:rPr>
                          <w:t>Asmenų mokėjimai už socialines paslaugas</w:t>
                        </w:r>
                      </w:p>
                    </w:tc>
                    <w:tc>
                      <w:tcPr>
                        <w:tcW w:w="1418" w:type="dxa"/>
                        <w:vAlign w:val="center"/>
                      </w:tcPr>
                      <w:p>
                        <w:pPr>
                          <w:jc w:val="center"/>
                          <w:rPr>
                            <w:b/>
                            <w:sz w:val="20"/>
                          </w:rPr>
                        </w:pPr>
                        <w:r>
                          <w:rPr>
                            <w:b/>
                            <w:sz w:val="20"/>
                          </w:rPr>
                          <w:t>283,49</w:t>
                        </w:r>
                      </w:p>
                    </w:tc>
                    <w:tc>
                      <w:tcPr>
                        <w:tcW w:w="1842" w:type="dxa"/>
                        <w:vAlign w:val="center"/>
                      </w:tcPr>
                      <w:p>
                        <w:pPr>
                          <w:jc w:val="center"/>
                          <w:rPr>
                            <w:b/>
                            <w:sz w:val="20"/>
                          </w:rPr>
                        </w:pPr>
                        <w:r>
                          <w:rPr>
                            <w:b/>
                            <w:sz w:val="20"/>
                          </w:rPr>
                          <w:t>251,10</w:t>
                        </w:r>
                      </w:p>
                    </w:tc>
                    <w:tc>
                      <w:tcPr>
                        <w:tcW w:w="1276" w:type="dxa"/>
                        <w:vAlign w:val="center"/>
                      </w:tcPr>
                      <w:p>
                        <w:pPr>
                          <w:jc w:val="center"/>
                          <w:rPr>
                            <w:b/>
                            <w:sz w:val="20"/>
                          </w:rPr>
                        </w:pPr>
                        <w:r>
                          <w:rPr>
                            <w:b/>
                            <w:sz w:val="20"/>
                          </w:rPr>
                          <w:t>266,0</w:t>
                        </w:r>
                      </w:p>
                    </w:tc>
                  </w:tr>
                  <w:tr>
                    <w:tc>
                      <w:tcPr>
                        <w:tcW w:w="568" w:type="dxa"/>
                        <w:vAlign w:val="center"/>
                      </w:tcPr>
                      <w:p>
                        <w:pPr>
                          <w:jc w:val="center"/>
                          <w:rPr>
                            <w:b/>
                            <w:sz w:val="20"/>
                          </w:rPr>
                        </w:pPr>
                        <w:r>
                          <w:rPr>
                            <w:b/>
                            <w:sz w:val="20"/>
                          </w:rPr>
                          <w:t>5.</w:t>
                        </w:r>
                      </w:p>
                    </w:tc>
                    <w:tc>
                      <w:tcPr>
                        <w:tcW w:w="4819" w:type="dxa"/>
                        <w:vAlign w:val="center"/>
                      </w:tcPr>
                      <w:p>
                        <w:pPr>
                          <w:rPr>
                            <w:b/>
                            <w:sz w:val="20"/>
                          </w:rPr>
                        </w:pPr>
                        <w:r>
                          <w:rPr>
                            <w:b/>
                            <w:sz w:val="20"/>
                          </w:rPr>
                          <w:t>Nacionalinių fondų lėšos (Socialinių paslaugų infrastruktūros plėtros ir Neįgaliųjų socialinės integracijos programos)</w:t>
                        </w:r>
                      </w:p>
                    </w:tc>
                    <w:tc>
                      <w:tcPr>
                        <w:tcW w:w="1418" w:type="dxa"/>
                        <w:vAlign w:val="center"/>
                      </w:tcPr>
                      <w:p>
                        <w:pPr>
                          <w:jc w:val="center"/>
                          <w:rPr>
                            <w:b/>
                            <w:sz w:val="20"/>
                          </w:rPr>
                        </w:pPr>
                        <w:r>
                          <w:rPr>
                            <w:b/>
                            <w:sz w:val="20"/>
                          </w:rPr>
                          <w:t>155,37</w:t>
                        </w:r>
                      </w:p>
                    </w:tc>
                    <w:tc>
                      <w:tcPr>
                        <w:tcW w:w="1842" w:type="dxa"/>
                        <w:vAlign w:val="center"/>
                      </w:tcPr>
                      <w:p>
                        <w:pPr>
                          <w:jc w:val="center"/>
                          <w:rPr>
                            <w:b/>
                            <w:sz w:val="20"/>
                          </w:rPr>
                        </w:pPr>
                        <w:r>
                          <w:rPr>
                            <w:b/>
                            <w:sz w:val="20"/>
                          </w:rPr>
                          <w:t>145,61</w:t>
                        </w:r>
                      </w:p>
                    </w:tc>
                    <w:tc>
                      <w:tcPr>
                        <w:tcW w:w="1276" w:type="dxa"/>
                        <w:vAlign w:val="center"/>
                      </w:tcPr>
                      <w:p>
                        <w:pPr>
                          <w:jc w:val="center"/>
                          <w:rPr>
                            <w:b/>
                            <w:sz w:val="20"/>
                          </w:rPr>
                        </w:pPr>
                        <w:r>
                          <w:rPr>
                            <w:b/>
                            <w:sz w:val="20"/>
                          </w:rPr>
                          <w:t>151,60</w:t>
                        </w:r>
                      </w:p>
                    </w:tc>
                  </w:tr>
                  <w:tr>
                    <w:tc>
                      <w:tcPr>
                        <w:tcW w:w="568" w:type="dxa"/>
                        <w:vAlign w:val="center"/>
                      </w:tcPr>
                      <w:p>
                        <w:pPr>
                          <w:jc w:val="center"/>
                          <w:rPr>
                            <w:b/>
                            <w:sz w:val="20"/>
                          </w:rPr>
                        </w:pPr>
                        <w:r>
                          <w:rPr>
                            <w:b/>
                            <w:sz w:val="20"/>
                          </w:rPr>
                          <w:t>6.</w:t>
                        </w:r>
                      </w:p>
                    </w:tc>
                    <w:tc>
                      <w:tcPr>
                        <w:tcW w:w="4819" w:type="dxa"/>
                        <w:vAlign w:val="center"/>
                      </w:tcPr>
                      <w:p>
                        <w:pPr>
                          <w:rPr>
                            <w:b/>
                            <w:sz w:val="20"/>
                          </w:rPr>
                        </w:pPr>
                        <w:r>
                          <w:rPr>
                            <w:b/>
                            <w:sz w:val="20"/>
                          </w:rPr>
                          <w:t>Kitos lėšos, tūkst. Eur</w:t>
                        </w:r>
                      </w:p>
                    </w:tc>
                    <w:tc>
                      <w:tcPr>
                        <w:tcW w:w="1418" w:type="dxa"/>
                        <w:vAlign w:val="center"/>
                      </w:tcPr>
                      <w:p>
                        <w:pPr>
                          <w:jc w:val="center"/>
                          <w:rPr>
                            <w:b/>
                            <w:sz w:val="20"/>
                          </w:rPr>
                        </w:pPr>
                        <w:r>
                          <w:rPr>
                            <w:b/>
                            <w:sz w:val="20"/>
                          </w:rPr>
                          <w:t>188,45</w:t>
                        </w:r>
                      </w:p>
                    </w:tc>
                    <w:tc>
                      <w:tcPr>
                        <w:tcW w:w="1842" w:type="dxa"/>
                        <w:vAlign w:val="center"/>
                      </w:tcPr>
                      <w:p>
                        <w:pPr>
                          <w:jc w:val="center"/>
                          <w:rPr>
                            <w:sz w:val="20"/>
                          </w:rPr>
                        </w:pPr>
                        <w:r>
                          <w:rPr>
                            <w:sz w:val="20"/>
                          </w:rPr>
                          <w:t>146,00</w:t>
                        </w:r>
                      </w:p>
                    </w:tc>
                    <w:tc>
                      <w:tcPr>
                        <w:tcW w:w="1276" w:type="dxa"/>
                        <w:vAlign w:val="center"/>
                      </w:tcPr>
                      <w:p>
                        <w:pPr>
                          <w:jc w:val="center"/>
                          <w:rPr>
                            <w:sz w:val="20"/>
                          </w:rPr>
                        </w:pPr>
                      </w:p>
                    </w:tc>
                  </w:tr>
                  <w:tr>
                    <w:tc>
                      <w:tcPr>
                        <w:tcW w:w="568" w:type="dxa"/>
                        <w:shd w:val="clear" w:color="auto" w:fill="BFBFBF"/>
                        <w:vAlign w:val="center"/>
                      </w:tcPr>
                      <w:p>
                        <w:pPr>
                          <w:jc w:val="center"/>
                          <w:rPr>
                            <w:b/>
                            <w:sz w:val="20"/>
                          </w:rPr>
                        </w:pPr>
                        <w:r>
                          <w:rPr>
                            <w:b/>
                            <w:sz w:val="20"/>
                          </w:rPr>
                          <w:t>7.</w:t>
                        </w:r>
                      </w:p>
                    </w:tc>
                    <w:tc>
                      <w:tcPr>
                        <w:tcW w:w="4819" w:type="dxa"/>
                        <w:shd w:val="clear" w:color="auto" w:fill="BFBFBF"/>
                        <w:vAlign w:val="center"/>
                      </w:tcPr>
                      <w:p>
                        <w:pPr>
                          <w:rPr>
                            <w:b/>
                            <w:sz w:val="20"/>
                          </w:rPr>
                        </w:pPr>
                        <w:r>
                          <w:rPr>
                            <w:b/>
                            <w:sz w:val="20"/>
                          </w:rPr>
                          <w:t>Iš viso</w:t>
                        </w:r>
                      </w:p>
                    </w:tc>
                    <w:tc>
                      <w:tcPr>
                        <w:tcW w:w="1418" w:type="dxa"/>
                        <w:shd w:val="clear" w:color="auto" w:fill="BFBFBF"/>
                        <w:vAlign w:val="center"/>
                      </w:tcPr>
                      <w:p>
                        <w:pPr>
                          <w:jc w:val="center"/>
                          <w:rPr>
                            <w:b/>
                            <w:sz w:val="20"/>
                          </w:rPr>
                        </w:pPr>
                        <w:r>
                          <w:rPr>
                            <w:b/>
                            <w:sz w:val="20"/>
                          </w:rPr>
                          <w:t>2750,67</w:t>
                        </w:r>
                      </w:p>
                    </w:tc>
                    <w:tc>
                      <w:tcPr>
                        <w:tcW w:w="1842" w:type="dxa"/>
                        <w:shd w:val="clear" w:color="auto" w:fill="BFBFBF"/>
                        <w:vAlign w:val="center"/>
                      </w:tcPr>
                      <w:p>
                        <w:pPr>
                          <w:jc w:val="center"/>
                          <w:rPr>
                            <w:b/>
                            <w:sz w:val="20"/>
                          </w:rPr>
                        </w:pPr>
                        <w:r>
                          <w:rPr>
                            <w:b/>
                            <w:sz w:val="20"/>
                          </w:rPr>
                          <w:t>2945,37</w:t>
                        </w:r>
                      </w:p>
                    </w:tc>
                    <w:tc>
                      <w:tcPr>
                        <w:tcW w:w="1276" w:type="dxa"/>
                        <w:shd w:val="clear" w:color="auto" w:fill="BFBFBF"/>
                        <w:vAlign w:val="center"/>
                      </w:tcPr>
                      <w:p>
                        <w:pPr>
                          <w:jc w:val="center"/>
                          <w:rPr>
                            <w:b/>
                            <w:sz w:val="20"/>
                          </w:rPr>
                        </w:pPr>
                        <w:r>
                          <w:rPr>
                            <w:b/>
                            <w:sz w:val="20"/>
                          </w:rPr>
                          <w:t>3342,30</w:t>
                        </w:r>
                      </w:p>
                    </w:tc>
                  </w:tr>
                </w:tbl>
                <w:p>
                  <w:pPr>
                    <w:tabs>
                      <w:tab w:val="left" w:pos="1980"/>
                    </w:tabs>
                    <w:rPr>
                      <w:b/>
                      <w:szCs w:val="24"/>
                    </w:rPr>
                  </w:pPr>
                </w:p>
                <w:p>
                  <w:pPr>
                    <w:tabs>
                      <w:tab w:val="left" w:pos="1980"/>
                    </w:tabs>
                    <w:rPr>
                      <w:b/>
                      <w:szCs w:val="24"/>
                    </w:rPr>
                  </w:pPr>
                </w:p>
                <w:sdt>
                  <w:sdtPr>
                    <w:alias w:val="12.1 pp."/>
                    <w:tag w:val="part_ce5128741e2147c9a44cd90b237404ff"/>
                    <w:lock w:val="sdtLocked"/>
                    <w:richText/>
                  </w:sdtPr>
                  <w:sdtContent>
                    <w:p>
                      <w:pPr>
                        <w:tabs>
                          <w:tab w:val="left" w:pos="1980"/>
                        </w:tabs>
                        <w:ind w:left="709"/>
                        <w:outlineLvl w:val="2"/>
                        <w:rPr>
                          <w:b/>
                          <w:szCs w:val="24"/>
                        </w:rPr>
                      </w:pPr>
                      <w:sdt>
                        <w:sdtPr>
                          <w:alias w:val="Numeris"/>
                          <w:tag w:val="nr_ce5128741e2147c9a44cd90b237404ff"/>
                          <w:lock w:val="sdtLocked"/>
                          <w:richText/>
                        </w:sdtPr>
                        <w:sdtContent>
                          <w:r>
                            <w:rPr>
                              <w:b/>
                              <w:szCs w:val="24"/>
                            </w:rPr>
                            <w:t>12.1</w:t>
                          </w:r>
                        </w:sdtContent>
                      </w:sdt>
                      <w:r>
                        <w:rPr>
                          <w:b/>
                          <w:szCs w:val="24"/>
                        </w:rPr>
                        <w:t>. Socialinių paslaugų finansavimo šaltinių įvertinimas</w:t>
                      </w:r>
                    </w:p>
                    <w:p>
                      <w:pPr>
                        <w:ind w:firstLine="709"/>
                        <w:rPr>
                          <w:szCs w:val="24"/>
                        </w:rPr>
                      </w:pPr>
                    </w:p>
                    <w:p>
                      <w:pPr>
                        <w:ind w:firstLine="851"/>
                        <w:jc w:val="both"/>
                        <w:rPr>
                          <w:szCs w:val="24"/>
                        </w:rPr>
                      </w:pPr>
                      <w:r>
                        <w:rPr>
                          <w:szCs w:val="24"/>
                        </w:rPr>
                        <w:t xml:space="preserve">Pagrindiniai socialinių paslaugų teikimo Telšių rajono savivaldybėje finansavimo šaltiniai: Savivaldybės biudžeto lėšos ir valstybės biudžeto tikslinės dotacijos Savivaldybės biudžetui, specialiųjų programų lėšos. </w:t>
                      </w:r>
                    </w:p>
                    <w:p>
                      <w:pPr>
                        <w:ind w:firstLine="851"/>
                        <w:jc w:val="both"/>
                        <w:rPr>
                          <w:szCs w:val="24"/>
                        </w:rPr>
                      </w:pPr>
                      <w:r>
                        <w:rPr>
                          <w:szCs w:val="24"/>
                        </w:rPr>
                        <w:t>Nevyriausybinės organizacijos gauna ir kitų pajamų — organizacijos narių mokestis, gyventojų 2 procentų pajamų mokesčio parama ir kt.</w:t>
                      </w:r>
                    </w:p>
                    <w:p>
                      <w:pPr>
                        <w:ind w:firstLine="709"/>
                        <w:outlineLvl w:val="1"/>
                        <w:rPr>
                          <w:b/>
                          <w:bCs/>
                          <w:szCs w:val="24"/>
                        </w:rPr>
                      </w:pPr>
                    </w:p>
                  </w:sdtContent>
                </w:sdt>
              </w:sdtContent>
            </w:sdt>
            <w:sdt>
              <w:sdtPr>
                <w:alias w:val="13 p."/>
                <w:tag w:val="part_436fe25f2d4845ed98c0116f34f9f6d4"/>
                <w:lock w:val="sdtLocked"/>
                <w:richText/>
              </w:sdtPr>
              <w:sdtContent>
                <w:p>
                  <w:pPr>
                    <w:ind w:firstLine="709"/>
                    <w:outlineLvl w:val="1"/>
                    <w:rPr>
                      <w:b/>
                      <w:bCs/>
                      <w:color w:val="FF0000"/>
                      <w:szCs w:val="24"/>
                    </w:rPr>
                  </w:pPr>
                  <w:sdt>
                    <w:sdtPr>
                      <w:alias w:val="Numeris"/>
                      <w:tag w:val="nr_436fe25f2d4845ed98c0116f34f9f6d4"/>
                      <w:lock w:val="sdtLocked"/>
                      <w:richText/>
                    </w:sdtPr>
                    <w:sdtContent>
                      <w:r>
                        <w:rPr>
                          <w:b/>
                          <w:bCs/>
                          <w:szCs w:val="24"/>
                        </w:rPr>
                        <w:t>13</w:t>
                      </w:r>
                    </w:sdtContent>
                  </w:sdt>
                  <w:r>
                    <w:rPr>
                      <w:b/>
                      <w:bCs/>
                      <w:szCs w:val="24"/>
                    </w:rPr>
                    <w:t>. Socialinių paslaugų finansavimo iš Savivaldybės biudžeto būdai</w:t>
                  </w:r>
                  <w:r>
                    <w:rPr>
                      <w:szCs w:val="24"/>
                      <w:vertAlign w:val="superscript"/>
                    </w:rPr>
                    <w:footnoteReference w:id="35"/>
                  </w:r>
                  <w:r>
                    <w:rPr>
                      <w:b/>
                      <w:bCs/>
                      <w:szCs w:val="24"/>
                    </w:rPr>
                    <w:tab/>
                  </w:r>
                  <w:r>
                    <w:rPr>
                      <w:b/>
                      <w:bCs/>
                      <w:color w:val="FF0000"/>
                      <w:szCs w:val="24"/>
                    </w:rPr>
                    <w:t xml:space="preserve"> </w:t>
                  </w:r>
                </w:p>
                <w:p>
                  <w:pPr>
                    <w:ind w:firstLine="709"/>
                    <w:outlineLvl w:val="1"/>
                    <w:rPr>
                      <w:b/>
                      <w:bCs/>
                      <w:color w:val="FF0000"/>
                      <w:szCs w:val="24"/>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6"/>
                    <w:gridCol w:w="5036"/>
                    <w:gridCol w:w="1528"/>
                    <w:gridCol w:w="1275"/>
                    <w:gridCol w:w="1241"/>
                  </w:tblGrid>
                  <w:tr>
                    <w:trPr>
                      <w:trHeight w:val="212"/>
                      <w:tblHeader/>
                    </w:trPr>
                    <w:tc>
                      <w:tcPr>
                        <w:tcW w:w="666" w:type="dxa"/>
                        <w:vMerge w:val="restart"/>
                        <w:vAlign w:val="center"/>
                      </w:tcPr>
                      <w:p>
                        <w:pPr>
                          <w:jc w:val="center"/>
                          <w:rPr>
                            <w:b/>
                            <w:sz w:val="20"/>
                          </w:rPr>
                        </w:pPr>
                        <w:r>
                          <w:rPr>
                            <w:b/>
                            <w:sz w:val="20"/>
                          </w:rPr>
                          <w:t>Eil. Nr.</w:t>
                        </w:r>
                      </w:p>
                    </w:tc>
                    <w:tc>
                      <w:tcPr>
                        <w:tcW w:w="5036" w:type="dxa"/>
                        <w:vMerge w:val="restart"/>
                        <w:vAlign w:val="center"/>
                      </w:tcPr>
                      <w:p>
                        <w:pPr>
                          <w:jc w:val="center"/>
                          <w:rPr>
                            <w:b/>
                            <w:sz w:val="20"/>
                          </w:rPr>
                        </w:pPr>
                        <w:r>
                          <w:rPr>
                            <w:b/>
                            <w:sz w:val="20"/>
                          </w:rPr>
                          <w:t>Finansavimo būdai</w:t>
                        </w:r>
                      </w:p>
                    </w:tc>
                    <w:tc>
                      <w:tcPr>
                        <w:tcW w:w="4044" w:type="dxa"/>
                        <w:gridSpan w:val="3"/>
                      </w:tcPr>
                      <w:p>
                        <w:pPr>
                          <w:jc w:val="center"/>
                          <w:rPr>
                            <w:b/>
                            <w:sz w:val="20"/>
                          </w:rPr>
                        </w:pPr>
                        <w:r>
                          <w:rPr>
                            <w:b/>
                            <w:sz w:val="20"/>
                          </w:rPr>
                          <w:t>Lėšos tūkst. Eur</w:t>
                        </w:r>
                      </w:p>
                    </w:tc>
                  </w:tr>
                  <w:tr>
                    <w:trPr>
                      <w:tblHeader/>
                    </w:trPr>
                    <w:tc>
                      <w:tcPr>
                        <w:tcW w:w="666" w:type="dxa"/>
                        <w:vMerge/>
                        <w:vAlign w:val="center"/>
                      </w:tcPr>
                      <w:p>
                        <w:pPr>
                          <w:jc w:val="center"/>
                          <w:rPr>
                            <w:b/>
                            <w:sz w:val="20"/>
                          </w:rPr>
                        </w:pPr>
                      </w:p>
                    </w:tc>
                    <w:tc>
                      <w:tcPr>
                        <w:tcW w:w="5036" w:type="dxa"/>
                        <w:vMerge/>
                        <w:vAlign w:val="center"/>
                      </w:tcPr>
                      <w:p>
                        <w:pPr>
                          <w:jc w:val="center"/>
                          <w:rPr>
                            <w:b/>
                            <w:sz w:val="20"/>
                          </w:rPr>
                        </w:pPr>
                      </w:p>
                    </w:tc>
                    <w:tc>
                      <w:tcPr>
                        <w:tcW w:w="1528" w:type="dxa"/>
                        <w:vAlign w:val="center"/>
                      </w:tcPr>
                      <w:p>
                        <w:pPr>
                          <w:jc w:val="center"/>
                          <w:rPr>
                            <w:b/>
                            <w:bCs/>
                            <w:sz w:val="20"/>
                          </w:rPr>
                        </w:pPr>
                        <w:r>
                          <w:rPr>
                            <w:b/>
                            <w:bCs/>
                            <w:sz w:val="20"/>
                          </w:rPr>
                          <w:t>2015 m. (faktas)</w:t>
                        </w:r>
                      </w:p>
                    </w:tc>
                    <w:tc>
                      <w:tcPr>
                        <w:tcW w:w="1275" w:type="dxa"/>
                        <w:vAlign w:val="center"/>
                      </w:tcPr>
                      <w:p>
                        <w:pPr>
                          <w:jc w:val="center"/>
                          <w:rPr>
                            <w:b/>
                            <w:bCs/>
                            <w:sz w:val="20"/>
                          </w:rPr>
                        </w:pPr>
                        <w:r>
                          <w:rPr>
                            <w:b/>
                            <w:bCs/>
                            <w:sz w:val="20"/>
                          </w:rPr>
                          <w:t>2016 m. (planas)</w:t>
                        </w:r>
                      </w:p>
                    </w:tc>
                    <w:tc>
                      <w:tcPr>
                        <w:tcW w:w="1241" w:type="dxa"/>
                      </w:tcPr>
                      <w:p>
                        <w:pPr>
                          <w:jc w:val="center"/>
                          <w:rPr>
                            <w:b/>
                            <w:bCs/>
                            <w:sz w:val="20"/>
                          </w:rPr>
                        </w:pPr>
                        <w:r>
                          <w:rPr>
                            <w:b/>
                            <w:bCs/>
                            <w:sz w:val="20"/>
                          </w:rPr>
                          <w:t>2017 m.</w:t>
                        </w:r>
                      </w:p>
                      <w:p>
                        <w:pPr>
                          <w:jc w:val="center"/>
                          <w:rPr>
                            <w:b/>
                            <w:bCs/>
                            <w:sz w:val="20"/>
                          </w:rPr>
                        </w:pPr>
                        <w:r>
                          <w:rPr>
                            <w:b/>
                            <w:bCs/>
                            <w:sz w:val="20"/>
                          </w:rPr>
                          <w:t>(planas)</w:t>
                        </w:r>
                      </w:p>
                    </w:tc>
                  </w:tr>
                  <w:tr>
                    <w:trPr>
                      <w:tblHeader/>
                    </w:trPr>
                    <w:tc>
                      <w:tcPr>
                        <w:tcW w:w="666" w:type="dxa"/>
                        <w:vAlign w:val="center"/>
                      </w:tcPr>
                      <w:p>
                        <w:pPr>
                          <w:jc w:val="center"/>
                          <w:rPr>
                            <w:b/>
                            <w:sz w:val="20"/>
                          </w:rPr>
                        </w:pPr>
                        <w:r>
                          <w:rPr>
                            <w:b/>
                            <w:sz w:val="20"/>
                          </w:rPr>
                          <w:t>1.</w:t>
                        </w:r>
                      </w:p>
                    </w:tc>
                    <w:tc>
                      <w:tcPr>
                        <w:tcW w:w="5036" w:type="dxa"/>
                        <w:vAlign w:val="center"/>
                      </w:tcPr>
                      <w:p>
                        <w:pPr>
                          <w:rPr>
                            <w:b/>
                            <w:sz w:val="20"/>
                          </w:rPr>
                        </w:pPr>
                        <w:r>
                          <w:rPr>
                            <w:b/>
                            <w:sz w:val="20"/>
                          </w:rPr>
                          <w:t>Socialinių paslaugų pirkimas</w:t>
                        </w:r>
                      </w:p>
                    </w:tc>
                    <w:tc>
                      <w:tcPr>
                        <w:tcW w:w="1528" w:type="dxa"/>
                        <w:vAlign w:val="center"/>
                      </w:tcPr>
                      <w:p>
                        <w:pPr>
                          <w:jc w:val="center"/>
                          <w:rPr>
                            <w:b/>
                            <w:sz w:val="20"/>
                          </w:rPr>
                        </w:pPr>
                        <w:r>
                          <w:rPr>
                            <w:b/>
                            <w:sz w:val="20"/>
                          </w:rPr>
                          <w:t>129,1</w:t>
                        </w:r>
                      </w:p>
                    </w:tc>
                    <w:tc>
                      <w:tcPr>
                        <w:tcW w:w="1275" w:type="dxa"/>
                        <w:vAlign w:val="center"/>
                      </w:tcPr>
                      <w:p>
                        <w:pPr>
                          <w:jc w:val="center"/>
                          <w:rPr>
                            <w:b/>
                            <w:sz w:val="20"/>
                          </w:rPr>
                        </w:pPr>
                        <w:r>
                          <w:rPr>
                            <w:b/>
                            <w:sz w:val="20"/>
                          </w:rPr>
                          <w:t>105,2</w:t>
                        </w:r>
                      </w:p>
                    </w:tc>
                    <w:tc>
                      <w:tcPr>
                        <w:tcW w:w="1241" w:type="dxa"/>
                      </w:tcPr>
                      <w:p>
                        <w:pPr>
                          <w:jc w:val="center"/>
                          <w:rPr>
                            <w:b/>
                            <w:sz w:val="20"/>
                          </w:rPr>
                        </w:pPr>
                      </w:p>
                    </w:tc>
                  </w:tr>
                  <w:tr>
                    <w:trPr>
                      <w:tblHeader/>
                    </w:trPr>
                    <w:tc>
                      <w:tcPr>
                        <w:tcW w:w="666" w:type="dxa"/>
                        <w:vAlign w:val="center"/>
                      </w:tcPr>
                      <w:p>
                        <w:pPr>
                          <w:jc w:val="center"/>
                          <w:rPr>
                            <w:sz w:val="20"/>
                          </w:rPr>
                        </w:pPr>
                        <w:r>
                          <w:rPr>
                            <w:sz w:val="20"/>
                          </w:rPr>
                          <w:t>1.1.</w:t>
                        </w:r>
                      </w:p>
                    </w:tc>
                    <w:tc>
                      <w:tcPr>
                        <w:tcW w:w="5036" w:type="dxa"/>
                        <w:vAlign w:val="center"/>
                      </w:tcPr>
                      <w:p>
                        <w:pPr>
                          <w:rPr>
                            <w:sz w:val="20"/>
                          </w:rPr>
                        </w:pPr>
                        <w:r>
                          <w:rPr>
                            <w:sz w:val="20"/>
                          </w:rPr>
                          <w:t>Socialinės globos</w:t>
                        </w:r>
                      </w:p>
                    </w:tc>
                    <w:tc>
                      <w:tcPr>
                        <w:tcW w:w="1528" w:type="dxa"/>
                        <w:vAlign w:val="center"/>
                      </w:tcPr>
                      <w:p>
                        <w:pPr>
                          <w:jc w:val="center"/>
                          <w:rPr>
                            <w:sz w:val="20"/>
                          </w:rPr>
                        </w:pPr>
                        <w:r>
                          <w:rPr>
                            <w:sz w:val="20"/>
                          </w:rPr>
                          <w:t>124,7</w:t>
                        </w:r>
                      </w:p>
                    </w:tc>
                    <w:tc>
                      <w:tcPr>
                        <w:tcW w:w="1275" w:type="dxa"/>
                        <w:vAlign w:val="center"/>
                      </w:tcPr>
                      <w:p>
                        <w:pPr>
                          <w:jc w:val="center"/>
                          <w:rPr>
                            <w:sz w:val="20"/>
                          </w:rPr>
                        </w:pPr>
                        <w:r>
                          <w:rPr>
                            <w:sz w:val="20"/>
                          </w:rPr>
                          <w:t>101,2</w:t>
                        </w:r>
                      </w:p>
                    </w:tc>
                    <w:tc>
                      <w:tcPr>
                        <w:tcW w:w="1241" w:type="dxa"/>
                      </w:tcPr>
                      <w:p>
                        <w:pPr>
                          <w:jc w:val="center"/>
                          <w:rPr>
                            <w:sz w:val="20"/>
                          </w:rPr>
                        </w:pPr>
                      </w:p>
                    </w:tc>
                  </w:tr>
                  <w:tr>
                    <w:trPr>
                      <w:tblHeader/>
                    </w:trPr>
                    <w:tc>
                      <w:tcPr>
                        <w:tcW w:w="666" w:type="dxa"/>
                        <w:vAlign w:val="center"/>
                      </w:tcPr>
                      <w:p>
                        <w:pPr>
                          <w:jc w:val="center"/>
                          <w:rPr>
                            <w:sz w:val="20"/>
                          </w:rPr>
                        </w:pPr>
                        <w:r>
                          <w:rPr>
                            <w:sz w:val="20"/>
                          </w:rPr>
                          <w:t>1.2.</w:t>
                        </w:r>
                      </w:p>
                    </w:tc>
                    <w:tc>
                      <w:tcPr>
                        <w:tcW w:w="5036" w:type="dxa"/>
                        <w:vAlign w:val="center"/>
                      </w:tcPr>
                      <w:p>
                        <w:pPr>
                          <w:rPr>
                            <w:sz w:val="20"/>
                          </w:rPr>
                        </w:pPr>
                        <w:r>
                          <w:rPr>
                            <w:sz w:val="20"/>
                          </w:rPr>
                          <w:t>Asmenų maitinimas „Caritas“</w:t>
                        </w:r>
                      </w:p>
                    </w:tc>
                    <w:tc>
                      <w:tcPr>
                        <w:tcW w:w="1528" w:type="dxa"/>
                        <w:vAlign w:val="center"/>
                      </w:tcPr>
                      <w:p>
                        <w:pPr>
                          <w:jc w:val="center"/>
                          <w:rPr>
                            <w:bCs/>
                            <w:sz w:val="20"/>
                          </w:rPr>
                        </w:pPr>
                        <w:r>
                          <w:rPr>
                            <w:bCs/>
                            <w:sz w:val="20"/>
                          </w:rPr>
                          <w:t>4,4</w:t>
                        </w:r>
                      </w:p>
                    </w:tc>
                    <w:tc>
                      <w:tcPr>
                        <w:tcW w:w="1275" w:type="dxa"/>
                        <w:vAlign w:val="center"/>
                      </w:tcPr>
                      <w:p>
                        <w:pPr>
                          <w:jc w:val="center"/>
                          <w:rPr>
                            <w:bCs/>
                            <w:sz w:val="20"/>
                          </w:rPr>
                        </w:pPr>
                        <w:r>
                          <w:rPr>
                            <w:bCs/>
                            <w:sz w:val="20"/>
                          </w:rPr>
                          <w:t>4,0</w:t>
                        </w:r>
                      </w:p>
                    </w:tc>
                    <w:tc>
                      <w:tcPr>
                        <w:tcW w:w="1241" w:type="dxa"/>
                      </w:tcPr>
                      <w:p>
                        <w:pPr>
                          <w:jc w:val="center"/>
                          <w:rPr>
                            <w:bCs/>
                            <w:sz w:val="20"/>
                          </w:rPr>
                        </w:pPr>
                      </w:p>
                    </w:tc>
                  </w:tr>
                  <w:tr>
                    <w:trPr>
                      <w:tblHeader/>
                    </w:trPr>
                    <w:tc>
                      <w:tcPr>
                        <w:tcW w:w="666" w:type="dxa"/>
                        <w:vAlign w:val="center"/>
                      </w:tcPr>
                      <w:p>
                        <w:pPr>
                          <w:jc w:val="center"/>
                          <w:rPr>
                            <w:b/>
                            <w:sz w:val="20"/>
                          </w:rPr>
                        </w:pPr>
                        <w:r>
                          <w:rPr>
                            <w:b/>
                            <w:sz w:val="20"/>
                          </w:rPr>
                          <w:t>2.</w:t>
                        </w:r>
                      </w:p>
                    </w:tc>
                    <w:tc>
                      <w:tcPr>
                        <w:tcW w:w="5036" w:type="dxa"/>
                        <w:vAlign w:val="center"/>
                      </w:tcPr>
                      <w:p>
                        <w:pPr>
                          <w:rPr>
                            <w:b/>
                            <w:sz w:val="20"/>
                          </w:rPr>
                        </w:pPr>
                        <w:r>
                          <w:rPr>
                            <w:b/>
                            <w:sz w:val="20"/>
                          </w:rPr>
                          <w:t>Tiesioginis socialinių paslaugų įstaigų finansavimas, iš jų:</w:t>
                        </w:r>
                      </w:p>
                    </w:tc>
                    <w:tc>
                      <w:tcPr>
                        <w:tcW w:w="1528" w:type="dxa"/>
                        <w:vAlign w:val="center"/>
                      </w:tcPr>
                      <w:p>
                        <w:pPr>
                          <w:jc w:val="center"/>
                          <w:rPr>
                            <w:b/>
                            <w:bCs/>
                            <w:sz w:val="20"/>
                          </w:rPr>
                        </w:pPr>
                        <w:r>
                          <w:rPr>
                            <w:b/>
                            <w:bCs/>
                            <w:sz w:val="20"/>
                          </w:rPr>
                          <w:t>1065,2</w:t>
                        </w:r>
                      </w:p>
                    </w:tc>
                    <w:tc>
                      <w:tcPr>
                        <w:tcW w:w="1275" w:type="dxa"/>
                        <w:vAlign w:val="center"/>
                      </w:tcPr>
                      <w:p>
                        <w:pPr>
                          <w:jc w:val="center"/>
                          <w:rPr>
                            <w:b/>
                            <w:bCs/>
                            <w:sz w:val="20"/>
                          </w:rPr>
                        </w:pPr>
                        <w:r>
                          <w:rPr>
                            <w:b/>
                            <w:bCs/>
                            <w:sz w:val="20"/>
                          </w:rPr>
                          <w:t>1287,9</w:t>
                        </w:r>
                      </w:p>
                    </w:tc>
                    <w:tc>
                      <w:tcPr>
                        <w:tcW w:w="1241" w:type="dxa"/>
                      </w:tcPr>
                      <w:p>
                        <w:pPr>
                          <w:jc w:val="center"/>
                          <w:rPr>
                            <w:b/>
                            <w:bCs/>
                            <w:sz w:val="20"/>
                          </w:rPr>
                        </w:pPr>
                      </w:p>
                    </w:tc>
                  </w:tr>
                  <w:tr>
                    <w:trPr>
                      <w:tblHeader/>
                    </w:trPr>
                    <w:tc>
                      <w:tcPr>
                        <w:tcW w:w="666" w:type="dxa"/>
                        <w:vAlign w:val="center"/>
                      </w:tcPr>
                      <w:p>
                        <w:pPr>
                          <w:jc w:val="center"/>
                          <w:rPr>
                            <w:b/>
                            <w:sz w:val="20"/>
                          </w:rPr>
                        </w:pPr>
                        <w:r>
                          <w:rPr>
                            <w:b/>
                            <w:sz w:val="20"/>
                          </w:rPr>
                          <w:t>2.1.</w:t>
                        </w:r>
                      </w:p>
                    </w:tc>
                    <w:tc>
                      <w:tcPr>
                        <w:tcW w:w="5036" w:type="dxa"/>
                        <w:vAlign w:val="center"/>
                      </w:tcPr>
                      <w:p>
                        <w:pPr>
                          <w:rPr>
                            <w:b/>
                            <w:sz w:val="20"/>
                          </w:rPr>
                        </w:pPr>
                        <w:r>
                          <w:rPr>
                            <w:b/>
                            <w:sz w:val="20"/>
                          </w:rPr>
                          <w:t>savivaldybės pavaldumo įstaigoms</w:t>
                        </w:r>
                      </w:p>
                    </w:tc>
                    <w:tc>
                      <w:tcPr>
                        <w:tcW w:w="1528" w:type="dxa"/>
                        <w:vAlign w:val="center"/>
                      </w:tcPr>
                      <w:p>
                        <w:pPr>
                          <w:jc w:val="center"/>
                          <w:rPr>
                            <w:b/>
                            <w:bCs/>
                            <w:sz w:val="20"/>
                          </w:rPr>
                        </w:pPr>
                        <w:r>
                          <w:rPr>
                            <w:b/>
                            <w:bCs/>
                            <w:sz w:val="20"/>
                          </w:rPr>
                          <w:t>1065,2</w:t>
                        </w:r>
                      </w:p>
                    </w:tc>
                    <w:tc>
                      <w:tcPr>
                        <w:tcW w:w="1275" w:type="dxa"/>
                        <w:vAlign w:val="center"/>
                      </w:tcPr>
                      <w:p>
                        <w:pPr>
                          <w:jc w:val="center"/>
                          <w:rPr>
                            <w:b/>
                            <w:bCs/>
                            <w:sz w:val="20"/>
                          </w:rPr>
                        </w:pPr>
                        <w:r>
                          <w:rPr>
                            <w:b/>
                            <w:bCs/>
                            <w:sz w:val="20"/>
                          </w:rPr>
                          <w:t>1287,9</w:t>
                        </w:r>
                      </w:p>
                    </w:tc>
                    <w:tc>
                      <w:tcPr>
                        <w:tcW w:w="1241" w:type="dxa"/>
                      </w:tcPr>
                      <w:p>
                        <w:pPr>
                          <w:jc w:val="center"/>
                          <w:rPr>
                            <w:b/>
                            <w:bCs/>
                            <w:sz w:val="20"/>
                          </w:rPr>
                        </w:pPr>
                      </w:p>
                    </w:tc>
                  </w:tr>
                  <w:tr>
                    <w:trPr>
                      <w:tblHeader/>
                    </w:trPr>
                    <w:tc>
                      <w:tcPr>
                        <w:tcW w:w="666" w:type="dxa"/>
                        <w:vAlign w:val="center"/>
                      </w:tcPr>
                      <w:p>
                        <w:pPr>
                          <w:jc w:val="center"/>
                          <w:rPr>
                            <w:sz w:val="20"/>
                          </w:rPr>
                        </w:pPr>
                        <w:r>
                          <w:rPr>
                            <w:sz w:val="20"/>
                          </w:rPr>
                          <w:t>2.1.1.</w:t>
                        </w:r>
                      </w:p>
                    </w:tc>
                    <w:tc>
                      <w:tcPr>
                        <w:tcW w:w="5036" w:type="dxa"/>
                        <w:vAlign w:val="center"/>
                      </w:tcPr>
                      <w:p>
                        <w:pPr>
                          <w:rPr>
                            <w:sz w:val="20"/>
                          </w:rPr>
                        </w:pPr>
                        <w:r>
                          <w:rPr>
                            <w:sz w:val="20"/>
                          </w:rPr>
                          <w:t>Telšių socialinių paslaugų centras</w:t>
                        </w:r>
                      </w:p>
                    </w:tc>
                    <w:tc>
                      <w:tcPr>
                        <w:tcW w:w="1528" w:type="dxa"/>
                        <w:vAlign w:val="center"/>
                      </w:tcPr>
                      <w:p>
                        <w:pPr>
                          <w:jc w:val="center"/>
                          <w:rPr>
                            <w:bCs/>
                            <w:sz w:val="20"/>
                          </w:rPr>
                        </w:pPr>
                        <w:r>
                          <w:rPr>
                            <w:bCs/>
                            <w:sz w:val="20"/>
                          </w:rPr>
                          <w:t>382,8</w:t>
                        </w:r>
                      </w:p>
                    </w:tc>
                    <w:tc>
                      <w:tcPr>
                        <w:tcW w:w="1275" w:type="dxa"/>
                        <w:vAlign w:val="center"/>
                      </w:tcPr>
                      <w:p>
                        <w:pPr>
                          <w:jc w:val="center"/>
                          <w:rPr>
                            <w:bCs/>
                            <w:sz w:val="20"/>
                          </w:rPr>
                        </w:pPr>
                        <w:r>
                          <w:rPr>
                            <w:bCs/>
                            <w:sz w:val="20"/>
                          </w:rPr>
                          <w:t>460,9</w:t>
                        </w:r>
                      </w:p>
                    </w:tc>
                    <w:tc>
                      <w:tcPr>
                        <w:tcW w:w="1241" w:type="dxa"/>
                      </w:tcPr>
                      <w:p>
                        <w:pPr>
                          <w:jc w:val="center"/>
                          <w:rPr>
                            <w:bCs/>
                            <w:sz w:val="20"/>
                          </w:rPr>
                        </w:pPr>
                      </w:p>
                    </w:tc>
                  </w:tr>
                  <w:tr>
                    <w:trPr>
                      <w:tblHeader/>
                    </w:trPr>
                    <w:tc>
                      <w:tcPr>
                        <w:tcW w:w="666" w:type="dxa"/>
                        <w:vAlign w:val="center"/>
                      </w:tcPr>
                      <w:p>
                        <w:pPr>
                          <w:jc w:val="center"/>
                          <w:rPr>
                            <w:sz w:val="20"/>
                          </w:rPr>
                        </w:pPr>
                        <w:r>
                          <w:rPr>
                            <w:sz w:val="20"/>
                          </w:rPr>
                          <w:t>2.1.2.</w:t>
                        </w:r>
                      </w:p>
                    </w:tc>
                    <w:tc>
                      <w:tcPr>
                        <w:tcW w:w="5036" w:type="dxa"/>
                        <w:vAlign w:val="center"/>
                      </w:tcPr>
                      <w:p>
                        <w:pPr>
                          <w:rPr>
                            <w:sz w:val="20"/>
                          </w:rPr>
                        </w:pPr>
                        <w:r>
                          <w:rPr>
                            <w:sz w:val="20"/>
                          </w:rPr>
                          <w:t>Telšių vaikų globos namai</w:t>
                        </w:r>
                      </w:p>
                    </w:tc>
                    <w:tc>
                      <w:tcPr>
                        <w:tcW w:w="1528" w:type="dxa"/>
                        <w:vAlign w:val="center"/>
                      </w:tcPr>
                      <w:p>
                        <w:pPr>
                          <w:jc w:val="center"/>
                          <w:rPr>
                            <w:bCs/>
                            <w:sz w:val="20"/>
                          </w:rPr>
                        </w:pPr>
                        <w:r>
                          <w:rPr>
                            <w:bCs/>
                            <w:sz w:val="20"/>
                          </w:rPr>
                          <w:t>424,7</w:t>
                        </w:r>
                      </w:p>
                    </w:tc>
                    <w:tc>
                      <w:tcPr>
                        <w:tcW w:w="1275" w:type="dxa"/>
                        <w:vAlign w:val="center"/>
                      </w:tcPr>
                      <w:p>
                        <w:pPr>
                          <w:jc w:val="center"/>
                          <w:rPr>
                            <w:bCs/>
                            <w:sz w:val="20"/>
                          </w:rPr>
                        </w:pPr>
                        <w:r>
                          <w:rPr>
                            <w:bCs/>
                            <w:sz w:val="20"/>
                          </w:rPr>
                          <w:t>484,2</w:t>
                        </w:r>
                      </w:p>
                    </w:tc>
                    <w:tc>
                      <w:tcPr>
                        <w:tcW w:w="1241" w:type="dxa"/>
                      </w:tcPr>
                      <w:p>
                        <w:pPr>
                          <w:jc w:val="center"/>
                          <w:rPr>
                            <w:bCs/>
                            <w:sz w:val="20"/>
                          </w:rPr>
                        </w:pPr>
                      </w:p>
                    </w:tc>
                  </w:tr>
                  <w:tr>
                    <w:trPr>
                      <w:tblHeader/>
                    </w:trPr>
                    <w:tc>
                      <w:tcPr>
                        <w:tcW w:w="666" w:type="dxa"/>
                        <w:vAlign w:val="center"/>
                      </w:tcPr>
                      <w:p>
                        <w:pPr>
                          <w:jc w:val="center"/>
                          <w:rPr>
                            <w:sz w:val="20"/>
                          </w:rPr>
                        </w:pPr>
                        <w:r>
                          <w:rPr>
                            <w:sz w:val="20"/>
                          </w:rPr>
                          <w:t>2.1.3.</w:t>
                        </w:r>
                      </w:p>
                    </w:tc>
                    <w:tc>
                      <w:tcPr>
                        <w:tcW w:w="5036" w:type="dxa"/>
                        <w:vAlign w:val="center"/>
                      </w:tcPr>
                      <w:p>
                        <w:pPr>
                          <w:rPr>
                            <w:sz w:val="20"/>
                          </w:rPr>
                        </w:pPr>
                        <w:r>
                          <w:rPr>
                            <w:sz w:val="20"/>
                          </w:rPr>
                          <w:t>Telšių rajono senelių globos namai</w:t>
                        </w:r>
                      </w:p>
                    </w:tc>
                    <w:tc>
                      <w:tcPr>
                        <w:tcW w:w="1528" w:type="dxa"/>
                        <w:vAlign w:val="center"/>
                      </w:tcPr>
                      <w:p>
                        <w:pPr>
                          <w:jc w:val="center"/>
                          <w:rPr>
                            <w:bCs/>
                            <w:sz w:val="20"/>
                          </w:rPr>
                        </w:pPr>
                        <w:r>
                          <w:rPr>
                            <w:bCs/>
                            <w:sz w:val="20"/>
                          </w:rPr>
                          <w:t>204,3</w:t>
                        </w:r>
                      </w:p>
                    </w:tc>
                    <w:tc>
                      <w:tcPr>
                        <w:tcW w:w="1275" w:type="dxa"/>
                        <w:vAlign w:val="center"/>
                      </w:tcPr>
                      <w:p>
                        <w:pPr>
                          <w:jc w:val="center"/>
                          <w:rPr>
                            <w:bCs/>
                            <w:sz w:val="20"/>
                          </w:rPr>
                        </w:pPr>
                        <w:r>
                          <w:rPr>
                            <w:bCs/>
                            <w:sz w:val="20"/>
                          </w:rPr>
                          <w:t>242,2</w:t>
                        </w:r>
                      </w:p>
                    </w:tc>
                    <w:tc>
                      <w:tcPr>
                        <w:tcW w:w="1241" w:type="dxa"/>
                      </w:tcPr>
                      <w:p>
                        <w:pPr>
                          <w:jc w:val="center"/>
                          <w:rPr>
                            <w:bCs/>
                            <w:sz w:val="20"/>
                          </w:rPr>
                        </w:pPr>
                      </w:p>
                    </w:tc>
                  </w:tr>
                  <w:tr>
                    <w:trPr>
                      <w:tblHeader/>
                    </w:trPr>
                    <w:tc>
                      <w:tcPr>
                        <w:tcW w:w="666" w:type="dxa"/>
                        <w:vAlign w:val="center"/>
                      </w:tcPr>
                      <w:p>
                        <w:pPr>
                          <w:jc w:val="center"/>
                          <w:rPr>
                            <w:sz w:val="20"/>
                          </w:rPr>
                        </w:pPr>
                        <w:r>
                          <w:rPr>
                            <w:sz w:val="20"/>
                          </w:rPr>
                          <w:t>2.1.4.</w:t>
                        </w:r>
                      </w:p>
                    </w:tc>
                    <w:tc>
                      <w:tcPr>
                        <w:tcW w:w="5036" w:type="dxa"/>
                        <w:vAlign w:val="center"/>
                      </w:tcPr>
                      <w:p>
                        <w:pPr>
                          <w:rPr>
                            <w:sz w:val="20"/>
                          </w:rPr>
                        </w:pPr>
                        <w:r>
                          <w:rPr>
                            <w:sz w:val="20"/>
                          </w:rPr>
                          <w:t>Telšių „Vilties“ mokykla</w:t>
                        </w:r>
                      </w:p>
                    </w:tc>
                    <w:tc>
                      <w:tcPr>
                        <w:tcW w:w="1528" w:type="dxa"/>
                        <w:vAlign w:val="center"/>
                      </w:tcPr>
                      <w:p>
                        <w:pPr>
                          <w:jc w:val="center"/>
                          <w:rPr>
                            <w:bCs/>
                            <w:sz w:val="20"/>
                          </w:rPr>
                        </w:pPr>
                        <w:r>
                          <w:rPr>
                            <w:bCs/>
                            <w:sz w:val="20"/>
                          </w:rPr>
                          <w:t>43,4</w:t>
                        </w:r>
                      </w:p>
                    </w:tc>
                    <w:tc>
                      <w:tcPr>
                        <w:tcW w:w="1275" w:type="dxa"/>
                        <w:vAlign w:val="center"/>
                      </w:tcPr>
                      <w:p>
                        <w:pPr>
                          <w:jc w:val="center"/>
                          <w:rPr>
                            <w:bCs/>
                            <w:sz w:val="20"/>
                          </w:rPr>
                        </w:pPr>
                        <w:r>
                          <w:rPr>
                            <w:bCs/>
                            <w:sz w:val="20"/>
                          </w:rPr>
                          <w:t>77,3</w:t>
                        </w:r>
                      </w:p>
                    </w:tc>
                    <w:tc>
                      <w:tcPr>
                        <w:tcW w:w="1241" w:type="dxa"/>
                      </w:tcPr>
                      <w:p>
                        <w:pPr>
                          <w:jc w:val="center"/>
                          <w:rPr>
                            <w:bCs/>
                            <w:sz w:val="20"/>
                          </w:rPr>
                        </w:pPr>
                      </w:p>
                    </w:tc>
                  </w:tr>
                  <w:tr>
                    <w:trPr>
                      <w:tblHeader/>
                    </w:trPr>
                    <w:tc>
                      <w:tcPr>
                        <w:tcW w:w="666" w:type="dxa"/>
                        <w:vAlign w:val="center"/>
                      </w:tcPr>
                      <w:p>
                        <w:pPr>
                          <w:jc w:val="center"/>
                          <w:rPr>
                            <w:sz w:val="20"/>
                          </w:rPr>
                        </w:pPr>
                        <w:r>
                          <w:rPr>
                            <w:sz w:val="20"/>
                          </w:rPr>
                          <w:t>2.1.5.</w:t>
                        </w:r>
                      </w:p>
                    </w:tc>
                    <w:tc>
                      <w:tcPr>
                        <w:tcW w:w="5036" w:type="dxa"/>
                        <w:vAlign w:val="center"/>
                      </w:tcPr>
                      <w:p>
                        <w:pPr>
                          <w:rPr>
                            <w:sz w:val="20"/>
                          </w:rPr>
                        </w:pPr>
                        <w:r>
                          <w:rPr>
                            <w:sz w:val="20"/>
                          </w:rPr>
                          <w:t>VPSPC</w:t>
                        </w:r>
                      </w:p>
                    </w:tc>
                    <w:tc>
                      <w:tcPr>
                        <w:tcW w:w="1528" w:type="dxa"/>
                        <w:vAlign w:val="center"/>
                      </w:tcPr>
                      <w:p>
                        <w:pPr>
                          <w:jc w:val="center"/>
                          <w:rPr>
                            <w:bCs/>
                            <w:sz w:val="20"/>
                          </w:rPr>
                        </w:pPr>
                        <w:r>
                          <w:rPr>
                            <w:bCs/>
                            <w:sz w:val="20"/>
                          </w:rPr>
                          <w:t>9,7</w:t>
                        </w:r>
                      </w:p>
                    </w:tc>
                    <w:tc>
                      <w:tcPr>
                        <w:tcW w:w="1275" w:type="dxa"/>
                        <w:vAlign w:val="center"/>
                      </w:tcPr>
                      <w:p>
                        <w:pPr>
                          <w:jc w:val="center"/>
                          <w:rPr>
                            <w:bCs/>
                            <w:sz w:val="20"/>
                          </w:rPr>
                        </w:pPr>
                        <w:r>
                          <w:rPr>
                            <w:bCs/>
                            <w:sz w:val="20"/>
                          </w:rPr>
                          <w:t>23,0</w:t>
                        </w:r>
                      </w:p>
                    </w:tc>
                    <w:tc>
                      <w:tcPr>
                        <w:tcW w:w="1241" w:type="dxa"/>
                      </w:tcPr>
                      <w:p>
                        <w:pPr>
                          <w:jc w:val="center"/>
                          <w:rPr>
                            <w:bCs/>
                            <w:sz w:val="20"/>
                          </w:rPr>
                        </w:pPr>
                      </w:p>
                    </w:tc>
                  </w:tr>
                  <w:tr>
                    <w:trPr>
                      <w:tblHeader/>
                    </w:trPr>
                    <w:tc>
                      <w:tcPr>
                        <w:tcW w:w="666" w:type="dxa"/>
                        <w:vAlign w:val="center"/>
                      </w:tcPr>
                      <w:p>
                        <w:pPr>
                          <w:jc w:val="center"/>
                          <w:rPr>
                            <w:sz w:val="20"/>
                          </w:rPr>
                        </w:pPr>
                        <w:r>
                          <w:rPr>
                            <w:sz w:val="20"/>
                          </w:rPr>
                          <w:t>2.1.6.</w:t>
                        </w:r>
                      </w:p>
                    </w:tc>
                    <w:tc>
                      <w:tcPr>
                        <w:tcW w:w="5036" w:type="dxa"/>
                        <w:vAlign w:val="center"/>
                      </w:tcPr>
                      <w:p>
                        <w:pPr>
                          <w:rPr>
                            <w:sz w:val="20"/>
                          </w:rPr>
                        </w:pPr>
                        <w:r>
                          <w:rPr>
                            <w:sz w:val="20"/>
                          </w:rPr>
                          <w:t>Gedrimų pastato draudimo išlaidos</w:t>
                        </w:r>
                      </w:p>
                    </w:tc>
                    <w:tc>
                      <w:tcPr>
                        <w:tcW w:w="1528" w:type="dxa"/>
                        <w:vAlign w:val="center"/>
                      </w:tcPr>
                      <w:p>
                        <w:pPr>
                          <w:jc w:val="center"/>
                          <w:rPr>
                            <w:bCs/>
                            <w:sz w:val="20"/>
                          </w:rPr>
                        </w:pPr>
                        <w:r>
                          <w:rPr>
                            <w:bCs/>
                            <w:sz w:val="20"/>
                          </w:rPr>
                          <w:t>0,3</w:t>
                        </w:r>
                      </w:p>
                    </w:tc>
                    <w:tc>
                      <w:tcPr>
                        <w:tcW w:w="1275" w:type="dxa"/>
                        <w:vAlign w:val="center"/>
                      </w:tcPr>
                      <w:p>
                        <w:pPr>
                          <w:jc w:val="center"/>
                          <w:rPr>
                            <w:bCs/>
                            <w:sz w:val="20"/>
                          </w:rPr>
                        </w:pPr>
                        <w:r>
                          <w:rPr>
                            <w:bCs/>
                            <w:sz w:val="20"/>
                          </w:rPr>
                          <w:t>0,3</w:t>
                        </w:r>
                      </w:p>
                    </w:tc>
                    <w:tc>
                      <w:tcPr>
                        <w:tcW w:w="1241" w:type="dxa"/>
                      </w:tcPr>
                      <w:p>
                        <w:pPr>
                          <w:jc w:val="center"/>
                          <w:rPr>
                            <w:bCs/>
                            <w:sz w:val="20"/>
                          </w:rPr>
                        </w:pPr>
                      </w:p>
                    </w:tc>
                  </w:tr>
                  <w:tr>
                    <w:trPr>
                      <w:tblHeader/>
                    </w:trPr>
                    <w:tc>
                      <w:tcPr>
                        <w:tcW w:w="666" w:type="dxa"/>
                        <w:vAlign w:val="center"/>
                      </w:tcPr>
                      <w:p>
                        <w:pPr>
                          <w:jc w:val="center"/>
                          <w:rPr>
                            <w:sz w:val="20"/>
                          </w:rPr>
                        </w:pPr>
                        <w:r>
                          <w:rPr>
                            <w:sz w:val="20"/>
                          </w:rPr>
                          <w:t>2.2.</w:t>
                        </w:r>
                      </w:p>
                    </w:tc>
                    <w:tc>
                      <w:tcPr>
                        <w:tcW w:w="5036" w:type="dxa"/>
                        <w:vAlign w:val="center"/>
                      </w:tcPr>
                      <w:p>
                        <w:pPr>
                          <w:rPr>
                            <w:sz w:val="20"/>
                          </w:rPr>
                        </w:pPr>
                        <w:r>
                          <w:rPr>
                            <w:sz w:val="20"/>
                          </w:rPr>
                          <w:t>socialinių paslaugų įstaigoms pagal lėšų kompensavimo sutartis</w:t>
                        </w:r>
                      </w:p>
                    </w:tc>
                    <w:tc>
                      <w:tcPr>
                        <w:tcW w:w="1528" w:type="dxa"/>
                        <w:vAlign w:val="center"/>
                      </w:tcPr>
                      <w:p>
                        <w:pPr>
                          <w:jc w:val="center"/>
                          <w:rPr>
                            <w:sz w:val="20"/>
                          </w:rPr>
                        </w:pPr>
                        <w:r>
                          <w:rPr>
                            <w:sz w:val="20"/>
                          </w:rPr>
                          <w:t>─</w:t>
                        </w:r>
                      </w:p>
                    </w:tc>
                    <w:tc>
                      <w:tcPr>
                        <w:tcW w:w="1275" w:type="dxa"/>
                        <w:vAlign w:val="center"/>
                      </w:tcPr>
                      <w:p>
                        <w:pPr>
                          <w:jc w:val="center"/>
                          <w:rPr>
                            <w:sz w:val="20"/>
                          </w:rPr>
                        </w:pPr>
                        <w:r>
                          <w:rPr>
                            <w:sz w:val="20"/>
                          </w:rPr>
                          <w:t>–</w:t>
                        </w:r>
                      </w:p>
                    </w:tc>
                    <w:tc>
                      <w:tcPr>
                        <w:tcW w:w="1241" w:type="dxa"/>
                      </w:tcPr>
                      <w:p>
                        <w:pPr>
                          <w:jc w:val="center"/>
                          <w:rPr>
                            <w:sz w:val="20"/>
                          </w:rPr>
                        </w:pPr>
                      </w:p>
                    </w:tc>
                  </w:tr>
                  <w:tr>
                    <w:trPr>
                      <w:tblHeader/>
                    </w:trPr>
                    <w:tc>
                      <w:tcPr>
                        <w:tcW w:w="666" w:type="dxa"/>
                        <w:vAlign w:val="center"/>
                      </w:tcPr>
                      <w:p>
                        <w:pPr>
                          <w:jc w:val="center"/>
                          <w:rPr>
                            <w:sz w:val="20"/>
                          </w:rPr>
                        </w:pPr>
                        <w:r>
                          <w:rPr>
                            <w:sz w:val="20"/>
                          </w:rPr>
                          <w:t>2.3.</w:t>
                        </w:r>
                      </w:p>
                    </w:tc>
                    <w:tc>
                      <w:tcPr>
                        <w:tcW w:w="5036" w:type="dxa"/>
                        <w:vAlign w:val="center"/>
                      </w:tcPr>
                      <w:p>
                        <w:pPr>
                          <w:rPr>
                            <w:sz w:val="20"/>
                          </w:rPr>
                        </w:pPr>
                        <w:r>
                          <w:rPr>
                            <w:sz w:val="20"/>
                          </w:rPr>
                          <w:t>socialinėms paslaugoms teikti seniūnijose</w:t>
                        </w:r>
                      </w:p>
                    </w:tc>
                    <w:tc>
                      <w:tcPr>
                        <w:tcW w:w="1528" w:type="dxa"/>
                      </w:tcPr>
                      <w:p>
                        <w:pPr>
                          <w:jc w:val="center"/>
                          <w:rPr>
                            <w:szCs w:val="24"/>
                          </w:rPr>
                        </w:pPr>
                        <w:r>
                          <w:rPr>
                            <w:sz w:val="20"/>
                          </w:rPr>
                          <w:t>─</w:t>
                        </w:r>
                      </w:p>
                    </w:tc>
                    <w:tc>
                      <w:tcPr>
                        <w:tcW w:w="1275" w:type="dxa"/>
                      </w:tcPr>
                      <w:p>
                        <w:pPr>
                          <w:jc w:val="center"/>
                          <w:rPr>
                            <w:szCs w:val="24"/>
                          </w:rPr>
                        </w:pPr>
                        <w:r>
                          <w:rPr>
                            <w:sz w:val="20"/>
                          </w:rPr>
                          <w:t>─</w:t>
                        </w:r>
                      </w:p>
                    </w:tc>
                    <w:tc>
                      <w:tcPr>
                        <w:tcW w:w="1241" w:type="dxa"/>
                      </w:tcPr>
                      <w:p>
                        <w:pPr>
                          <w:jc w:val="center"/>
                          <w:rPr>
                            <w:sz w:val="20"/>
                          </w:rPr>
                        </w:pPr>
                      </w:p>
                    </w:tc>
                  </w:tr>
                  <w:tr>
                    <w:trPr>
                      <w:tblHeader/>
                    </w:trPr>
                    <w:tc>
                      <w:tcPr>
                        <w:tcW w:w="666" w:type="dxa"/>
                        <w:vAlign w:val="center"/>
                      </w:tcPr>
                      <w:p>
                        <w:pPr>
                          <w:jc w:val="center"/>
                          <w:rPr>
                            <w:sz w:val="20"/>
                          </w:rPr>
                        </w:pPr>
                        <w:r>
                          <w:rPr>
                            <w:sz w:val="20"/>
                          </w:rPr>
                          <w:t>2.4.</w:t>
                        </w:r>
                      </w:p>
                    </w:tc>
                    <w:tc>
                      <w:tcPr>
                        <w:tcW w:w="5036" w:type="dxa"/>
                        <w:vAlign w:val="center"/>
                      </w:tcPr>
                      <w:p>
                        <w:pPr>
                          <w:rPr>
                            <w:sz w:val="20"/>
                          </w:rPr>
                        </w:pPr>
                        <w:r>
                          <w:rPr>
                            <w:sz w:val="20"/>
                          </w:rPr>
                          <w:t xml:space="preserve">nevyriausybinių organizacijų įstaigoms pagal lėšų kompensavimo sutartis </w:t>
                        </w:r>
                      </w:p>
                    </w:tc>
                    <w:tc>
                      <w:tcPr>
                        <w:tcW w:w="1528" w:type="dxa"/>
                        <w:vAlign w:val="center"/>
                      </w:tcPr>
                      <w:p>
                        <w:pPr>
                          <w:jc w:val="center"/>
                          <w:rPr>
                            <w:sz w:val="20"/>
                          </w:rPr>
                        </w:pPr>
                        <w:r>
                          <w:rPr>
                            <w:sz w:val="20"/>
                          </w:rPr>
                          <w:t>─</w:t>
                        </w:r>
                      </w:p>
                    </w:tc>
                    <w:tc>
                      <w:tcPr>
                        <w:tcW w:w="1275" w:type="dxa"/>
                        <w:vAlign w:val="center"/>
                      </w:tcPr>
                      <w:p>
                        <w:pPr>
                          <w:jc w:val="center"/>
                          <w:rPr>
                            <w:sz w:val="20"/>
                          </w:rPr>
                        </w:pPr>
                        <w:r>
                          <w:rPr>
                            <w:sz w:val="20"/>
                          </w:rPr>
                          <w:t>─</w:t>
                        </w:r>
                      </w:p>
                    </w:tc>
                    <w:tc>
                      <w:tcPr>
                        <w:tcW w:w="1241" w:type="dxa"/>
                      </w:tcPr>
                      <w:p>
                        <w:pPr>
                          <w:jc w:val="center"/>
                          <w:rPr>
                            <w:sz w:val="20"/>
                          </w:rPr>
                        </w:pPr>
                      </w:p>
                    </w:tc>
                  </w:tr>
                  <w:tr>
                    <w:trPr>
                      <w:tblHeader/>
                    </w:trPr>
                    <w:tc>
                      <w:tcPr>
                        <w:tcW w:w="666" w:type="dxa"/>
                        <w:vAlign w:val="center"/>
                      </w:tcPr>
                      <w:p>
                        <w:pPr>
                          <w:jc w:val="center"/>
                          <w:rPr>
                            <w:b/>
                            <w:sz w:val="20"/>
                          </w:rPr>
                        </w:pPr>
                        <w:r>
                          <w:rPr>
                            <w:b/>
                            <w:sz w:val="20"/>
                          </w:rPr>
                          <w:t>3.</w:t>
                        </w:r>
                      </w:p>
                    </w:tc>
                    <w:tc>
                      <w:tcPr>
                        <w:tcW w:w="5036" w:type="dxa"/>
                        <w:vAlign w:val="center"/>
                      </w:tcPr>
                      <w:p>
                        <w:pPr>
                          <w:rPr>
                            <w:b/>
                            <w:sz w:val="20"/>
                          </w:rPr>
                        </w:pPr>
                        <w:r>
                          <w:rPr>
                            <w:b/>
                            <w:sz w:val="20"/>
                          </w:rPr>
                          <w:t xml:space="preserve">Savivaldybės biudžeto lėšos, skirtos nevyriausybinėms organizacijoms </w:t>
                        </w:r>
                        <w:r>
                          <w:rPr>
                            <w:sz w:val="20"/>
                          </w:rPr>
                          <w:t>(socialiniai projektai</w:t>
                        </w:r>
                        <w:r>
                          <w:rPr>
                            <w:b/>
                            <w:sz w:val="20"/>
                          </w:rPr>
                          <w:t>)</w:t>
                        </w:r>
                      </w:p>
                    </w:tc>
                    <w:tc>
                      <w:tcPr>
                        <w:tcW w:w="1528" w:type="dxa"/>
                        <w:vAlign w:val="center"/>
                      </w:tcPr>
                      <w:p>
                        <w:pPr>
                          <w:jc w:val="center"/>
                          <w:rPr>
                            <w:b/>
                            <w:sz w:val="20"/>
                          </w:rPr>
                        </w:pPr>
                        <w:r>
                          <w:rPr>
                            <w:b/>
                            <w:sz w:val="20"/>
                          </w:rPr>
                          <w:t>14,6</w:t>
                        </w:r>
                      </w:p>
                    </w:tc>
                    <w:tc>
                      <w:tcPr>
                        <w:tcW w:w="1275" w:type="dxa"/>
                        <w:vAlign w:val="center"/>
                      </w:tcPr>
                      <w:p>
                        <w:pPr>
                          <w:jc w:val="center"/>
                          <w:rPr>
                            <w:b/>
                            <w:sz w:val="20"/>
                          </w:rPr>
                        </w:pPr>
                        <w:r>
                          <w:rPr>
                            <w:b/>
                            <w:sz w:val="20"/>
                          </w:rPr>
                          <w:t>10,0</w:t>
                        </w:r>
                      </w:p>
                    </w:tc>
                    <w:tc>
                      <w:tcPr>
                        <w:tcW w:w="1241" w:type="dxa"/>
                      </w:tcPr>
                      <w:p>
                        <w:pPr>
                          <w:jc w:val="center"/>
                          <w:rPr>
                            <w:b/>
                            <w:sz w:val="20"/>
                          </w:rPr>
                        </w:pPr>
                        <w:r>
                          <w:rPr>
                            <w:b/>
                            <w:sz w:val="20"/>
                          </w:rPr>
                          <w:t>30,0</w:t>
                        </w:r>
                      </w:p>
                    </w:tc>
                  </w:tr>
                  <w:tr>
                    <w:trPr>
                      <w:tblHeader/>
                    </w:trPr>
                    <w:tc>
                      <w:tcPr>
                        <w:tcW w:w="666" w:type="dxa"/>
                        <w:vAlign w:val="center"/>
                      </w:tcPr>
                      <w:p>
                        <w:pPr>
                          <w:jc w:val="center"/>
                          <w:rPr>
                            <w:b/>
                            <w:sz w:val="20"/>
                          </w:rPr>
                        </w:pPr>
                        <w:r>
                          <w:rPr>
                            <w:b/>
                            <w:sz w:val="20"/>
                          </w:rPr>
                          <w:t>4.</w:t>
                        </w:r>
                      </w:p>
                    </w:tc>
                    <w:tc>
                      <w:tcPr>
                        <w:tcW w:w="5036" w:type="dxa"/>
                        <w:vAlign w:val="center"/>
                      </w:tcPr>
                      <w:p>
                        <w:pPr>
                          <w:rPr>
                            <w:b/>
                            <w:color w:val="FF0000"/>
                            <w:sz w:val="20"/>
                          </w:rPr>
                        </w:pPr>
                        <w:r>
                          <w:rPr>
                            <w:b/>
                            <w:sz w:val="20"/>
                          </w:rPr>
                          <w:t>Žmonių su negalia socialinės integracijos lėšos, skirtos nevyriausybinėms organizacijoms (soc. reabilitacijos projektai)</w:t>
                        </w:r>
                      </w:p>
                    </w:tc>
                    <w:tc>
                      <w:tcPr>
                        <w:tcW w:w="1528" w:type="dxa"/>
                        <w:vAlign w:val="center"/>
                      </w:tcPr>
                      <w:p>
                        <w:pPr>
                          <w:jc w:val="center"/>
                          <w:rPr>
                            <w:b/>
                            <w:bCs/>
                            <w:sz w:val="20"/>
                          </w:rPr>
                        </w:pPr>
                        <w:r>
                          <w:rPr>
                            <w:b/>
                            <w:bCs/>
                            <w:sz w:val="20"/>
                          </w:rPr>
                          <w:t>6,0</w:t>
                        </w:r>
                      </w:p>
                    </w:tc>
                    <w:tc>
                      <w:tcPr>
                        <w:tcW w:w="1275" w:type="dxa"/>
                        <w:vAlign w:val="center"/>
                      </w:tcPr>
                      <w:p>
                        <w:pPr>
                          <w:jc w:val="center"/>
                          <w:rPr>
                            <w:b/>
                            <w:bCs/>
                            <w:sz w:val="20"/>
                          </w:rPr>
                        </w:pPr>
                        <w:r>
                          <w:rPr>
                            <w:b/>
                            <w:bCs/>
                            <w:sz w:val="20"/>
                          </w:rPr>
                          <w:t>5,7</w:t>
                        </w:r>
                      </w:p>
                    </w:tc>
                    <w:tc>
                      <w:tcPr>
                        <w:tcW w:w="1241" w:type="dxa"/>
                      </w:tcPr>
                      <w:p>
                        <w:pPr>
                          <w:jc w:val="center"/>
                          <w:rPr>
                            <w:b/>
                            <w:bCs/>
                            <w:sz w:val="20"/>
                          </w:rPr>
                        </w:pPr>
                      </w:p>
                    </w:tc>
                  </w:tr>
                  <w:tr>
                    <w:trPr>
                      <w:tblHeader/>
                    </w:trPr>
                    <w:tc>
                      <w:tcPr>
                        <w:tcW w:w="666" w:type="dxa"/>
                        <w:vAlign w:val="center"/>
                      </w:tcPr>
                      <w:p>
                        <w:pPr>
                          <w:jc w:val="center"/>
                          <w:rPr>
                            <w:b/>
                            <w:sz w:val="20"/>
                          </w:rPr>
                        </w:pPr>
                        <w:r>
                          <w:rPr>
                            <w:b/>
                            <w:sz w:val="20"/>
                          </w:rPr>
                          <w:t>5.</w:t>
                        </w:r>
                      </w:p>
                    </w:tc>
                    <w:tc>
                      <w:tcPr>
                        <w:tcW w:w="5036" w:type="dxa"/>
                        <w:vAlign w:val="center"/>
                      </w:tcPr>
                      <w:p>
                        <w:pPr>
                          <w:rPr>
                            <w:b/>
                            <w:sz w:val="20"/>
                          </w:rPr>
                        </w:pPr>
                        <w:r>
                          <w:rPr>
                            <w:b/>
                            <w:sz w:val="20"/>
                          </w:rPr>
                          <w:t>Finansavimas vykdant socialinių paslaugų programas</w:t>
                        </w:r>
                      </w:p>
                    </w:tc>
                    <w:tc>
                      <w:tcPr>
                        <w:tcW w:w="1528" w:type="dxa"/>
                        <w:vAlign w:val="center"/>
                      </w:tcPr>
                      <w:p>
                        <w:pPr>
                          <w:jc w:val="center"/>
                          <w:rPr>
                            <w:b/>
                            <w:bCs/>
                            <w:sz w:val="20"/>
                          </w:rPr>
                        </w:pPr>
                        <w:r>
                          <w:rPr>
                            <w:b/>
                            <w:bCs/>
                            <w:sz w:val="20"/>
                          </w:rPr>
                          <w:t>166,5</w:t>
                        </w:r>
                      </w:p>
                    </w:tc>
                    <w:tc>
                      <w:tcPr>
                        <w:tcW w:w="1275" w:type="dxa"/>
                        <w:vAlign w:val="center"/>
                      </w:tcPr>
                      <w:p>
                        <w:pPr>
                          <w:jc w:val="center"/>
                          <w:rPr>
                            <w:b/>
                            <w:bCs/>
                            <w:sz w:val="20"/>
                          </w:rPr>
                        </w:pPr>
                        <w:r>
                          <w:rPr>
                            <w:b/>
                            <w:bCs/>
                            <w:sz w:val="20"/>
                          </w:rPr>
                          <w:t>345,4</w:t>
                        </w:r>
                      </w:p>
                    </w:tc>
                    <w:tc>
                      <w:tcPr>
                        <w:tcW w:w="1241" w:type="dxa"/>
                      </w:tcPr>
                      <w:p>
                        <w:pPr>
                          <w:jc w:val="center"/>
                          <w:rPr>
                            <w:b/>
                            <w:bCs/>
                            <w:sz w:val="20"/>
                          </w:rPr>
                        </w:pPr>
                      </w:p>
                    </w:tc>
                  </w:tr>
                  <w:tr>
                    <w:trPr>
                      <w:tblHeader/>
                    </w:trPr>
                    <w:tc>
                      <w:tcPr>
                        <w:tcW w:w="666" w:type="dxa"/>
                        <w:vAlign w:val="center"/>
                      </w:tcPr>
                      <w:p>
                        <w:pPr>
                          <w:jc w:val="center"/>
                          <w:rPr>
                            <w:sz w:val="20"/>
                          </w:rPr>
                        </w:pPr>
                        <w:r>
                          <w:rPr>
                            <w:sz w:val="20"/>
                          </w:rPr>
                          <w:t>5.1.</w:t>
                        </w:r>
                      </w:p>
                    </w:tc>
                    <w:tc>
                      <w:tcPr>
                        <w:tcW w:w="5036" w:type="dxa"/>
                        <w:vAlign w:val="center"/>
                      </w:tcPr>
                      <w:p>
                        <w:pPr>
                          <w:rPr>
                            <w:sz w:val="20"/>
                          </w:rPr>
                        </w:pPr>
                        <w:r>
                          <w:rPr>
                            <w:sz w:val="20"/>
                          </w:rPr>
                          <w:t>Šeimynų steigimas ir globėjų (rūpintojų) bei įtėvių rengimo programa</w:t>
                        </w:r>
                      </w:p>
                    </w:tc>
                    <w:tc>
                      <w:tcPr>
                        <w:tcW w:w="1528" w:type="dxa"/>
                        <w:vAlign w:val="center"/>
                      </w:tcPr>
                      <w:p>
                        <w:pPr>
                          <w:jc w:val="center"/>
                          <w:rPr>
                            <w:bCs/>
                            <w:sz w:val="20"/>
                          </w:rPr>
                        </w:pPr>
                        <w:r>
                          <w:rPr>
                            <w:bCs/>
                            <w:sz w:val="20"/>
                          </w:rPr>
                          <w:t>48,7</w:t>
                        </w:r>
                      </w:p>
                    </w:tc>
                    <w:tc>
                      <w:tcPr>
                        <w:tcW w:w="1275" w:type="dxa"/>
                        <w:vAlign w:val="center"/>
                      </w:tcPr>
                      <w:p>
                        <w:pPr>
                          <w:jc w:val="center"/>
                          <w:rPr>
                            <w:bCs/>
                            <w:sz w:val="20"/>
                          </w:rPr>
                        </w:pPr>
                        <w:r>
                          <w:rPr>
                            <w:bCs/>
                            <w:sz w:val="20"/>
                          </w:rPr>
                          <w:t>120,0</w:t>
                        </w:r>
                      </w:p>
                    </w:tc>
                    <w:tc>
                      <w:tcPr>
                        <w:tcW w:w="1241" w:type="dxa"/>
                      </w:tcPr>
                      <w:p>
                        <w:pPr>
                          <w:jc w:val="center"/>
                          <w:rPr>
                            <w:bCs/>
                            <w:sz w:val="20"/>
                          </w:rPr>
                        </w:pPr>
                        <w:r>
                          <w:rPr>
                            <w:bCs/>
                            <w:sz w:val="20"/>
                          </w:rPr>
                          <w:t>179,0</w:t>
                        </w:r>
                      </w:p>
                    </w:tc>
                  </w:tr>
                  <w:tr>
                    <w:trPr>
                      <w:tblHeader/>
                    </w:trPr>
                    <w:tc>
                      <w:tcPr>
                        <w:tcW w:w="666" w:type="dxa"/>
                        <w:vAlign w:val="center"/>
                      </w:tcPr>
                      <w:p>
                        <w:pPr>
                          <w:jc w:val="center"/>
                          <w:rPr>
                            <w:sz w:val="20"/>
                          </w:rPr>
                        </w:pPr>
                        <w:r>
                          <w:rPr>
                            <w:sz w:val="20"/>
                          </w:rPr>
                          <w:t>5.2.</w:t>
                        </w:r>
                      </w:p>
                    </w:tc>
                    <w:tc>
                      <w:tcPr>
                        <w:tcW w:w="5036" w:type="dxa"/>
                        <w:vAlign w:val="center"/>
                      </w:tcPr>
                      <w:p>
                        <w:pPr>
                          <w:rPr>
                            <w:sz w:val="20"/>
                          </w:rPr>
                        </w:pPr>
                        <w:r>
                          <w:rPr>
                            <w:sz w:val="20"/>
                          </w:rPr>
                          <w:t>Krizių centro vykdomų programų rėmimas</w:t>
                        </w:r>
                      </w:p>
                    </w:tc>
                    <w:tc>
                      <w:tcPr>
                        <w:tcW w:w="1528" w:type="dxa"/>
                        <w:vAlign w:val="center"/>
                      </w:tcPr>
                      <w:p>
                        <w:pPr>
                          <w:jc w:val="center"/>
                          <w:rPr>
                            <w:bCs/>
                            <w:sz w:val="20"/>
                          </w:rPr>
                        </w:pPr>
                        <w:r>
                          <w:rPr>
                            <w:bCs/>
                            <w:sz w:val="20"/>
                          </w:rPr>
                          <w:t>48,9</w:t>
                        </w:r>
                      </w:p>
                    </w:tc>
                    <w:tc>
                      <w:tcPr>
                        <w:tcW w:w="1275" w:type="dxa"/>
                        <w:vAlign w:val="center"/>
                      </w:tcPr>
                      <w:p>
                        <w:pPr>
                          <w:jc w:val="center"/>
                          <w:rPr>
                            <w:bCs/>
                            <w:sz w:val="20"/>
                          </w:rPr>
                        </w:pPr>
                        <w:r>
                          <w:rPr>
                            <w:bCs/>
                            <w:sz w:val="20"/>
                          </w:rPr>
                          <w:t>40,8</w:t>
                        </w:r>
                      </w:p>
                    </w:tc>
                    <w:tc>
                      <w:tcPr>
                        <w:tcW w:w="1241" w:type="dxa"/>
                      </w:tcPr>
                      <w:p>
                        <w:pPr>
                          <w:jc w:val="center"/>
                          <w:rPr>
                            <w:bCs/>
                            <w:sz w:val="20"/>
                          </w:rPr>
                        </w:pPr>
                      </w:p>
                    </w:tc>
                  </w:tr>
                  <w:tr>
                    <w:trPr>
                      <w:tblHeader/>
                    </w:trPr>
                    <w:tc>
                      <w:tcPr>
                        <w:tcW w:w="666" w:type="dxa"/>
                        <w:vAlign w:val="center"/>
                      </w:tcPr>
                      <w:p>
                        <w:pPr>
                          <w:jc w:val="center"/>
                          <w:rPr>
                            <w:sz w:val="20"/>
                          </w:rPr>
                        </w:pPr>
                        <w:r>
                          <w:rPr>
                            <w:sz w:val="20"/>
                          </w:rPr>
                          <w:t>5.3.</w:t>
                        </w:r>
                      </w:p>
                    </w:tc>
                    <w:tc>
                      <w:tcPr>
                        <w:tcW w:w="5036" w:type="dxa"/>
                        <w:vAlign w:val="center"/>
                      </w:tcPr>
                      <w:p>
                        <w:pPr>
                          <w:rPr>
                            <w:sz w:val="20"/>
                          </w:rPr>
                        </w:pPr>
                        <w:r>
                          <w:rPr>
                            <w:sz w:val="20"/>
                          </w:rPr>
                          <w:t>Paramos maisto produktais teikimas</w:t>
                        </w:r>
                      </w:p>
                    </w:tc>
                    <w:tc>
                      <w:tcPr>
                        <w:tcW w:w="1528" w:type="dxa"/>
                        <w:vAlign w:val="center"/>
                      </w:tcPr>
                      <w:p>
                        <w:pPr>
                          <w:jc w:val="center"/>
                          <w:rPr>
                            <w:bCs/>
                            <w:sz w:val="20"/>
                          </w:rPr>
                        </w:pPr>
                        <w:r>
                          <w:rPr>
                            <w:bCs/>
                            <w:sz w:val="20"/>
                          </w:rPr>
                          <w:t>0,2</w:t>
                        </w:r>
                      </w:p>
                    </w:tc>
                    <w:tc>
                      <w:tcPr>
                        <w:tcW w:w="1275" w:type="dxa"/>
                        <w:vAlign w:val="center"/>
                      </w:tcPr>
                      <w:p>
                        <w:pPr>
                          <w:jc w:val="center"/>
                          <w:rPr>
                            <w:bCs/>
                            <w:sz w:val="20"/>
                          </w:rPr>
                        </w:pPr>
                        <w:r>
                          <w:rPr>
                            <w:bCs/>
                            <w:sz w:val="20"/>
                          </w:rPr>
                          <w:t>2,3</w:t>
                        </w:r>
                      </w:p>
                    </w:tc>
                    <w:tc>
                      <w:tcPr>
                        <w:tcW w:w="1241" w:type="dxa"/>
                      </w:tcPr>
                      <w:p>
                        <w:pPr>
                          <w:jc w:val="center"/>
                          <w:rPr>
                            <w:bCs/>
                            <w:sz w:val="20"/>
                          </w:rPr>
                        </w:pPr>
                      </w:p>
                    </w:tc>
                  </w:tr>
                  <w:tr>
                    <w:trPr>
                      <w:tblHeader/>
                    </w:trPr>
                    <w:tc>
                      <w:tcPr>
                        <w:tcW w:w="666" w:type="dxa"/>
                        <w:vAlign w:val="center"/>
                      </w:tcPr>
                      <w:p>
                        <w:pPr>
                          <w:jc w:val="center"/>
                          <w:rPr>
                            <w:sz w:val="20"/>
                          </w:rPr>
                        </w:pPr>
                        <w:r>
                          <w:rPr>
                            <w:sz w:val="20"/>
                          </w:rPr>
                          <w:t>5.4.</w:t>
                        </w:r>
                      </w:p>
                    </w:tc>
                    <w:tc>
                      <w:tcPr>
                        <w:tcW w:w="5036" w:type="dxa"/>
                        <w:vAlign w:val="center"/>
                      </w:tcPr>
                      <w:p>
                        <w:pPr>
                          <w:rPr>
                            <w:sz w:val="20"/>
                          </w:rPr>
                        </w:pPr>
                        <w:r>
                          <w:rPr>
                            <w:sz w:val="20"/>
                          </w:rPr>
                          <w:t>Būsto ir gyvenamosios aplinkos pritaikymas</w:t>
                        </w:r>
                      </w:p>
                    </w:tc>
                    <w:tc>
                      <w:tcPr>
                        <w:tcW w:w="1528" w:type="dxa"/>
                        <w:vAlign w:val="center"/>
                      </w:tcPr>
                      <w:p>
                        <w:pPr>
                          <w:jc w:val="center"/>
                          <w:rPr>
                            <w:bCs/>
                            <w:sz w:val="20"/>
                          </w:rPr>
                        </w:pPr>
                        <w:r>
                          <w:rPr>
                            <w:bCs/>
                            <w:sz w:val="20"/>
                          </w:rPr>
                          <w:t>42,0</w:t>
                        </w:r>
                      </w:p>
                    </w:tc>
                    <w:tc>
                      <w:tcPr>
                        <w:tcW w:w="1275" w:type="dxa"/>
                        <w:vAlign w:val="center"/>
                      </w:tcPr>
                      <w:p>
                        <w:pPr>
                          <w:jc w:val="center"/>
                          <w:rPr>
                            <w:bCs/>
                            <w:sz w:val="20"/>
                          </w:rPr>
                        </w:pPr>
                        <w:r>
                          <w:rPr>
                            <w:bCs/>
                            <w:sz w:val="20"/>
                          </w:rPr>
                          <w:t>13,7</w:t>
                        </w:r>
                      </w:p>
                    </w:tc>
                    <w:tc>
                      <w:tcPr>
                        <w:tcW w:w="1241" w:type="dxa"/>
                      </w:tcPr>
                      <w:p>
                        <w:pPr>
                          <w:jc w:val="center"/>
                          <w:rPr>
                            <w:bCs/>
                            <w:sz w:val="20"/>
                          </w:rPr>
                        </w:pPr>
                        <w:r>
                          <w:rPr>
                            <w:bCs/>
                            <w:sz w:val="20"/>
                          </w:rPr>
                          <w:t>18,2</w:t>
                        </w:r>
                      </w:p>
                    </w:tc>
                  </w:tr>
                  <w:tr>
                    <w:trPr>
                      <w:tblHeader/>
                    </w:trPr>
                    <w:tc>
                      <w:tcPr>
                        <w:tcW w:w="666" w:type="dxa"/>
                        <w:vAlign w:val="center"/>
                      </w:tcPr>
                      <w:p>
                        <w:pPr>
                          <w:jc w:val="center"/>
                          <w:rPr>
                            <w:sz w:val="20"/>
                          </w:rPr>
                        </w:pPr>
                        <w:r>
                          <w:rPr>
                            <w:sz w:val="20"/>
                          </w:rPr>
                          <w:t>5.5.</w:t>
                        </w:r>
                      </w:p>
                    </w:tc>
                    <w:tc>
                      <w:tcPr>
                        <w:tcW w:w="5036" w:type="dxa"/>
                        <w:vAlign w:val="center"/>
                      </w:tcPr>
                      <w:p>
                        <w:pPr>
                          <w:rPr>
                            <w:sz w:val="20"/>
                          </w:rPr>
                        </w:pPr>
                        <w:r>
                          <w:rPr>
                            <w:sz w:val="20"/>
                          </w:rPr>
                          <w:t>Neįgaliųjų užimtumo skatinimas</w:t>
                        </w:r>
                      </w:p>
                    </w:tc>
                    <w:tc>
                      <w:tcPr>
                        <w:tcW w:w="1528" w:type="dxa"/>
                        <w:vAlign w:val="center"/>
                      </w:tcPr>
                      <w:p>
                        <w:pPr>
                          <w:jc w:val="center"/>
                          <w:rPr>
                            <w:bCs/>
                            <w:sz w:val="20"/>
                          </w:rPr>
                        </w:pPr>
                        <w:r>
                          <w:rPr>
                            <w:bCs/>
                            <w:sz w:val="20"/>
                          </w:rPr>
                          <w:t>26,7</w:t>
                        </w:r>
                      </w:p>
                    </w:tc>
                    <w:tc>
                      <w:tcPr>
                        <w:tcW w:w="1275" w:type="dxa"/>
                        <w:vAlign w:val="center"/>
                      </w:tcPr>
                      <w:p>
                        <w:pPr>
                          <w:jc w:val="center"/>
                          <w:rPr>
                            <w:bCs/>
                            <w:sz w:val="20"/>
                          </w:rPr>
                        </w:pPr>
                        <w:r>
                          <w:rPr>
                            <w:bCs/>
                            <w:sz w:val="20"/>
                          </w:rPr>
                          <w:t>28,6</w:t>
                        </w:r>
                      </w:p>
                    </w:tc>
                    <w:tc>
                      <w:tcPr>
                        <w:tcW w:w="1241" w:type="dxa"/>
                      </w:tcPr>
                      <w:p>
                        <w:pPr>
                          <w:jc w:val="center"/>
                          <w:rPr>
                            <w:bCs/>
                            <w:sz w:val="20"/>
                          </w:rPr>
                        </w:pPr>
                      </w:p>
                    </w:tc>
                  </w:tr>
                  <w:tr>
                    <w:trPr>
                      <w:tblHeader/>
                    </w:trPr>
                    <w:tc>
                      <w:tcPr>
                        <w:tcW w:w="666" w:type="dxa"/>
                        <w:vAlign w:val="center"/>
                      </w:tcPr>
                      <w:p>
                        <w:pPr>
                          <w:jc w:val="center"/>
                          <w:rPr>
                            <w:sz w:val="20"/>
                          </w:rPr>
                        </w:pPr>
                        <w:r>
                          <w:rPr>
                            <w:sz w:val="20"/>
                          </w:rPr>
                          <w:t>5.6.</w:t>
                        </w:r>
                      </w:p>
                    </w:tc>
                    <w:tc>
                      <w:tcPr>
                        <w:tcW w:w="5036" w:type="dxa"/>
                        <w:vAlign w:val="center"/>
                      </w:tcPr>
                      <w:p>
                        <w:pPr>
                          <w:rPr>
                            <w:sz w:val="20"/>
                          </w:rPr>
                        </w:pPr>
                        <w:r>
                          <w:rPr>
                            <w:sz w:val="20"/>
                          </w:rPr>
                          <w:t>Dienos centrų veiklos plėtros programa</w:t>
                        </w:r>
                      </w:p>
                    </w:tc>
                    <w:tc>
                      <w:tcPr>
                        <w:tcW w:w="1528" w:type="dxa"/>
                        <w:vAlign w:val="center"/>
                      </w:tcPr>
                      <w:p>
                        <w:pPr>
                          <w:jc w:val="center"/>
                          <w:rPr>
                            <w:bCs/>
                            <w:sz w:val="20"/>
                          </w:rPr>
                        </w:pPr>
                        <w:r>
                          <w:rPr>
                            <w:b/>
                            <w:sz w:val="20"/>
                          </w:rPr>
                          <w:t>─</w:t>
                        </w:r>
                      </w:p>
                    </w:tc>
                    <w:tc>
                      <w:tcPr>
                        <w:tcW w:w="1275" w:type="dxa"/>
                        <w:vAlign w:val="center"/>
                      </w:tcPr>
                      <w:p>
                        <w:pPr>
                          <w:jc w:val="center"/>
                          <w:rPr>
                            <w:bCs/>
                            <w:sz w:val="20"/>
                          </w:rPr>
                        </w:pPr>
                        <w:r>
                          <w:rPr>
                            <w:bCs/>
                            <w:sz w:val="20"/>
                          </w:rPr>
                          <w:t>30,0</w:t>
                        </w:r>
                      </w:p>
                    </w:tc>
                    <w:tc>
                      <w:tcPr>
                        <w:tcW w:w="1241" w:type="dxa"/>
                      </w:tcPr>
                      <w:p>
                        <w:pPr>
                          <w:jc w:val="center"/>
                          <w:rPr>
                            <w:bCs/>
                            <w:sz w:val="20"/>
                          </w:rPr>
                        </w:pPr>
                        <w:r>
                          <w:rPr>
                            <w:bCs/>
                            <w:sz w:val="20"/>
                          </w:rPr>
                          <w:t>30,0</w:t>
                        </w:r>
                      </w:p>
                    </w:tc>
                  </w:tr>
                  <w:tr>
                    <w:trPr>
                      <w:tblHeader/>
                    </w:trPr>
                    <w:tc>
                      <w:tcPr>
                        <w:tcW w:w="666" w:type="dxa"/>
                        <w:vAlign w:val="center"/>
                      </w:tcPr>
                      <w:p>
                        <w:pPr>
                          <w:jc w:val="center"/>
                          <w:rPr>
                            <w:sz w:val="20"/>
                          </w:rPr>
                        </w:pPr>
                        <w:r>
                          <w:rPr>
                            <w:sz w:val="20"/>
                          </w:rPr>
                          <w:t>5.7.</w:t>
                        </w:r>
                      </w:p>
                    </w:tc>
                    <w:tc>
                      <w:tcPr>
                        <w:tcW w:w="5036" w:type="dxa"/>
                        <w:vAlign w:val="center"/>
                      </w:tcPr>
                      <w:p>
                        <w:pPr>
                          <w:rPr>
                            <w:sz w:val="20"/>
                          </w:rPr>
                        </w:pPr>
                        <w:r>
                          <w:rPr>
                            <w:sz w:val="20"/>
                          </w:rPr>
                          <w:t>Tėvų globos netekusių vaikų socializacijos priemonių įgyvendinimas</w:t>
                        </w:r>
                      </w:p>
                    </w:tc>
                    <w:tc>
                      <w:tcPr>
                        <w:tcW w:w="1528" w:type="dxa"/>
                        <w:vAlign w:val="center"/>
                      </w:tcPr>
                      <w:p>
                        <w:pPr>
                          <w:jc w:val="center"/>
                          <w:rPr>
                            <w:bCs/>
                            <w:sz w:val="20"/>
                          </w:rPr>
                        </w:pPr>
                        <w:r>
                          <w:rPr>
                            <w:b/>
                            <w:sz w:val="20"/>
                          </w:rPr>
                          <w:t>─</w:t>
                        </w:r>
                      </w:p>
                    </w:tc>
                    <w:tc>
                      <w:tcPr>
                        <w:tcW w:w="1275" w:type="dxa"/>
                        <w:vAlign w:val="center"/>
                      </w:tcPr>
                      <w:p>
                        <w:pPr>
                          <w:jc w:val="center"/>
                          <w:rPr>
                            <w:bCs/>
                            <w:sz w:val="20"/>
                          </w:rPr>
                        </w:pPr>
                        <w:r>
                          <w:rPr>
                            <w:bCs/>
                            <w:sz w:val="20"/>
                          </w:rPr>
                          <w:t>100,0</w:t>
                        </w:r>
                      </w:p>
                    </w:tc>
                    <w:tc>
                      <w:tcPr>
                        <w:tcW w:w="1241" w:type="dxa"/>
                      </w:tcPr>
                      <w:p>
                        <w:pPr>
                          <w:jc w:val="center"/>
                          <w:rPr>
                            <w:bCs/>
                            <w:sz w:val="20"/>
                          </w:rPr>
                        </w:pPr>
                      </w:p>
                    </w:tc>
                  </w:tr>
                  <w:tr>
                    <w:trPr>
                      <w:tblHeader/>
                    </w:trPr>
                    <w:tc>
                      <w:tcPr>
                        <w:tcW w:w="666" w:type="dxa"/>
                        <w:vAlign w:val="center"/>
                      </w:tcPr>
                      <w:p>
                        <w:pPr>
                          <w:jc w:val="center"/>
                          <w:rPr>
                            <w:sz w:val="20"/>
                          </w:rPr>
                        </w:pPr>
                        <w:r>
                          <w:rPr>
                            <w:sz w:val="20"/>
                          </w:rPr>
                          <w:t>5.8.</w:t>
                        </w:r>
                      </w:p>
                    </w:tc>
                    <w:tc>
                      <w:tcPr>
                        <w:tcW w:w="5036" w:type="dxa"/>
                        <w:vAlign w:val="center"/>
                      </w:tcPr>
                      <w:p>
                        <w:pPr>
                          <w:rPr>
                            <w:sz w:val="20"/>
                          </w:rPr>
                        </w:pPr>
                        <w:r>
                          <w:rPr>
                            <w:sz w:val="20"/>
                          </w:rPr>
                          <w:t>Viešosios aplinkos pritaikymo programa</w:t>
                        </w:r>
                      </w:p>
                    </w:tc>
                    <w:tc>
                      <w:tcPr>
                        <w:tcW w:w="1528" w:type="dxa"/>
                        <w:vAlign w:val="center"/>
                      </w:tcPr>
                      <w:p>
                        <w:pPr>
                          <w:jc w:val="center"/>
                          <w:rPr>
                            <w:bCs/>
                            <w:sz w:val="20"/>
                          </w:rPr>
                        </w:pPr>
                        <w:r>
                          <w:rPr>
                            <w:b/>
                            <w:sz w:val="20"/>
                          </w:rPr>
                          <w:t>─</w:t>
                        </w:r>
                      </w:p>
                    </w:tc>
                    <w:tc>
                      <w:tcPr>
                        <w:tcW w:w="1275" w:type="dxa"/>
                        <w:vAlign w:val="center"/>
                      </w:tcPr>
                      <w:p>
                        <w:pPr>
                          <w:jc w:val="center"/>
                          <w:rPr>
                            <w:bCs/>
                            <w:sz w:val="20"/>
                          </w:rPr>
                        </w:pPr>
                        <w:r>
                          <w:rPr>
                            <w:bCs/>
                            <w:sz w:val="20"/>
                          </w:rPr>
                          <w:t>10,0</w:t>
                        </w:r>
                      </w:p>
                    </w:tc>
                    <w:tc>
                      <w:tcPr>
                        <w:tcW w:w="1241" w:type="dxa"/>
                      </w:tcPr>
                      <w:p>
                        <w:pPr>
                          <w:jc w:val="center"/>
                          <w:rPr>
                            <w:bCs/>
                            <w:sz w:val="20"/>
                          </w:rPr>
                        </w:pPr>
                      </w:p>
                    </w:tc>
                  </w:tr>
                  <w:tr>
                    <w:trPr>
                      <w:tblHeader/>
                    </w:trPr>
                    <w:tc>
                      <w:tcPr>
                        <w:tcW w:w="666" w:type="dxa"/>
                        <w:shd w:val="clear" w:color="auto" w:fill="BFBFBF"/>
                        <w:vAlign w:val="center"/>
                      </w:tcPr>
                      <w:p>
                        <w:pPr>
                          <w:jc w:val="center"/>
                          <w:rPr>
                            <w:b/>
                            <w:sz w:val="20"/>
                          </w:rPr>
                        </w:pPr>
                      </w:p>
                    </w:tc>
                    <w:tc>
                      <w:tcPr>
                        <w:tcW w:w="5036" w:type="dxa"/>
                        <w:shd w:val="clear" w:color="auto" w:fill="BFBFBF"/>
                        <w:vAlign w:val="center"/>
                      </w:tcPr>
                      <w:p>
                        <w:pPr>
                          <w:jc w:val="right"/>
                          <w:rPr>
                            <w:b/>
                            <w:sz w:val="20"/>
                          </w:rPr>
                        </w:pPr>
                        <w:r>
                          <w:rPr>
                            <w:b/>
                            <w:sz w:val="20"/>
                          </w:rPr>
                          <w:t>Iš viso:</w:t>
                        </w:r>
                      </w:p>
                    </w:tc>
                    <w:tc>
                      <w:tcPr>
                        <w:tcW w:w="1528" w:type="dxa"/>
                        <w:shd w:val="clear" w:color="auto" w:fill="BFBFBF"/>
                        <w:vAlign w:val="center"/>
                      </w:tcPr>
                      <w:p>
                        <w:pPr>
                          <w:jc w:val="center"/>
                          <w:rPr>
                            <w:b/>
                            <w:bCs/>
                            <w:sz w:val="20"/>
                          </w:rPr>
                        </w:pPr>
                        <w:r>
                          <w:rPr>
                            <w:b/>
                            <w:sz w:val="20"/>
                          </w:rPr>
                          <w:t>1381,4</w:t>
                        </w:r>
                      </w:p>
                    </w:tc>
                    <w:tc>
                      <w:tcPr>
                        <w:tcW w:w="1275" w:type="dxa"/>
                        <w:shd w:val="clear" w:color="auto" w:fill="BFBFBF"/>
                        <w:vAlign w:val="center"/>
                      </w:tcPr>
                      <w:p>
                        <w:pPr>
                          <w:jc w:val="center"/>
                          <w:rPr>
                            <w:b/>
                            <w:bCs/>
                            <w:sz w:val="20"/>
                          </w:rPr>
                        </w:pPr>
                        <w:r>
                          <w:rPr>
                            <w:b/>
                            <w:bCs/>
                            <w:sz w:val="20"/>
                          </w:rPr>
                          <w:t>1754,2</w:t>
                        </w:r>
                      </w:p>
                    </w:tc>
                    <w:tc>
                      <w:tcPr>
                        <w:tcW w:w="1241" w:type="dxa"/>
                        <w:shd w:val="clear" w:color="auto" w:fill="BFBFBF"/>
                      </w:tcPr>
                      <w:p>
                        <w:pPr>
                          <w:jc w:val="center"/>
                          <w:rPr>
                            <w:b/>
                            <w:bCs/>
                            <w:sz w:val="20"/>
                          </w:rPr>
                        </w:pPr>
                      </w:p>
                    </w:tc>
                  </w:tr>
                </w:tbl>
                <w:p>
                  <w:pPr>
                    <w:ind w:firstLine="709"/>
                    <w:outlineLvl w:val="1"/>
                    <w:rPr>
                      <w:b/>
                      <w:bCs/>
                      <w:szCs w:val="24"/>
                    </w:rPr>
                  </w:pPr>
                </w:p>
              </w:sdtContent>
            </w:sdt>
            <w:sdt>
              <w:sdtPr>
                <w:alias w:val="14 p."/>
                <w:tag w:val="part_3c51de18f6f449279ba0872f71ee03f3"/>
                <w:lock w:val="sdtLocked"/>
                <w:richText/>
              </w:sdtPr>
              <w:sdtContent>
                <w:p>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firstLine="916"/>
                    <w:textAlignment w:val="baseline"/>
                    <w:rPr>
                      <w:b/>
                      <w:szCs w:val="24"/>
                      <w:lang w:eastAsia="ar-SA"/>
                    </w:rPr>
                  </w:pPr>
                  <w:sdt>
                    <w:sdtPr>
                      <w:alias w:val="Numeris"/>
                      <w:tag w:val="nr_3c51de18f6f449279ba0872f71ee03f3"/>
                      <w:lock w:val="sdtLocked"/>
                      <w:richText/>
                    </w:sdtPr>
                    <w:sdtContent>
                      <w:r>
                        <w:rPr>
                          <w:b/>
                          <w:szCs w:val="24"/>
                          <w:lang w:eastAsia="ar-SA"/>
                        </w:rPr>
                        <w:t>14</w:t>
                      </w:r>
                    </w:sdtContent>
                  </w:sdt>
                  <w:r>
                    <w:rPr>
                      <w:b/>
                      <w:szCs w:val="24"/>
                      <w:lang w:eastAsia="ar-SA"/>
                    </w:rPr>
                    <w:t>. Lėšos, reikalingos žmogiškųjų išteklių plėtrai</w:t>
                  </w:r>
                </w:p>
                <w:p>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Cs/>
                      <w:iCs/>
                      <w:szCs w:val="24"/>
                      <w:lang w:eastAsia="ar-SA"/>
                    </w:rPr>
                  </w:pPr>
                  <w:r>
                    <w:rPr>
                      <w:bCs/>
                      <w:iCs/>
                      <w:szCs w:val="24"/>
                      <w:lang w:eastAsia="ar-SA"/>
                    </w:rPr>
                    <w:t xml:space="preserve">Darbo užmokesčiui socialiniams darbuotojams darbui su socialinės rizikos šeimomis 2017 m. iš valstybės biudžeto savivaldybių biudžetams skirti 181,2,0 tūkst. Eur, iš jų skirta 3395,0 Eur supervizijoms.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Cs/>
                      <w:iCs/>
                      <w:szCs w:val="24"/>
                      <w:lang w:eastAsia="ar-SA"/>
                    </w:rPr>
                  </w:pPr>
                  <w:r>
                    <w:rPr>
                      <w:bCs/>
                      <w:iCs/>
                      <w:szCs w:val="24"/>
                      <w:lang w:eastAsia="ar-SA"/>
                    </w:rPr>
                    <w:t xml:space="preserve">Telšių socialinių paslaugų centras 2017 m. planuoja darbuotojų kvalifikacijai kelti skirti 1000,0 Eur iš įstaigos asignavimų ir socialinių darbuotojų, teikiančių socialinę priežiūrą socialinės rizikos šeimoms skirti 3395,0 Eur iš valstybės biudžeto specialiųjų tikslinių dotacijų supervizijoms bei iš dalies profesinės kompetencijos tobulinimui. Telšių rajono senelių globos namai planuoja, jog kvalifikaciją kels 27 darbuotojai (24 tiesiogiai teikiantys socialines paslaugas) ir tam bus skirta 1000,0 Eur iš įstaigos biudžeto ir 600,0 Eur ─ iš </w:t>
                  </w:r>
                  <w:r>
                    <w:rPr>
                      <w:szCs w:val="24"/>
                      <w:lang w:eastAsia="ar-SA"/>
                    </w:rPr>
                    <w:t>dotacijų asmenims su visiška negalia</w:t>
                  </w:r>
                  <w:r>
                    <w:rPr>
                      <w:bCs/>
                      <w:iCs/>
                      <w:szCs w:val="24"/>
                      <w:lang w:eastAsia="ar-SA"/>
                    </w:rPr>
                    <w:t xml:space="preserve"> gaunamų pajamų. Telšių vaikų globos namai šioms reikmėms iš įstaigos bendrų asignavimų yra numatę skirti 1500,0 Eur.</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Cs/>
                      <w:iCs/>
                      <w:szCs w:val="24"/>
                      <w:lang w:eastAsia="ar-SA"/>
                    </w:rPr>
                  </w:pPr>
                </w:p>
              </w:sdtContent>
            </w:sdt>
            <w:sdt>
              <w:sdtPr>
                <w:alias w:val="15 p."/>
                <w:tag w:val="part_e0ca6e0c16f54cd79782c4856e32213d"/>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sdt>
                    <w:sdtPr>
                      <w:alias w:val="Numeris"/>
                      <w:tag w:val="nr_e0ca6e0c16f54cd79782c4856e32213d"/>
                      <w:lock w:val="sdtLocked"/>
                      <w:richText/>
                    </w:sdtPr>
                    <w:sdtContent>
                      <w:r>
                        <w:rPr>
                          <w:b/>
                          <w:szCs w:val="24"/>
                          <w:lang w:eastAsia="ar-SA"/>
                        </w:rPr>
                        <w:t>15</w:t>
                      </w:r>
                    </w:sdtContent>
                  </w:sdt>
                  <w:r>
                    <w:rPr>
                      <w:b/>
                      <w:szCs w:val="24"/>
                      <w:lang w:eastAsia="ar-SA"/>
                    </w:rPr>
                    <w:t>. Savivaldybės finansinių galimybių palyginimas su numatytų priemonių finansavimu</w:t>
                  </w: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i/>
                      <w:szCs w:val="24"/>
                      <w:lang w:eastAsia="ar-SA"/>
                    </w:rPr>
                  </w:pP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Cs/>
                      <w:iCs/>
                      <w:szCs w:val="24"/>
                      <w:lang w:eastAsia="ar-SA"/>
                    </w:rPr>
                  </w:pPr>
                  <w:r>
                    <w:rPr>
                      <w:bCs/>
                      <w:iCs/>
                      <w:szCs w:val="24"/>
                      <w:lang w:eastAsia="ar-SA"/>
                    </w:rPr>
                    <w:t>Socialinių paslaugų plane numatytoms priemonėms įgyvendinti yra skirti asignavimai Savivaldybės biudžete. Socialinių paslaugų plėtra įgyvendinama įvertinant Savivaldybės finansines galimybes. Paslaugos, kurios neorganizuojamos Savivaldybės įstaigos, yra perkamos iš kitų teikėjų.</w:t>
                  </w: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Cs/>
                      <w:iCs/>
                      <w:szCs w:val="24"/>
                      <w:lang w:eastAsia="ar-SA"/>
                    </w:rPr>
                  </w:pP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both"/>
                    <w:textAlignment w:val="baseline"/>
                    <w:rPr>
                      <w:szCs w:val="24"/>
                      <w:lang w:eastAsia="ar-SA"/>
                    </w:rPr>
                  </w:pPr>
                </w:p>
                <w:sdt>
                  <w:sdtPr>
                    <w:alias w:val="15.1 pp."/>
                    <w:tag w:val="part_45e677ddf6454461a339def5d5467ed8"/>
                    <w:lock w:val="sdtLocked"/>
                    <w:richText/>
                  </w:sdtPr>
                  <w:sdtContent>
                    <w:p>
                      <w:pPr>
                        <w:widowControl w:val="0"/>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757" w:hanging="906"/>
                        <w:jc w:val="both"/>
                        <w:textAlignment w:val="baseline"/>
                        <w:rPr>
                          <w:b/>
                          <w:szCs w:val="24"/>
                          <w:lang w:eastAsia="ar-SA"/>
                        </w:rPr>
                      </w:pPr>
                      <w:sdt>
                        <w:sdtPr>
                          <w:alias w:val="Numeris"/>
                          <w:tag w:val="nr_45e677ddf6454461a339def5d5467ed8"/>
                          <w:lock w:val="sdtLocked"/>
                          <w:richText/>
                        </w:sdtPr>
                        <w:sdtContent>
                          <w:r>
                            <w:rPr>
                              <w:b/>
                              <w:szCs w:val="24"/>
                              <w:lang w:eastAsia="ar-SA"/>
                            </w:rPr>
                            <w:t>15.1</w:t>
                          </w:r>
                        </w:sdtContent>
                      </w:sdt>
                      <w:r>
                        <w:rPr>
                          <w:b/>
                          <w:szCs w:val="24"/>
                          <w:lang w:eastAsia="ar-SA"/>
                        </w:rPr>
                        <w:t>.</w:t>
                        <w:tab/>
                        <w:t>Savivaldybės organizuojamų socialinių paslaugų įvertinimas</w:t>
                      </w:r>
                    </w:p>
                    <w:p>
                      <w:pPr>
                        <w:widowControl w:val="0"/>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634"/>
                        <w:jc w:val="both"/>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Cs/>
                          <w:iCs/>
                          <w:szCs w:val="24"/>
                          <w:lang w:eastAsia="ar-SA"/>
                        </w:rPr>
                      </w:pPr>
                      <w:r>
                        <w:rPr>
                          <w:bCs/>
                          <w:iCs/>
                          <w:szCs w:val="24"/>
                          <w:lang w:eastAsia="ar-SA"/>
                        </w:rPr>
                        <w:t xml:space="preserve">Telšių rajone kuriamas gyventojų poreikius atitinkantis socialinių paslaugų tinklas, siekiama organizuoti paslaugas visų socialinių grupių ir įvairių negalių turintiems asmenims. Socialinių paslaugų plėtra orientuota į socialinių paslaugų teikimą bendruomenėje ir šeimoje, siekiama užtikrinti paslaugų tęstinumą.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Cs/>
                          <w:iCs/>
                          <w:szCs w:val="24"/>
                          <w:lang w:eastAsia="ar-SA"/>
                        </w:rPr>
                      </w:pPr>
                      <w:r>
                        <w:rPr>
                          <w:bCs/>
                          <w:iCs/>
                          <w:szCs w:val="24"/>
                          <w:lang w:eastAsia="ar-SA"/>
                        </w:rPr>
                        <w:t xml:space="preserve">Yra sukurta bendra globėjų paieškos, rengimo, skatinimo sistema. Neužtikrinamas globotiniams ir globėjams pagalbos teikimo kompleksiškumas. Vaikų socialinė globa institucijoje organizuojama šeimynose ir yra artima šeimos modeliui.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Cs/>
                          <w:iCs/>
                          <w:szCs w:val="24"/>
                          <w:lang w:eastAsia="ar-SA"/>
                        </w:rPr>
                      </w:pPr>
                      <w:r>
                        <w:rPr>
                          <w:bCs/>
                          <w:iCs/>
                          <w:szCs w:val="24"/>
                          <w:lang w:eastAsia="ar-SA"/>
                        </w:rPr>
                        <w:t xml:space="preserve">Stiprinamas darbas su socialinės rizikos šeimomis, dienos socialinė globa asmens namuose, pradėtas darbas su socialinės rizikos asmenimis.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Cs/>
                          <w:iCs/>
                          <w:szCs w:val="24"/>
                          <w:lang w:eastAsia="ar-SA"/>
                        </w:rPr>
                      </w:pPr>
                      <w:r>
                        <w:rPr>
                          <w:bCs/>
                          <w:iCs/>
                          <w:szCs w:val="24"/>
                          <w:lang w:eastAsia="ar-SA"/>
                        </w:rPr>
                        <w:t xml:space="preserve">Paslaugų poreikis iš esmės patenkinamas, tačiau paslaugų poreikis didėja, būtina organizuoti paslaugas asmenims su proto ir psichikos negalia, plėtoti dienos centrų veiklą. Nepatenkinamas ilgalaikės socialinės globos paslaugų poreikis, todėl pastaruoju metu paslaugos perkamos kitose savivaldybėse.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rFonts w:cs="Courier New"/>
                          <w:b/>
                          <w:szCs w:val="24"/>
                          <w:lang w:eastAsia="ar-SA"/>
                        </w:rPr>
                      </w:pPr>
                    </w:p>
                    <w:p>
                      <w:pPr>
                        <w:tabs>
                          <w:tab w:val="left" w:pos="851"/>
                        </w:tabs>
                        <w:ind w:firstLine="720"/>
                        <w:contextualSpacing/>
                        <w:jc w:val="center"/>
                        <w:rPr>
                          <w:rFonts w:eastAsia="Calibri"/>
                          <w:b/>
                          <w:szCs w:val="24"/>
                        </w:rPr>
                      </w:pPr>
                      <w:r>
                        <w:rPr>
                          <w:rFonts w:eastAsia="Calibri"/>
                          <w:b/>
                          <w:szCs w:val="24"/>
                        </w:rPr>
                        <w:t>V. PLĖTROS VIZIJA IR PROGNOZĖ</w:t>
                      </w:r>
                    </w:p>
                    <w:p>
                      <w:pPr>
                        <w:rPr>
                          <w:sz w:val="18"/>
                          <w:szCs w:val="18"/>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p>
                  </w:sdtContent>
                </w:sdt>
              </w:sdtContent>
            </w:sdt>
            <w:sdt>
              <w:sdtPr>
                <w:alias w:val="16 p."/>
                <w:tag w:val="part_c85e8b6de7c049b6bae56ff51229b084"/>
                <w:lock w:val="sdtLocked"/>
                <w:richText/>
              </w:sdtPr>
              <w:sdtContent>
                <w:p>
                  <w:pPr>
                    <w:widowControl w:val="0"/>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6" w:hanging="425"/>
                    <w:textAlignment w:val="baseline"/>
                    <w:rPr>
                      <w:b/>
                      <w:color w:val="FF0000"/>
                      <w:szCs w:val="24"/>
                      <w:lang w:eastAsia="ar-SA"/>
                    </w:rPr>
                  </w:pPr>
                  <w:sdt>
                    <w:sdtPr>
                      <w:alias w:val="Numeris"/>
                      <w:tag w:val="nr_c85e8b6de7c049b6bae56ff51229b084"/>
                      <w:lock w:val="sdtLocked"/>
                      <w:richText/>
                    </w:sdtPr>
                    <w:sdtContent>
                      <w:r>
                        <w:rPr>
                          <w:b/>
                          <w:szCs w:val="24"/>
                          <w:lang w:eastAsia="ar-SA"/>
                        </w:rPr>
                        <w:t>16</w:t>
                      </w:r>
                    </w:sdtContent>
                  </w:sdt>
                  <w:r>
                    <w:rPr>
                      <w:b/>
                      <w:szCs w:val="24"/>
                      <w:lang w:eastAsia="ar-SA"/>
                    </w:rPr>
                    <w:t>.</w:t>
                    <w:tab/>
                    <w:t>Socialinių paslaugų plėtros vizija</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b/>
                      <w:color w:val="FF0000"/>
                      <w:szCs w:val="24"/>
                      <w:lang w:eastAsia="ar-SA"/>
                    </w:rPr>
                  </w:pPr>
                </w:p>
                <w:p>
                  <w:pPr>
                    <w:tabs>
                      <w:tab w:val="left" w:pos="851"/>
                    </w:tabs>
                    <w:ind w:firstLine="851"/>
                    <w:jc w:val="both"/>
                    <w:rPr>
                      <w:szCs w:val="24"/>
                      <w:lang w:eastAsia="lt-LT"/>
                    </w:rPr>
                  </w:pPr>
                  <w:r>
                    <w:rPr>
                      <w:szCs w:val="24"/>
                      <w:lang w:eastAsia="lt-LT"/>
                    </w:rPr>
                    <w:t xml:space="preserve">Šiuo metu rengiama ilgalaikė socialinių paslaugų plėtros strategija, kuri užtikrintų visų bendruomenės narių socialinių paslaugų teikimą arčiau namų, pagerintų gyvenimo kokybę ir stiprintų socialinį saugumą. Paslaugų pertvarka orientuota į visas asmenų grupes. </w:t>
                  </w:r>
                </w:p>
                <w:p>
                  <w:pPr>
                    <w:tabs>
                      <w:tab w:val="left" w:pos="851"/>
                    </w:tabs>
                    <w:jc w:val="both"/>
                    <w:rPr>
                      <w:szCs w:val="24"/>
                      <w:lang w:eastAsia="lt-LT"/>
                    </w:rPr>
                  </w:pPr>
                </w:p>
              </w:sdtContent>
            </w:sdt>
            <w:sdt>
              <w:sdtPr>
                <w:alias w:val="17 p."/>
                <w:tag w:val="part_1ec98242f3584cb398f4dd237fff4b59"/>
                <w:lock w:val="sdtLocked"/>
                <w:richText/>
              </w:sdtPr>
              <w:sdtContent>
                <w:p>
                  <w:pPr>
                    <w:widowControl w:val="0"/>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637" w:hanging="786"/>
                    <w:textAlignment w:val="baseline"/>
                    <w:rPr>
                      <w:b/>
                      <w:szCs w:val="24"/>
                      <w:lang w:eastAsia="ar-SA"/>
                    </w:rPr>
                  </w:pPr>
                  <w:sdt>
                    <w:sdtPr>
                      <w:alias w:val="Numeris"/>
                      <w:tag w:val="nr_1ec98242f3584cb398f4dd237fff4b59"/>
                      <w:lock w:val="sdtLocked"/>
                      <w:richText/>
                    </w:sdtPr>
                    <w:sdtContent>
                      <w:r>
                        <w:rPr>
                          <w:b/>
                          <w:szCs w:val="24"/>
                          <w:lang w:eastAsia="ar-SA"/>
                        </w:rPr>
                        <w:t>17</w:t>
                      </w:r>
                    </w:sdtContent>
                  </w:sdt>
                  <w:r>
                    <w:rPr>
                      <w:b/>
                      <w:szCs w:val="24"/>
                      <w:lang w:eastAsia="ar-SA"/>
                    </w:rPr>
                    <w:t>.</w:t>
                    <w:tab/>
                    <w:t>Prognozuojamos socialinės paslaugos</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634"/>
                    <w:textAlignment w:val="baseline"/>
                    <w:rPr>
                      <w:b/>
                      <w:szCs w:val="24"/>
                      <w:lang w:eastAsia="ar-SA"/>
                    </w:rPr>
                  </w:pP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szCs w:val="24"/>
                      <w:lang w:eastAsia="ar-SA"/>
                    </w:rPr>
                  </w:pPr>
                  <w:r>
                    <w:rPr>
                      <w:szCs w:val="24"/>
                      <w:lang w:eastAsia="ar-SA"/>
                    </w:rPr>
                    <w:t>2017 metais toliau bus nustatomas poreikis socialinėms paslaugoms bei teikiamos gyventojų poreikį atitinkančios socialinės paslaugos:</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textAlignment w:val="baseline"/>
                    <w:rPr>
                      <w:szCs w:val="24"/>
                      <w:lang w:eastAsia="ar-SA"/>
                    </w:rPr>
                  </w:pPr>
                  <w:r>
                    <w:rPr>
                      <w:szCs w:val="24"/>
                      <w:lang w:eastAsia="ar-SA"/>
                    </w:rPr>
                    <w:t xml:space="preserve">–    socialinės globos paslaugos;</w:t>
                  </w:r>
                </w:p>
                <w:p>
                  <w:pPr>
                    <w:widowControl w:val="0"/>
                    <w:tabs>
                      <w:tab w:val="left" w:pos="916"/>
                      <w:tab w:val="left" w:pos="12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360"/>
                    <w:rPr>
                      <w:szCs w:val="24"/>
                      <w:lang w:eastAsia="ar-SA"/>
                    </w:rPr>
                  </w:pPr>
                  <w:r>
                    <w:rPr>
                      <w:szCs w:val="24"/>
                      <w:lang w:eastAsia="ar-SA"/>
                    </w:rPr>
                    <w:t>–</w:t>
                    <w:tab/>
                    <w:t>socialinės priežiūros paslaugos;</w:t>
                  </w:r>
                </w:p>
                <w:p>
                  <w:pPr>
                    <w:widowControl w:val="0"/>
                    <w:tabs>
                      <w:tab w:val="left" w:pos="916"/>
                      <w:tab w:val="left" w:pos="12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360"/>
                    <w:rPr>
                      <w:szCs w:val="24"/>
                      <w:lang w:eastAsia="ar-SA"/>
                    </w:rPr>
                  </w:pPr>
                  <w:r>
                    <w:rPr>
                      <w:szCs w:val="24"/>
                      <w:lang w:eastAsia="ar-SA"/>
                    </w:rPr>
                    <w:t>–</w:t>
                    <w:tab/>
                    <w:t xml:space="preserve">būsto  (aplinkos) pritaikymas neįgaliesiems;</w:t>
                  </w:r>
                </w:p>
                <w:p>
                  <w:pPr>
                    <w:widowControl w:val="0"/>
                    <w:tabs>
                      <w:tab w:val="left" w:pos="916"/>
                      <w:tab w:val="left" w:pos="12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360"/>
                    <w:rPr>
                      <w:szCs w:val="24"/>
                      <w:lang w:eastAsia="ar-SA"/>
                    </w:rPr>
                  </w:pPr>
                  <w:r>
                    <w:rPr>
                      <w:szCs w:val="24"/>
                      <w:lang w:eastAsia="ar-SA"/>
                    </w:rPr>
                    <w:t>–</w:t>
                    <w:tab/>
                    <w:t>neįgaliųjų asmenų pavėžėjimas (transporto paslaugos);</w:t>
                  </w:r>
                </w:p>
                <w:p>
                  <w:pPr>
                    <w:widowControl w:val="0"/>
                    <w:tabs>
                      <w:tab w:val="left" w:pos="916"/>
                      <w:tab w:val="left" w:pos="12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360"/>
                    <w:rPr>
                      <w:szCs w:val="24"/>
                      <w:lang w:eastAsia="ar-SA"/>
                    </w:rPr>
                  </w:pPr>
                  <w:r>
                    <w:rPr>
                      <w:szCs w:val="24"/>
                      <w:lang w:eastAsia="ar-SA"/>
                    </w:rPr>
                    <w:t>–</w:t>
                    <w:tab/>
                    <w:t>socialinių įgūdžių ugdymas ir palaikymas;</w:t>
                  </w:r>
                </w:p>
                <w:p>
                  <w:pPr>
                    <w:widowControl w:val="0"/>
                    <w:tabs>
                      <w:tab w:val="left" w:pos="916"/>
                      <w:tab w:val="left" w:pos="12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360"/>
                    <w:rPr>
                      <w:szCs w:val="24"/>
                      <w:lang w:eastAsia="ar-SA"/>
                    </w:rPr>
                  </w:pPr>
                  <w:r>
                    <w:rPr>
                      <w:szCs w:val="24"/>
                      <w:lang w:eastAsia="ar-SA"/>
                    </w:rPr>
                    <w:t>–</w:t>
                    <w:tab/>
                    <w:t>sociokultūrinės paslaugos;</w:t>
                  </w:r>
                </w:p>
                <w:p>
                  <w:pPr>
                    <w:widowControl w:val="0"/>
                    <w:tabs>
                      <w:tab w:val="left" w:pos="916"/>
                      <w:tab w:val="left" w:pos="12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360"/>
                    <w:rPr>
                      <w:szCs w:val="24"/>
                      <w:lang w:eastAsia="ar-SA"/>
                    </w:rPr>
                  </w:pPr>
                  <w:r>
                    <w:rPr>
                      <w:szCs w:val="24"/>
                      <w:lang w:eastAsia="ar-SA"/>
                    </w:rPr>
                    <w:t>–</w:t>
                    <w:tab/>
                    <w:t>socialinės reabilitacijos paslaugos neįgaliesiems bendruomenėje;</w:t>
                  </w:r>
                </w:p>
                <w:p>
                  <w:pPr>
                    <w:widowControl w:val="0"/>
                    <w:tabs>
                      <w:tab w:val="left" w:pos="916"/>
                      <w:tab w:val="left" w:pos="12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360"/>
                    <w:rPr>
                      <w:szCs w:val="24"/>
                      <w:lang w:eastAsia="ar-SA"/>
                    </w:rPr>
                  </w:pPr>
                  <w:r>
                    <w:rPr>
                      <w:szCs w:val="24"/>
                      <w:lang w:eastAsia="ar-SA"/>
                    </w:rPr>
                    <w:t>–</w:t>
                    <w:tab/>
                    <w:t>integrali pagalba;</w:t>
                  </w:r>
                </w:p>
                <w:p>
                  <w:pPr>
                    <w:widowControl w:val="0"/>
                    <w:tabs>
                      <w:tab w:val="left" w:pos="916"/>
                      <w:tab w:val="left" w:pos="12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360"/>
                    <w:rPr>
                      <w:szCs w:val="24"/>
                      <w:lang w:eastAsia="ar-SA"/>
                    </w:rPr>
                  </w:pPr>
                  <w:r>
                    <w:rPr>
                      <w:szCs w:val="24"/>
                      <w:lang w:eastAsia="ar-SA"/>
                    </w:rPr>
                    <w:t>–</w:t>
                    <w:tab/>
                    <w:t>kitos bendrosios paslaugos.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szCs w:val="24"/>
                      <w:lang w:eastAsia="ar-SA"/>
                    </w:rPr>
                  </w:pPr>
                  <w:r>
                    <w:rPr>
                      <w:szCs w:val="24"/>
                      <w:lang w:eastAsia="ar-SA"/>
                    </w:rPr>
                    <w:t xml:space="preserve">Plėtojamos socialinės paslaugos vaikams ir šeimoms. 2017 metais planuojama įsteigti Bendruomeninius šeimos namus, kuriuose bus teikiamos informavimo ir konsultavimo paslaugos ir koordinuojamas kompleksinių paslaugų šeimai teikimas. Bus organizuojami pozityvios tėvystės mokymai, teikiama psichosocialinė pagalba šeimai bei teikiamos šeimos įgūdžių ugdymo ir sociokultūrinės paslaugos.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szCs w:val="24"/>
                      <w:lang w:eastAsia="ar-SA"/>
                    </w:rPr>
                  </w:pPr>
                  <w:r>
                    <w:rPr>
                      <w:szCs w:val="24"/>
                      <w:lang w:eastAsia="ar-SA"/>
                    </w:rPr>
                    <w:t>2017 m. siekiama užtikrinti, kad socialinės paslaugos Savivaldybėje būtų teikiamos efektyviai, tenkinant būtinus asmens poreikius, asmenys bus skatinami spręsti socialines problemas bendruomenėje. Būtina skatinti socialinio sektoriaus objektų (socialinių paslaugų, sveikatos priežiūros, mokymo, švietimo ir kt. įstaigų, nevyriausybinių organizacijų) glaudų bendradarbiavimą.</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szCs w:val="24"/>
                      <w:lang w:eastAsia="ar-SA"/>
                    </w:rPr>
                  </w:pPr>
                  <w:r>
                    <w:rPr>
                      <w:szCs w:val="24"/>
                      <w:lang w:eastAsia="ar-SA"/>
                    </w:rPr>
                    <w:t>Netolygus socialinių paslaugų teikėjų išdėstymas teritorijoje lemia prastesnį paslaugų prieinamumą kaimo gyventojams, todėl būtina plėsti nestacionarių socialinių paslaugų teikimą kaimo vietovėse išnaudojant renovuotas bendruomenines patalpas ir sudaryti sąlygas kaimų bendruomenėms bei kitoms nevyriausybinėms organizacijoms teikti socialines paslaugas, pasinaudojant įvairiais finansavimo šaltiniais.</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b/>
                      <w:szCs w:val="24"/>
                      <w:lang w:eastAsia="ar-SA"/>
                    </w:rPr>
                  </w:pPr>
                </w:p>
              </w:sdtContent>
            </w:sdt>
            <w:sdt>
              <w:sdtPr>
                <w:alias w:val="18 p."/>
                <w:tag w:val="part_de5f462625e74b648b09137e8ecd06bc"/>
                <w:lock w:val="sdtLocked"/>
                <w:richText/>
              </w:sdtPr>
              <w:sdtContent>
                <w:p>
                  <w:pPr>
                    <w:widowControl w:val="0"/>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6" w:hanging="425"/>
                    <w:jc w:val="both"/>
                    <w:textAlignment w:val="baseline"/>
                    <w:rPr>
                      <w:b/>
                      <w:szCs w:val="24"/>
                      <w:lang w:eastAsia="ar-SA"/>
                    </w:rPr>
                  </w:pPr>
                  <w:sdt>
                    <w:sdtPr>
                      <w:alias w:val="Numeris"/>
                      <w:tag w:val="nr_de5f462625e74b648b09137e8ecd06bc"/>
                      <w:lock w:val="sdtLocked"/>
                      <w:richText/>
                    </w:sdtPr>
                    <w:sdtContent>
                      <w:r>
                        <w:rPr>
                          <w:b/>
                          <w:szCs w:val="24"/>
                          <w:lang w:eastAsia="ar-SA"/>
                        </w:rPr>
                        <w:t>18</w:t>
                      </w:r>
                    </w:sdtContent>
                  </w:sdt>
                  <w:r>
                    <w:rPr>
                      <w:b/>
                      <w:szCs w:val="24"/>
                      <w:lang w:eastAsia="ar-SA"/>
                    </w:rPr>
                    <w:t>.</w:t>
                    <w:tab/>
                    <w:t xml:space="preserve">Savivaldybės biudžeto lėšų, skirtų socialinėms paslaugoms teikti, augimo </w:t>
                  </w:r>
                </w:p>
              </w:sdtContent>
            </w:sdt>
          </w:sdtContent>
        </w:sdt>
        <w:sdt>
          <w:sdtPr>
            <w:alias w:val="poskyris"/>
            <w:tag w:val="part_8eb32799c45644f889c54757aba13ffc"/>
            <w:lock w:val="sdtLocked"/>
            <w:richText/>
          </w:sdtPr>
          <w:sdtContent>
            <w:p>
              <w:pPr>
                <w:widowControl w:val="0"/>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sdt>
                <w:sdtPr>
                  <w:alias w:val="Pavadinimas"/>
                  <w:tag w:val="title_8eb32799c45644f889c54757aba13ffc"/>
                  <w:lock w:val="sdtLocked"/>
                  <w:richText/>
                </w:sdtPr>
                <w:sdtContent>
                  <w:r>
                    <w:rPr>
                      <w:b/>
                      <w:szCs w:val="24"/>
                      <w:lang w:eastAsia="ar-SA"/>
                    </w:rPr>
                    <w:t>perspektyva ir numatomas pokytis.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szCs w:val="24"/>
                  <w:lang w:eastAsia="ar-SA"/>
                </w:rPr>
              </w:pPr>
              <w:r>
                <w:rPr>
                  <w:szCs w:val="24"/>
                  <w:lang w:eastAsia="ar-SA"/>
                </w:rPr>
                <w:t xml:space="preserve">Savivaldybės biudžeto lėšų, skirtų socialinėms paslaugoms teikti, augimas proc.: </w:t>
              </w:r>
            </w:p>
            <w:p>
              <w:pPr>
                <w:widowControl w:val="0"/>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6" w:hanging="425"/>
                <w:jc w:val="both"/>
                <w:textAlignment w:val="baseline"/>
                <w:rPr>
                  <w:szCs w:val="24"/>
                  <w:lang w:eastAsia="ar-SA"/>
                </w:rPr>
              </w:pPr>
              <w:r>
                <w:rPr>
                  <w:szCs w:val="24"/>
                  <w:lang w:eastAsia="ar-SA"/>
                </w:rPr>
                <w:t>─</w:t>
                <w:tab/>
                <w:t>2014 m. – 3,55 proc. nuo viso savivaldybės biudžeto; +0,59;</w:t>
              </w:r>
            </w:p>
            <w:p>
              <w:pPr>
                <w:widowControl w:val="0"/>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6" w:hanging="425"/>
                <w:jc w:val="both"/>
                <w:textAlignment w:val="baseline"/>
                <w:rPr>
                  <w:szCs w:val="24"/>
                  <w:lang w:eastAsia="ar-SA"/>
                </w:rPr>
              </w:pPr>
              <w:r>
                <w:rPr>
                  <w:szCs w:val="24"/>
                  <w:lang w:eastAsia="ar-SA"/>
                </w:rPr>
                <w:t>─</w:t>
                <w:tab/>
                <w:t>2015 m. – 3,63 proc. nuo viso savivaldybės biudžeto; +0,08;</w:t>
              </w:r>
            </w:p>
            <w:p>
              <w:pPr>
                <w:widowControl w:val="0"/>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6" w:hanging="425"/>
                <w:jc w:val="both"/>
                <w:textAlignment w:val="baseline"/>
                <w:rPr>
                  <w:szCs w:val="24"/>
                  <w:lang w:eastAsia="ar-SA"/>
                </w:rPr>
              </w:pPr>
              <w:r>
                <w:rPr>
                  <w:szCs w:val="24"/>
                  <w:lang w:eastAsia="ar-SA"/>
                </w:rPr>
                <w:t>─</w:t>
                <w:tab/>
                <w:t>2016 m. – 5,2 proc. nuo viso savivaldybės biudžeto; 1,32;</w:t>
              </w:r>
            </w:p>
            <w:p>
              <w:pPr>
                <w:widowControl w:val="0"/>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6" w:hanging="425"/>
                <w:jc w:val="both"/>
                <w:textAlignment w:val="baseline"/>
                <w:rPr>
                  <w:szCs w:val="24"/>
                  <w:lang w:eastAsia="ar-SA"/>
                </w:rPr>
              </w:pPr>
              <w:r>
                <w:rPr>
                  <w:szCs w:val="24"/>
                  <w:lang w:eastAsia="ar-SA"/>
                </w:rPr>
                <w:t>─</w:t>
                <w:tab/>
                <w:t xml:space="preserve">2017 m. . –      proc. nuo viso savivaldybės biudžeto.</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360"/>
                <w:textAlignment w:val="baseline"/>
                <w:rPr>
                  <w:color w:val="0000FF"/>
                  <w:szCs w:val="24"/>
                  <w:lang w:eastAsia="ar-SA"/>
                </w:rPr>
              </w:pPr>
            </w:p>
            <w:sdt>
              <w:sdtPr>
                <w:alias w:val="19 p."/>
                <w:tag w:val="part_6f8d56c2c572434f89873f5d45205747"/>
                <w:lock w:val="sdtLocked"/>
                <w:richText/>
              </w:sdtPr>
              <w:sdtContent>
                <w:p>
                  <w:pPr>
                    <w:widowControl w:val="0"/>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637" w:hanging="786"/>
                    <w:textAlignment w:val="baseline"/>
                    <w:rPr>
                      <w:b/>
                      <w:szCs w:val="24"/>
                      <w:lang w:eastAsia="ar-SA"/>
                    </w:rPr>
                  </w:pPr>
                  <w:sdt>
                    <w:sdtPr>
                      <w:alias w:val="Numeris"/>
                      <w:tag w:val="nr_6f8d56c2c572434f89873f5d45205747"/>
                      <w:lock w:val="sdtLocked"/>
                      <w:richText/>
                    </w:sdtPr>
                    <w:sdtContent>
                      <w:r>
                        <w:rPr>
                          <w:b/>
                          <w:szCs w:val="24"/>
                          <w:lang w:eastAsia="ar-SA"/>
                        </w:rPr>
                        <w:t>19</w:t>
                      </w:r>
                    </w:sdtContent>
                  </w:sdt>
                  <w:r>
                    <w:rPr>
                      <w:b/>
                      <w:szCs w:val="24"/>
                      <w:lang w:eastAsia="ar-SA"/>
                    </w:rPr>
                    <w:t>.</w:t>
                    <w:tab/>
                    <w:t>Išteklių prognozė ateinantiems 3 metams</w:t>
                  </w:r>
                </w:p>
                <w:p>
                  <w:pPr>
                    <w:widowControl w:val="0"/>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p>
                <w:p>
                  <w:pPr>
                    <w:widowControl w:val="0"/>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szCs w:val="24"/>
                      <w:lang w:eastAsia="ar-SA"/>
                    </w:rPr>
                  </w:pPr>
                  <w:r>
                    <w:rPr>
                      <w:szCs w:val="24"/>
                      <w:lang w:eastAsia="ar-SA"/>
                    </w:rPr>
                    <w:t>Prognozuojama, jog lėšos socialinėms paslaugoms didės, nes tai rodo ir Savivaldybės biudžete skiriamų lėšų 2014─2016 m. tendencijos, kai vidutiniškai kasmet lėšos šioms reikmėms didėja vidutiniškai 0,66 proc. Planuojama, jog 2017 m. ir paskesniais metais asignavimai didės vidutiniškai 1,3 proc.</w:t>
                  </w:r>
                </w:p>
                <w:p>
                  <w:pPr>
                    <w:widowControl w:val="0"/>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p>
              </w:sdtContent>
            </w:sdt>
            <w:sdt>
              <w:sdtPr>
                <w:alias w:val="20 p."/>
                <w:tag w:val="part_ed974a64ab6e4901946c00c244bd7dbb"/>
                <w:lock w:val="sdtLocked"/>
                <w:richText/>
              </w:sdtPr>
              <w:sdtContent>
                <w:p>
                  <w:pPr>
                    <w:widowControl w:val="0"/>
                    <w:tabs>
                      <w:tab w:val="left" w:pos="0"/>
                      <w:tab w:val="left" w:pos="916"/>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6" w:hanging="425"/>
                    <w:jc w:val="both"/>
                    <w:textAlignment w:val="baseline"/>
                    <w:rPr>
                      <w:b/>
                      <w:szCs w:val="24"/>
                      <w:lang w:eastAsia="ar-SA"/>
                    </w:rPr>
                  </w:pPr>
                  <w:sdt>
                    <w:sdtPr>
                      <w:alias w:val="Numeris"/>
                      <w:tag w:val="nr_ed974a64ab6e4901946c00c244bd7dbb"/>
                      <w:lock w:val="sdtLocked"/>
                      <w:richText/>
                    </w:sdtPr>
                    <w:sdtContent>
                      <w:r>
                        <w:rPr>
                          <w:b/>
                          <w:szCs w:val="24"/>
                          <w:lang w:eastAsia="ar-SA"/>
                        </w:rPr>
                        <w:t>20</w:t>
                      </w:r>
                    </w:sdtContent>
                  </w:sdt>
                  <w:r>
                    <w:rPr>
                      <w:b/>
                      <w:szCs w:val="24"/>
                      <w:lang w:eastAsia="ar-SA"/>
                    </w:rPr>
                    <w:t>.</w:t>
                    <w:tab/>
                    <w:t xml:space="preserve">Siūlomos plėsti regioninės socialinės paslaugos, jų rūšys ir prognozuojamas </w:t>
                  </w:r>
                </w:p>
              </w:sdtContent>
            </w:sdt>
          </w:sdtContent>
        </w:sdt>
        <w:sdt>
          <w:sdtPr>
            <w:alias w:val="poskyris"/>
            <w:tag w:val="part_7ba0edfea6754cdfb3ed5a7b34f685a9"/>
            <w:lock w:val="sdtLocked"/>
            <w:richText/>
          </w:sdtPr>
          <w:sdtContent>
            <w:p>
              <w:pPr>
                <w:widowControl w:val="0"/>
                <w:tabs>
                  <w:tab w:val="left" w:pos="0"/>
                  <w:tab w:val="left" w:pos="916"/>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sdt>
                <w:sdtPr>
                  <w:alias w:val="Pavadinimas"/>
                  <w:tag w:val="title_7ba0edfea6754cdfb3ed5a7b34f685a9"/>
                  <w:lock w:val="sdtLocked"/>
                  <w:richText/>
                </w:sdtPr>
                <w:sdtContent>
                  <w:r>
                    <w:rPr>
                      <w:b/>
                      <w:szCs w:val="24"/>
                      <w:lang w:eastAsia="ar-SA"/>
                    </w:rPr>
                    <w:t>mastas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244"/>
                <w:jc w:val="both"/>
                <w:textAlignment w:val="baseline"/>
                <w:rPr>
                  <w:szCs w:val="24"/>
                  <w:lang w:eastAsia="ar-SA"/>
                </w:rPr>
              </w:pPr>
            </w:p>
            <w:tbl>
              <w:tblPr>
                <w:tblW w:w="0" w:type="auto"/>
                <w:tblInd w:w="108" w:type="dxa"/>
                <w:tblLayout w:type="fixed"/>
                <w:tblLook w:val="0000" w:firstRow="0" w:lastRow="0" w:firstColumn="0" w:lastColumn="0" w:noHBand="0" w:noVBand="0"/>
              </w:tblPr>
              <w:tblGrid>
                <w:gridCol w:w="7128"/>
                <w:gridCol w:w="2462"/>
              </w:tblGrid>
              <w:tr>
                <w:tc>
                  <w:tcPr>
                    <w:tcW w:w="7128" w:type="dxa"/>
                    <w:tcBorders>
                      <w:top w:val="single" w:sz="4" w:space="0" w:color="000000"/>
                      <w:left w:val="single" w:sz="4" w:space="0" w:color="000000"/>
                      <w:bottom w:val="single" w:sz="4" w:space="0" w:color="000000"/>
                    </w:tcBorders>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Socialinių paslaugų rūšys (nurodomos pagal žmonių socialines grupes)</w:t>
                    </w:r>
                  </w:p>
                </w:tc>
                <w:tc>
                  <w:tcPr>
                    <w:tcW w:w="2462" w:type="dxa"/>
                    <w:tcBorders>
                      <w:top w:val="single" w:sz="4" w:space="0" w:color="000000"/>
                      <w:left w:val="single" w:sz="4" w:space="0" w:color="000000"/>
                      <w:bottom w:val="single" w:sz="4" w:space="0" w:color="000000"/>
                      <w:right w:val="single" w:sz="4" w:space="0" w:color="000000"/>
                    </w:tcBorders>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Cs w:val="24"/>
                        <w:lang w:eastAsia="ar-SA"/>
                      </w:rPr>
                    </w:pPr>
                    <w:r>
                      <w:rPr>
                        <w:szCs w:val="24"/>
                        <w:lang w:eastAsia="ar-SA"/>
                      </w:rPr>
                      <w:t>Mastas (vietų skaičius)</w:t>
                    </w:r>
                  </w:p>
                </w:tc>
              </w:tr>
              <w:tr>
                <w:tc>
                  <w:tcPr>
                    <w:tcW w:w="7128" w:type="dxa"/>
                    <w:tcBorders>
                      <w:top w:val="single" w:sz="4" w:space="0" w:color="000000"/>
                      <w:left w:val="single" w:sz="4" w:space="0" w:color="000000"/>
                      <w:bottom w:val="single" w:sz="4" w:space="0" w:color="auto"/>
                    </w:tcBorders>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Ilgalaikė socialinė globa asmenims su psichine negalia</w:t>
                    </w:r>
                  </w:p>
                </w:tc>
                <w:tc>
                  <w:tcPr>
                    <w:tcW w:w="2462" w:type="dxa"/>
                    <w:tcBorders>
                      <w:top w:val="single" w:sz="4" w:space="0" w:color="000000"/>
                      <w:left w:val="single" w:sz="4" w:space="0" w:color="000000"/>
                      <w:bottom w:val="single" w:sz="4" w:space="0" w:color="auto"/>
                      <w:right w:val="single" w:sz="4" w:space="0" w:color="000000"/>
                    </w:tcBorders>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5</w:t>
                    </w:r>
                  </w:p>
                </w:tc>
              </w:tr>
            </w:tbl>
            <w:p>
              <w:pPr>
                <w:rPr>
                  <w:b/>
                  <w:bCs/>
                  <w:sz w:val="22"/>
                  <w:szCs w:val="22"/>
                  <w:lang w:eastAsia="lt-LT"/>
                </w:rPr>
              </w:pPr>
            </w:p>
            <w:p>
              <w:pPr>
                <w:rPr>
                  <w:sz w:val="14"/>
                  <w:szCs w:val="14"/>
                </w:rPr>
              </w:pPr>
            </w:p>
            <w:p>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jc w:val="center"/>
                <w:rPr>
                  <w:b/>
                  <w:color w:val="000000"/>
                  <w:szCs w:val="24"/>
                </w:rPr>
              </w:pPr>
              <w:r>
                <w:rPr>
                  <w:b/>
                  <w:color w:val="000000"/>
                  <w:szCs w:val="24"/>
                </w:rPr>
                <w:t>VI. PLANO ĮGYVENDINIMO PRIEŽIŪRA</w:t>
              </w:r>
            </w:p>
            <w:p>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rPr>
                  <w:color w:val="000000"/>
                  <w:szCs w:val="24"/>
                </w:rPr>
              </w:pPr>
            </w:p>
            <w:p>
              <w:pPr>
                <w:tabs>
                  <w:tab w:val="left" w:pos="709"/>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637" w:right="-57" w:hanging="786"/>
                <w:outlineLvl w:val="1"/>
                <w:rPr>
                  <w:color w:val="000000"/>
                  <w:szCs w:val="24"/>
                </w:rPr>
              </w:pPr>
              <w:r>
                <w:rPr>
                  <w:b/>
                  <w:szCs w:val="24"/>
                </w:rPr>
                <w:t>21.</w:t>
                <w:tab/>
              </w:r>
              <w:r>
                <w:rPr>
                  <w:b/>
                  <w:color w:val="000000"/>
                  <w:szCs w:val="24"/>
                </w:rPr>
                <w:t>Socialinių paslaugų plano įgyvendinimo priežiūros vykdytojai</w:t>
              </w:r>
            </w:p>
            <w:p>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916"/>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916"/>
                <w:rPr>
                  <w:color w:val="000000"/>
                  <w:szCs w:val="24"/>
                </w:rPr>
              </w:pPr>
              <w:r>
                <w:rPr>
                  <w:color w:val="000000"/>
                  <w:szCs w:val="24"/>
                </w:rPr>
                <w:t xml:space="preserve">Socialinių paslaugų plano įgyvendinimo priežiūrą vykdo Savivaldybės administracijos direktorius, Socialinės paramos ir rūpybos skyriaus vedėjas. Tiesiogiai už Socialinių paslaugų plano įgyvendinimą yra atsakingas Socialinės paramos ir rūpybos skyriaus vedėjo pavaduotojas, kurio pareigybės aprašyme yra nustatyta socialinių paslaugų administravimo funkcija. </w:t>
              </w:r>
            </w:p>
            <w:p>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916"/>
                <w:rPr>
                  <w:color w:val="000000"/>
                  <w:szCs w:val="24"/>
                </w:rPr>
              </w:pPr>
            </w:p>
            <w:p>
              <w:pPr>
                <w:tabs>
                  <w:tab w:val="left" w:pos="709"/>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6" w:right="-57" w:hanging="425"/>
                <w:outlineLvl w:val="1"/>
                <w:rPr>
                  <w:b/>
                  <w:color w:val="000000"/>
                  <w:szCs w:val="24"/>
                </w:rPr>
              </w:pPr>
              <w:r>
                <w:rPr>
                  <w:b/>
                  <w:szCs w:val="24"/>
                </w:rPr>
                <w:t>22.</w:t>
                <w:tab/>
                <w:t>Socialinių</w:t>
              </w:r>
              <w:r>
                <w:rPr>
                  <w:b/>
                  <w:color w:val="000000"/>
                  <w:szCs w:val="24"/>
                </w:rPr>
                <w:t xml:space="preserve"> paslaugų plano įgyvendinimo priežiūros etapai ir įvertinimo rezultatai</w:t>
              </w:r>
            </w:p>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outlineLvl w:val="1"/>
                <w:rPr>
                  <w:b/>
                  <w:color w:val="000000"/>
                  <w:szCs w:val="24"/>
                </w:rPr>
              </w:pPr>
            </w:p>
            <w:p>
              <w:pPr>
                <w:tabs>
                  <w:tab w:val="left" w:pos="851"/>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851"/>
                <w:jc w:val="both"/>
                <w:rPr>
                  <w:szCs w:val="24"/>
                </w:rPr>
              </w:pPr>
              <w:r>
                <w:rPr>
                  <w:szCs w:val="24"/>
                </w:rPr>
                <w:t xml:space="preserve">Socialinių paslaugų planas vertinamas du kartus per kalendorinius metus. Bus teikiamos ataskaitos apie įvykdymą ir aptarti plano įgyvendinimo rezultatai kartu su Savivaldybės socialinių paslaugų įstaigų vadovais, nevalstybinių asociacijų atstovais bei atsakingais už socialinių paslaugų plano vykdymą ir priežiūrą specialistais. Vertinama plano įgyvendinimo eiga, aptariamos iškilusios problemos, atsiradusios siekiant numatytų tikslų ir uždavinių, ieškoma galimų alternatyvių sprendimų. </w:t>
              </w:r>
            </w:p>
            <w:p>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916"/>
                <w:jc w:val="both"/>
                <w:rPr>
                  <w:szCs w:val="24"/>
                  <w:lang w:val="en-GB"/>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
                  <w:bCs/>
                  <w:szCs w:val="24"/>
                  <w:lang w:eastAsia="lt-LT"/>
                </w:rPr>
              </w:pPr>
              <w:r>
                <w:rPr>
                  <w:b/>
                  <w:bCs/>
                  <w:szCs w:val="24"/>
                  <w:lang w:eastAsia="lt-LT"/>
                </w:rPr>
                <w:t>23. Pasiektų rezultatų, tikslų ir uždavinių analizė, numatytų vykdyti priemonių efektyvumas</w:t>
              </w:r>
            </w:p>
            <w:p>
              <w:pPr>
                <w:ind w:firstLine="720"/>
                <w:rPr>
                  <w:sz w:val="23"/>
                  <w:szCs w:val="23"/>
                </w:rPr>
              </w:pPr>
            </w:p>
            <w:p>
              <w:pPr>
                <w:tabs>
                  <w:tab w:val="left" w:pos="851"/>
                </w:tabs>
                <w:ind w:firstLine="851"/>
                <w:jc w:val="both"/>
                <w:rPr>
                  <w:color w:val="0000FF"/>
                  <w:sz w:val="23"/>
                  <w:szCs w:val="23"/>
                </w:rPr>
              </w:pPr>
              <w:r>
                <w:rPr>
                  <w:sz w:val="23"/>
                  <w:szCs w:val="23"/>
                </w:rPr>
                <w:t xml:space="preserve">Pasiektų rezultatų, tikslų ir uždavinių analizė atliekama rengiant ateinančių metų Socialinių paslaugų planą. Teikiamų paslaugų efektyvumas vertinamas pagal socialinių paslaugų efektyvumo vertinimo kriterijus, patvirtintus Socialinės apsaugos ir darbo ministro 2007 m. balandžio 12 d. įsakymu Nr. A1-104 „Dėl Socialinių paslaugų plano formos ir Socialinių paslaugų efektyvumo vertinimo kriterijų patvirtinimo“. </w:t>
              </w:r>
            </w:p>
          </w:sdtContent>
        </w:sdt>
        <w:sdt>
          <w:sdtPr>
            <w:alias w:val="signatura"/>
            <w:tag w:val="part_8804920e96fb409cb3e4e2aa47f88f99"/>
            <w:lock w:val="sdtLocked"/>
            <w:richText/>
          </w:sdtPr>
          <w:sdtContent>
            <w:p>
              <w:pPr>
                <w:ind w:firstLine="851"/>
                <w:jc w:val="center"/>
                <w:rPr>
                  <w:szCs w:val="24"/>
                  <w:lang w:eastAsia="lt-LT"/>
                </w:rPr>
              </w:pPr>
              <w:r>
                <w:rPr>
                  <w:szCs w:val="24"/>
                  <w:lang w:eastAsia="lt-LT"/>
                </w:rPr>
                <w:t>________________________</w:t>
              </w:r>
            </w:p>
            <w:p>
              <w:pPr>
                <w:rPr>
                  <w:sz w:val="14"/>
                  <w:szCs w:val="14"/>
                </w:rPr>
              </w:pPr>
            </w:p>
            <w:p>
              <w:pPr>
                <w:ind w:firstLine="5760"/>
                <w:rPr>
                  <w:szCs w:val="24"/>
                  <w:lang w:eastAsia="lt-LT"/>
                </w:rPr>
              </w:pPr>
            </w:p>
            <w:p>
              <w:pPr>
                <w:rPr>
                  <w:sz w:val="8"/>
                  <w:szCs w:val="8"/>
                </w:rPr>
              </w:pPr>
            </w:p>
            <w:p>
              <w:pPr>
                <w:rPr>
                  <w:szCs w:val="24"/>
                  <w:lang w:eastAsia="lt-LT"/>
                </w:rPr>
                <w:sectPr>
                  <w:pgSz w:w="11906" w:h="16838" w:code="9"/>
                  <w:pgMar w:top="1701" w:right="1134" w:bottom="567" w:left="1134" w:header="0" w:footer="567" w:gutter="0"/>
                  <w:pgNumType w:start="36"/>
                  <w:cols w:space="1296"/>
                  <w:formProt w:val="0"/>
                  <w:titlePg/>
                </w:sectPr>
              </w:pPr>
            </w:p>
            <w:p>
              <w:pPr>
                <w:rPr>
                  <w:sz w:val="8"/>
                  <w:szCs w:val="8"/>
                </w:rPr>
              </w:pPr>
            </w:p>
            <w:p>
              <w:pPr>
                <w:tabs>
                  <w:tab w:val="center" w:pos="4153"/>
                  <w:tab w:val="right" w:pos="8306"/>
                </w:tabs>
                <w:rPr>
                  <w:szCs w:val="24"/>
                  <w:lang w:val="en-GB"/>
                </w:rPr>
              </w:pPr>
            </w:p>
            <w:sdt>
              <w:sdtPr>
                <w:alias w:val="pr."/>
                <w:tag w:val="part_e2e0015433a24e0f8f489d217a168b3f"/>
                <w:lock w:val="sdtLocked"/>
                <w:richText/>
              </w:sdtPr>
              <w:sdtContent>
                <w:p>
                  <w:pPr>
                    <w:tabs>
                      <w:tab w:val="left" w:pos="916"/>
                      <w:tab w:val="left" w:pos="1832"/>
                      <w:tab w:val="left" w:pos="2748"/>
                      <w:tab w:val="left" w:pos="3664"/>
                      <w:tab w:val="left" w:pos="4580"/>
                      <w:tab w:val="left" w:pos="4785"/>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0992"/>
                    <w:jc w:val="center"/>
                    <w:rPr>
                      <w:szCs w:val="24"/>
                    </w:rPr>
                  </w:pPr>
                  <w:r>
                    <w:rPr>
                      <w:szCs w:val="24"/>
                    </w:rPr>
                    <w:t xml:space="preserve">Telšių rajono savivaldybės 2016 m.               </w:t>
                  </w:r>
                </w:p>
                <w:p>
                  <w:pPr>
                    <w:tabs>
                      <w:tab w:val="left" w:pos="916"/>
                      <w:tab w:val="left" w:pos="1832"/>
                      <w:tab w:val="left" w:pos="2748"/>
                      <w:tab w:val="left" w:pos="3664"/>
                      <w:tab w:val="left" w:pos="4580"/>
                      <w:tab w:val="left" w:pos="4785"/>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8964"/>
                    <w:jc w:val="center"/>
                    <w:rPr>
                      <w:szCs w:val="24"/>
                    </w:rPr>
                  </w:pPr>
                  <w:r>
                    <w:rPr>
                      <w:szCs w:val="24"/>
                    </w:rPr>
                    <w:t>socialinių paslaugų plano priedas</w:t>
                  </w:r>
                </w:p>
                <w:p>
                  <w:pPr>
                    <w:jc w:val="center"/>
                    <w:rPr>
                      <w:b/>
                      <w:sz w:val="18"/>
                      <w:szCs w:val="18"/>
                    </w:rPr>
                  </w:pPr>
                  <w:sdt>
                    <w:sdtPr>
                      <w:alias w:val="Pavadinimas"/>
                      <w:tag w:val="title_e2e0015433a24e0f8f489d217a168b3f"/>
                      <w:lock w:val="sdtLocked"/>
                      <w:richText/>
                    </w:sdtPr>
                    <w:sdtContent>
                      <w:r>
                        <w:rPr>
                          <w:b/>
                          <w:sz w:val="18"/>
                          <w:szCs w:val="18"/>
                        </w:rPr>
                        <w:t>TELŠIŲ RAJONO SAVIVALDYBĖS 2016 METŲ SOCIALINIŲ PASLAUGŲ PLANO PRIEMONIŲ ĮGYVENDINIMO ATASKAITA</w:t>
                      </w:r>
                    </w:sdtContent>
                  </w:sdt>
                </w:p>
                <w:tbl>
                  <w:tblPr>
                    <w:tblW w:w="1559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6"/>
                    <w:gridCol w:w="2836"/>
                    <w:gridCol w:w="2410"/>
                    <w:gridCol w:w="849"/>
                    <w:gridCol w:w="850"/>
                    <w:gridCol w:w="851"/>
                    <w:gridCol w:w="850"/>
                    <w:gridCol w:w="993"/>
                    <w:gridCol w:w="851"/>
                    <w:gridCol w:w="141"/>
                    <w:gridCol w:w="2977"/>
                  </w:tblGrid>
                  <w:tr>
                    <w:trPr>
                      <w:tblHeader/>
                    </w:trPr>
                    <w:tc>
                      <w:tcPr>
                        <w:tcW w:w="1986" w:type="dxa"/>
                        <w:vMerge w:val="restart"/>
                        <w:vAlign w:val="center"/>
                      </w:tcPr>
                      <w:p>
                        <w:pPr>
                          <w:jc w:val="center"/>
                          <w:rPr>
                            <w:b/>
                            <w:sz w:val="18"/>
                            <w:szCs w:val="18"/>
                          </w:rPr>
                        </w:pPr>
                        <w:r>
                          <w:rPr>
                            <w:b/>
                            <w:sz w:val="18"/>
                            <w:szCs w:val="18"/>
                          </w:rPr>
                          <w:t>Uždaviniai</w:t>
                        </w:r>
                      </w:p>
                    </w:tc>
                    <w:tc>
                      <w:tcPr>
                        <w:tcW w:w="2836" w:type="dxa"/>
                        <w:vMerge w:val="restart"/>
                        <w:vAlign w:val="center"/>
                      </w:tcPr>
                      <w:p>
                        <w:pPr>
                          <w:jc w:val="center"/>
                          <w:rPr>
                            <w:b/>
                            <w:sz w:val="18"/>
                            <w:szCs w:val="18"/>
                          </w:rPr>
                        </w:pPr>
                        <w:r>
                          <w:rPr>
                            <w:b/>
                            <w:sz w:val="18"/>
                            <w:szCs w:val="18"/>
                          </w:rPr>
                          <w:t>Priemonės</w:t>
                        </w:r>
                      </w:p>
                    </w:tc>
                    <w:tc>
                      <w:tcPr>
                        <w:tcW w:w="2410" w:type="dxa"/>
                        <w:vMerge w:val="restart"/>
                        <w:vAlign w:val="center"/>
                      </w:tcPr>
                      <w:p>
                        <w:pPr>
                          <w:jc w:val="center"/>
                          <w:rPr>
                            <w:b/>
                            <w:sz w:val="18"/>
                            <w:szCs w:val="18"/>
                          </w:rPr>
                        </w:pPr>
                        <w:r>
                          <w:rPr>
                            <w:b/>
                            <w:sz w:val="18"/>
                            <w:szCs w:val="18"/>
                          </w:rPr>
                          <w:t xml:space="preserve">Atsakingi </w:t>
                        </w:r>
                      </w:p>
                      <w:p>
                        <w:pPr>
                          <w:jc w:val="center"/>
                          <w:rPr>
                            <w:b/>
                            <w:sz w:val="18"/>
                            <w:szCs w:val="18"/>
                          </w:rPr>
                        </w:pPr>
                        <w:r>
                          <w:rPr>
                            <w:b/>
                            <w:sz w:val="18"/>
                            <w:szCs w:val="18"/>
                          </w:rPr>
                          <w:t>vykdytojai</w:t>
                        </w:r>
                      </w:p>
                    </w:tc>
                    <w:tc>
                      <w:tcPr>
                        <w:tcW w:w="3400" w:type="dxa"/>
                        <w:gridSpan w:val="4"/>
                        <w:vAlign w:val="center"/>
                      </w:tcPr>
                      <w:p>
                        <w:pPr>
                          <w:jc w:val="center"/>
                          <w:rPr>
                            <w:b/>
                            <w:sz w:val="18"/>
                            <w:szCs w:val="18"/>
                          </w:rPr>
                        </w:pPr>
                        <w:r>
                          <w:rPr>
                            <w:b/>
                            <w:sz w:val="18"/>
                            <w:szCs w:val="18"/>
                          </w:rPr>
                          <w:t>Asignavimai (tūkst. Eur),</w:t>
                        </w:r>
                      </w:p>
                      <w:p>
                        <w:pPr>
                          <w:jc w:val="center"/>
                          <w:rPr>
                            <w:sz w:val="18"/>
                            <w:szCs w:val="18"/>
                          </w:rPr>
                        </w:pPr>
                        <w:r>
                          <w:rPr>
                            <w:b/>
                            <w:sz w:val="18"/>
                            <w:szCs w:val="18"/>
                          </w:rPr>
                          <w:t>asignavimų šaltiniai</w:t>
                        </w:r>
                      </w:p>
                    </w:tc>
                    <w:tc>
                      <w:tcPr>
                        <w:tcW w:w="1844" w:type="dxa"/>
                        <w:gridSpan w:val="2"/>
                        <w:vAlign w:val="center"/>
                      </w:tcPr>
                      <w:p>
                        <w:pPr>
                          <w:jc w:val="center"/>
                          <w:rPr>
                            <w:sz w:val="18"/>
                            <w:szCs w:val="18"/>
                          </w:rPr>
                        </w:pPr>
                        <w:r>
                          <w:rPr>
                            <w:b/>
                            <w:sz w:val="18"/>
                            <w:szCs w:val="18"/>
                          </w:rPr>
                          <w:t>Paslaugų gavėjų skaičius</w:t>
                        </w:r>
                      </w:p>
                    </w:tc>
                    <w:tc>
                      <w:tcPr>
                        <w:tcW w:w="3118" w:type="dxa"/>
                        <w:gridSpan w:val="2"/>
                        <w:vMerge w:val="restart"/>
                        <w:vAlign w:val="center"/>
                      </w:tcPr>
                      <w:p>
                        <w:pPr>
                          <w:jc w:val="center"/>
                          <w:rPr>
                            <w:b/>
                            <w:sz w:val="18"/>
                            <w:szCs w:val="18"/>
                          </w:rPr>
                        </w:pPr>
                        <w:r>
                          <w:rPr>
                            <w:b/>
                            <w:sz w:val="18"/>
                            <w:szCs w:val="18"/>
                          </w:rPr>
                          <w:t>Pastabos</w:t>
                        </w:r>
                      </w:p>
                    </w:tc>
                  </w:tr>
                  <w:tr>
                    <w:trPr>
                      <w:trHeight w:val="240"/>
                      <w:tblHeader/>
                    </w:trPr>
                    <w:tc>
                      <w:tcPr>
                        <w:tcW w:w="1986" w:type="dxa"/>
                        <w:vMerge/>
                        <w:vAlign w:val="center"/>
                      </w:tcPr>
                      <w:p>
                        <w:pPr>
                          <w:jc w:val="center"/>
                          <w:rPr>
                            <w:b/>
                            <w:sz w:val="18"/>
                            <w:szCs w:val="18"/>
                          </w:rPr>
                        </w:pPr>
                      </w:p>
                    </w:tc>
                    <w:tc>
                      <w:tcPr>
                        <w:tcW w:w="2836" w:type="dxa"/>
                        <w:vMerge/>
                        <w:vAlign w:val="center"/>
                      </w:tcPr>
                      <w:p>
                        <w:pPr>
                          <w:jc w:val="center"/>
                          <w:rPr>
                            <w:b/>
                            <w:sz w:val="18"/>
                            <w:szCs w:val="18"/>
                          </w:rPr>
                        </w:pPr>
                      </w:p>
                    </w:tc>
                    <w:tc>
                      <w:tcPr>
                        <w:tcW w:w="2410" w:type="dxa"/>
                        <w:vMerge/>
                        <w:vAlign w:val="center"/>
                      </w:tcPr>
                      <w:p>
                        <w:pPr>
                          <w:jc w:val="center"/>
                          <w:rPr>
                            <w:b/>
                            <w:sz w:val="18"/>
                            <w:szCs w:val="18"/>
                          </w:rPr>
                        </w:pPr>
                      </w:p>
                    </w:tc>
                    <w:tc>
                      <w:tcPr>
                        <w:tcW w:w="1699" w:type="dxa"/>
                        <w:gridSpan w:val="2"/>
                        <w:vAlign w:val="center"/>
                      </w:tcPr>
                      <w:p>
                        <w:pPr>
                          <w:jc w:val="center"/>
                          <w:rPr>
                            <w:b/>
                            <w:sz w:val="18"/>
                            <w:szCs w:val="18"/>
                          </w:rPr>
                        </w:pPr>
                        <w:r>
                          <w:rPr>
                            <w:b/>
                            <w:sz w:val="18"/>
                            <w:szCs w:val="18"/>
                          </w:rPr>
                          <w:t>planuojami</w:t>
                        </w:r>
                      </w:p>
                    </w:tc>
                    <w:tc>
                      <w:tcPr>
                        <w:tcW w:w="1701" w:type="dxa"/>
                        <w:gridSpan w:val="2"/>
                        <w:vAlign w:val="center"/>
                      </w:tcPr>
                      <w:p>
                        <w:pPr>
                          <w:jc w:val="center"/>
                          <w:rPr>
                            <w:b/>
                            <w:sz w:val="18"/>
                            <w:szCs w:val="18"/>
                          </w:rPr>
                        </w:pPr>
                        <w:r>
                          <w:rPr>
                            <w:b/>
                            <w:sz w:val="18"/>
                            <w:szCs w:val="18"/>
                          </w:rPr>
                          <w:t>panaudoti</w:t>
                        </w:r>
                      </w:p>
                    </w:tc>
                    <w:tc>
                      <w:tcPr>
                        <w:tcW w:w="993" w:type="dxa"/>
                        <w:vMerge w:val="restart"/>
                        <w:vAlign w:val="center"/>
                      </w:tcPr>
                      <w:p>
                        <w:pPr>
                          <w:jc w:val="center"/>
                          <w:rPr>
                            <w:b/>
                            <w:sz w:val="18"/>
                            <w:szCs w:val="18"/>
                          </w:rPr>
                        </w:pPr>
                        <w:r>
                          <w:rPr>
                            <w:b/>
                            <w:sz w:val="18"/>
                            <w:szCs w:val="18"/>
                          </w:rPr>
                          <w:t>planuojamas</w:t>
                        </w:r>
                      </w:p>
                    </w:tc>
                    <w:tc>
                      <w:tcPr>
                        <w:tcW w:w="851" w:type="dxa"/>
                        <w:vMerge w:val="restart"/>
                        <w:vAlign w:val="center"/>
                      </w:tcPr>
                      <w:p>
                        <w:pPr>
                          <w:jc w:val="center"/>
                          <w:rPr>
                            <w:b/>
                            <w:i/>
                            <w:color w:val="FF0000"/>
                            <w:sz w:val="18"/>
                            <w:szCs w:val="18"/>
                          </w:rPr>
                        </w:pPr>
                        <w:r>
                          <w:rPr>
                            <w:b/>
                            <w:sz w:val="18"/>
                            <w:szCs w:val="18"/>
                          </w:rPr>
                          <w:t>faktinis</w:t>
                        </w:r>
                      </w:p>
                    </w:tc>
                    <w:tc>
                      <w:tcPr>
                        <w:tcW w:w="3118" w:type="dxa"/>
                        <w:gridSpan w:val="2"/>
                        <w:vMerge/>
                      </w:tcPr>
                      <w:p>
                        <w:pPr>
                          <w:jc w:val="center"/>
                          <w:rPr>
                            <w:sz w:val="18"/>
                            <w:szCs w:val="18"/>
                          </w:rPr>
                        </w:pPr>
                      </w:p>
                    </w:tc>
                  </w:tr>
                  <w:tr>
                    <w:trPr>
                      <w:trHeight w:val="240"/>
                      <w:tblHeader/>
                    </w:trPr>
                    <w:tc>
                      <w:tcPr>
                        <w:tcW w:w="1986" w:type="dxa"/>
                        <w:vMerge/>
                        <w:vAlign w:val="center"/>
                      </w:tcPr>
                      <w:p>
                        <w:pPr>
                          <w:jc w:val="center"/>
                          <w:rPr>
                            <w:b/>
                            <w:sz w:val="18"/>
                            <w:szCs w:val="18"/>
                          </w:rPr>
                        </w:pPr>
                      </w:p>
                    </w:tc>
                    <w:tc>
                      <w:tcPr>
                        <w:tcW w:w="2836" w:type="dxa"/>
                        <w:vMerge/>
                        <w:vAlign w:val="center"/>
                      </w:tcPr>
                      <w:p>
                        <w:pPr>
                          <w:jc w:val="center"/>
                          <w:rPr>
                            <w:b/>
                            <w:sz w:val="18"/>
                            <w:szCs w:val="18"/>
                          </w:rPr>
                        </w:pPr>
                      </w:p>
                    </w:tc>
                    <w:tc>
                      <w:tcPr>
                        <w:tcW w:w="2410" w:type="dxa"/>
                        <w:vMerge/>
                        <w:vAlign w:val="center"/>
                      </w:tcPr>
                      <w:p>
                        <w:pPr>
                          <w:jc w:val="center"/>
                          <w:rPr>
                            <w:b/>
                            <w:sz w:val="18"/>
                            <w:szCs w:val="18"/>
                          </w:rPr>
                        </w:pPr>
                      </w:p>
                    </w:tc>
                    <w:tc>
                      <w:tcPr>
                        <w:tcW w:w="849" w:type="dxa"/>
                        <w:vAlign w:val="center"/>
                      </w:tcPr>
                      <w:p>
                        <w:pPr>
                          <w:jc w:val="center"/>
                          <w:rPr>
                            <w:b/>
                            <w:sz w:val="18"/>
                            <w:szCs w:val="18"/>
                          </w:rPr>
                        </w:pPr>
                        <w:r>
                          <w:rPr>
                            <w:b/>
                            <w:sz w:val="18"/>
                            <w:szCs w:val="18"/>
                          </w:rPr>
                          <w:t>VB</w:t>
                        </w:r>
                      </w:p>
                    </w:tc>
                    <w:tc>
                      <w:tcPr>
                        <w:tcW w:w="850" w:type="dxa"/>
                        <w:vAlign w:val="center"/>
                      </w:tcPr>
                      <w:p>
                        <w:pPr>
                          <w:jc w:val="center"/>
                          <w:rPr>
                            <w:b/>
                            <w:sz w:val="18"/>
                            <w:szCs w:val="18"/>
                          </w:rPr>
                        </w:pPr>
                        <w:r>
                          <w:rPr>
                            <w:b/>
                            <w:sz w:val="18"/>
                            <w:szCs w:val="18"/>
                          </w:rPr>
                          <w:t>SB</w:t>
                        </w:r>
                      </w:p>
                    </w:tc>
                    <w:tc>
                      <w:tcPr>
                        <w:tcW w:w="851" w:type="dxa"/>
                        <w:vAlign w:val="center"/>
                      </w:tcPr>
                      <w:p>
                        <w:pPr>
                          <w:ind w:right="-249"/>
                          <w:jc w:val="center"/>
                          <w:rPr>
                            <w:b/>
                            <w:sz w:val="18"/>
                            <w:szCs w:val="18"/>
                          </w:rPr>
                        </w:pPr>
                        <w:r>
                          <w:rPr>
                            <w:b/>
                            <w:sz w:val="18"/>
                            <w:szCs w:val="18"/>
                          </w:rPr>
                          <w:t>VB</w:t>
                        </w:r>
                      </w:p>
                    </w:tc>
                    <w:tc>
                      <w:tcPr>
                        <w:tcW w:w="850" w:type="dxa"/>
                        <w:vAlign w:val="center"/>
                      </w:tcPr>
                      <w:p>
                        <w:pPr>
                          <w:jc w:val="center"/>
                          <w:rPr>
                            <w:b/>
                            <w:sz w:val="18"/>
                            <w:szCs w:val="18"/>
                          </w:rPr>
                        </w:pPr>
                        <w:r>
                          <w:rPr>
                            <w:b/>
                            <w:sz w:val="18"/>
                            <w:szCs w:val="18"/>
                          </w:rPr>
                          <w:t>SB</w:t>
                        </w:r>
                      </w:p>
                    </w:tc>
                    <w:tc>
                      <w:tcPr>
                        <w:tcW w:w="993" w:type="dxa"/>
                        <w:vMerge/>
                        <w:vAlign w:val="center"/>
                      </w:tcPr>
                      <w:p>
                        <w:pPr>
                          <w:jc w:val="center"/>
                          <w:rPr>
                            <w:b/>
                            <w:sz w:val="18"/>
                            <w:szCs w:val="18"/>
                          </w:rPr>
                        </w:pPr>
                      </w:p>
                    </w:tc>
                    <w:tc>
                      <w:tcPr>
                        <w:tcW w:w="851" w:type="dxa"/>
                        <w:vMerge/>
                        <w:vAlign w:val="center"/>
                      </w:tcPr>
                      <w:p>
                        <w:pPr>
                          <w:jc w:val="center"/>
                          <w:rPr>
                            <w:b/>
                            <w:i/>
                            <w:color w:val="FF0000"/>
                            <w:sz w:val="18"/>
                            <w:szCs w:val="18"/>
                          </w:rPr>
                        </w:pPr>
                      </w:p>
                    </w:tc>
                    <w:tc>
                      <w:tcPr>
                        <w:tcW w:w="3118" w:type="dxa"/>
                        <w:gridSpan w:val="2"/>
                        <w:vMerge/>
                      </w:tcPr>
                      <w:p>
                        <w:pPr>
                          <w:jc w:val="center"/>
                          <w:rPr>
                            <w:sz w:val="18"/>
                            <w:szCs w:val="18"/>
                          </w:rPr>
                        </w:pPr>
                      </w:p>
                    </w:tc>
                  </w:tr>
                  <w:tr>
                    <w:trPr>
                      <w:trHeight w:val="240"/>
                      <w:tblHeader/>
                    </w:trPr>
                    <w:tc>
                      <w:tcPr>
                        <w:tcW w:w="15594" w:type="dxa"/>
                        <w:gridSpan w:val="11"/>
                        <w:vAlign w:val="center"/>
                      </w:tcPr>
                      <w:p>
                        <w:pPr>
                          <w:rPr>
                            <w:b/>
                            <w:sz w:val="18"/>
                            <w:szCs w:val="18"/>
                          </w:rPr>
                        </w:pPr>
                        <w:r>
                          <w:rPr>
                            <w:b/>
                            <w:sz w:val="18"/>
                            <w:szCs w:val="18"/>
                          </w:rPr>
                          <w:t xml:space="preserve">1 tikslas. Vystyti </w:t>
                        </w:r>
                        <w:r>
                          <w:rPr>
                            <w:b/>
                            <w:sz w:val="20"/>
                          </w:rPr>
                          <w:t>socialinių paslaugų infrastruktūrą asmenims su sutrikusio intelekto negalia ir psichine negalia</w:t>
                        </w:r>
                      </w:p>
                    </w:tc>
                  </w:tr>
                  <w:tr>
                    <w:trPr>
                      <w:trHeight w:val="1513"/>
                      <w:tblHeader/>
                    </w:trPr>
                    <w:tc>
                      <w:tcPr>
                        <w:tcW w:w="1986" w:type="dxa"/>
                        <w:vAlign w:val="center"/>
                      </w:tcPr>
                      <w:p>
                        <w:pPr>
                          <w:tabs>
                            <w:tab w:val="left" w:pos="248"/>
                          </w:tabs>
                          <w:ind w:left="106"/>
                          <w:rPr>
                            <w:b/>
                            <w:sz w:val="20"/>
                          </w:rPr>
                        </w:pPr>
                        <w:r>
                          <w:rPr>
                            <w:b/>
                            <w:sz w:val="20"/>
                          </w:rPr>
                          <w:t>Telšių „Vilties“ mokyklos Dienos socialinės globos skyriaus plėtra</w:t>
                        </w:r>
                      </w:p>
                      <w:p>
                        <w:pPr>
                          <w:rPr>
                            <w:b/>
                            <w:sz w:val="18"/>
                            <w:szCs w:val="18"/>
                          </w:rPr>
                        </w:pPr>
                      </w:p>
                    </w:tc>
                    <w:tc>
                      <w:tcPr>
                        <w:tcW w:w="2836" w:type="dxa"/>
                        <w:vAlign w:val="center"/>
                      </w:tcPr>
                      <w:p>
                        <w:pPr>
                          <w:rPr>
                            <w:sz w:val="20"/>
                          </w:rPr>
                        </w:pPr>
                        <w:r>
                          <w:rPr>
                            <w:sz w:val="20"/>
                          </w:rPr>
                          <w:t xml:space="preserve">Rekonstruoti Telšių „Vilties“ mokyklos patalpas ir  pritaikyti neįgaliųjų poreikiams </w:t>
                        </w:r>
                      </w:p>
                    </w:tc>
                    <w:tc>
                      <w:tcPr>
                        <w:tcW w:w="2410" w:type="dxa"/>
                        <w:vAlign w:val="center"/>
                      </w:tcPr>
                      <w:p>
                        <w:pPr>
                          <w:ind w:hanging="17"/>
                          <w:rPr>
                            <w:sz w:val="18"/>
                            <w:szCs w:val="18"/>
                          </w:rPr>
                        </w:pPr>
                        <w:r>
                          <w:rPr>
                            <w:sz w:val="20"/>
                          </w:rPr>
                          <w:t>Telšių „Vilties“ mokykla, Švietimo, kultūros, sporto ir jaunimo reikalų skyrius, Socialinės paramos ir rūpybos skyrius, Statybos ir urbanistikos skyrius</w:t>
                        </w:r>
                      </w:p>
                    </w:tc>
                    <w:tc>
                      <w:tcPr>
                        <w:tcW w:w="849" w:type="dxa"/>
                        <w:vAlign w:val="center"/>
                      </w:tcPr>
                      <w:p>
                        <w:pPr>
                          <w:jc w:val="center"/>
                          <w:rPr>
                            <w:sz w:val="18"/>
                            <w:szCs w:val="18"/>
                          </w:rPr>
                        </w:pPr>
                        <w:r>
                          <w:rPr>
                            <w:sz w:val="18"/>
                            <w:szCs w:val="18"/>
                          </w:rPr>
                          <w:t>─</w:t>
                        </w:r>
                      </w:p>
                    </w:tc>
                    <w:tc>
                      <w:tcPr>
                        <w:tcW w:w="850" w:type="dxa"/>
                        <w:vAlign w:val="center"/>
                      </w:tcPr>
                      <w:p>
                        <w:pPr>
                          <w:jc w:val="center"/>
                          <w:rPr>
                            <w:b/>
                            <w:sz w:val="18"/>
                            <w:szCs w:val="18"/>
                          </w:rPr>
                        </w:pPr>
                        <w:r>
                          <w:rPr>
                            <w:sz w:val="18"/>
                            <w:szCs w:val="18"/>
                          </w:rPr>
                          <w:t>─</w:t>
                        </w:r>
                      </w:p>
                    </w:tc>
                    <w:tc>
                      <w:tcPr>
                        <w:tcW w:w="851" w:type="dxa"/>
                        <w:vAlign w:val="center"/>
                      </w:tcPr>
                      <w:p>
                        <w:pPr>
                          <w:jc w:val="center"/>
                          <w:rPr>
                            <w:sz w:val="18"/>
                            <w:szCs w:val="18"/>
                          </w:rPr>
                        </w:pPr>
                        <w:r>
                          <w:rPr>
                            <w:sz w:val="18"/>
                            <w:szCs w:val="18"/>
                          </w:rPr>
                          <w:t>─</w:t>
                        </w:r>
                      </w:p>
                    </w:tc>
                    <w:tc>
                      <w:tcPr>
                        <w:tcW w:w="850" w:type="dxa"/>
                        <w:vAlign w:val="center"/>
                      </w:tcPr>
                      <w:p>
                        <w:pPr>
                          <w:ind w:left="-108" w:firstLine="108"/>
                          <w:jc w:val="center"/>
                          <w:rPr>
                            <w:b/>
                            <w:sz w:val="18"/>
                            <w:szCs w:val="18"/>
                          </w:rPr>
                        </w:pPr>
                        <w:r>
                          <w:rPr>
                            <w:sz w:val="18"/>
                            <w:szCs w:val="18"/>
                          </w:rPr>
                          <w:t>─</w:t>
                        </w:r>
                      </w:p>
                    </w:tc>
                    <w:tc>
                      <w:tcPr>
                        <w:tcW w:w="993" w:type="dxa"/>
                        <w:vAlign w:val="center"/>
                      </w:tcPr>
                      <w:p>
                        <w:pPr>
                          <w:jc w:val="center"/>
                          <w:rPr>
                            <w:sz w:val="18"/>
                            <w:szCs w:val="18"/>
                          </w:rPr>
                        </w:pPr>
                        <w:r>
                          <w:rPr>
                            <w:sz w:val="18"/>
                            <w:szCs w:val="18"/>
                          </w:rPr>
                          <w:t>30</w:t>
                        </w:r>
                      </w:p>
                    </w:tc>
                    <w:tc>
                      <w:tcPr>
                        <w:tcW w:w="992" w:type="dxa"/>
                        <w:gridSpan w:val="2"/>
                        <w:vAlign w:val="center"/>
                      </w:tcPr>
                      <w:p>
                        <w:pPr>
                          <w:jc w:val="center"/>
                          <w:rPr>
                            <w:sz w:val="18"/>
                            <w:szCs w:val="18"/>
                          </w:rPr>
                        </w:pPr>
                        <w:r>
                          <w:rPr>
                            <w:sz w:val="18"/>
                            <w:szCs w:val="18"/>
                          </w:rPr>
                          <w:t>27</w:t>
                        </w:r>
                      </w:p>
                    </w:tc>
                    <w:tc>
                      <w:tcPr>
                        <w:tcW w:w="2977" w:type="dxa"/>
                        <w:vAlign w:val="center"/>
                      </w:tcPr>
                      <w:p>
                        <w:pPr>
                          <w:rPr>
                            <w:sz w:val="18"/>
                            <w:szCs w:val="18"/>
                          </w:rPr>
                        </w:pPr>
                        <w:r>
                          <w:rPr>
                            <w:sz w:val="20"/>
                          </w:rPr>
                          <w:t>Neskirta lėšų patalpų pritaikymui. Pradėti pastato išorės renovacijos darbai. Priemonė iš dalies įgyvendinta.</w:t>
                        </w:r>
                      </w:p>
                    </w:tc>
                  </w:tr>
                  <w:tr>
                    <w:trPr>
                      <w:trHeight w:val="240"/>
                      <w:tblHeader/>
                    </w:trPr>
                    <w:tc>
                      <w:tcPr>
                        <w:tcW w:w="1986"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18"/>
                            <w:szCs w:val="18"/>
                          </w:rPr>
                        </w:pPr>
                        <w:r>
                          <w:rPr>
                            <w:b/>
                            <w:sz w:val="20"/>
                          </w:rPr>
                          <w:t>Plėtoti ilgalaikės socialinės globos paslaugas asmenims su psichine ir proto negalia</w:t>
                        </w:r>
                      </w:p>
                    </w:tc>
                    <w:tc>
                      <w:tcPr>
                        <w:tcW w:w="2836" w:type="dxa"/>
                        <w:vAlign w:val="center"/>
                      </w:tcPr>
                      <w:p>
                        <w:pPr>
                          <w:rPr>
                            <w:sz w:val="20"/>
                          </w:rPr>
                        </w:pPr>
                        <w:r>
                          <w:rPr>
                            <w:sz w:val="20"/>
                          </w:rPr>
                          <w:t xml:space="preserve">Ilgalaikės socialinės globos paslaugų teikimo asmenims su psichine ir proto negalia  galimybių paieška, paslaugų pirkimas (NVO, viešosios įstaigos, kiti subjektai)</w:t>
                        </w:r>
                      </w:p>
                    </w:tc>
                    <w:tc>
                      <w:tcPr>
                        <w:tcW w:w="2410" w:type="dxa"/>
                        <w:vAlign w:val="center"/>
                      </w:tcPr>
                      <w:p>
                        <w:pPr>
                          <w:tabs>
                            <w:tab w:val="left" w:pos="248"/>
                          </w:tabs>
                          <w:rPr>
                            <w:sz w:val="20"/>
                          </w:rPr>
                        </w:pPr>
                        <w:r>
                          <w:rPr>
                            <w:sz w:val="20"/>
                          </w:rPr>
                          <w:t>Socialinės paramos ir rūpybos skyrius,</w:t>
                        </w:r>
                      </w:p>
                      <w:p>
                        <w:pPr>
                          <w:rPr>
                            <w:sz w:val="20"/>
                          </w:rPr>
                        </w:pPr>
                        <w:r>
                          <w:rPr>
                            <w:sz w:val="20"/>
                          </w:rPr>
                          <w:t>Telšių rajono biudžetinės įstaigos, kiti subjektai</w:t>
                        </w:r>
                      </w:p>
                    </w:tc>
                    <w:tc>
                      <w:tcPr>
                        <w:tcW w:w="849" w:type="dxa"/>
                        <w:vAlign w:val="center"/>
                      </w:tcPr>
                      <w:p>
                        <w:pPr>
                          <w:jc w:val="center"/>
                          <w:rPr>
                            <w:sz w:val="18"/>
                            <w:szCs w:val="18"/>
                          </w:rPr>
                        </w:pPr>
                        <w:r>
                          <w:rPr>
                            <w:sz w:val="18"/>
                            <w:szCs w:val="18"/>
                          </w:rPr>
                          <w:t>373,2</w:t>
                        </w:r>
                      </w:p>
                    </w:tc>
                    <w:tc>
                      <w:tcPr>
                        <w:tcW w:w="850" w:type="dxa"/>
                        <w:vAlign w:val="center"/>
                      </w:tcPr>
                      <w:p>
                        <w:pPr>
                          <w:jc w:val="center"/>
                          <w:rPr>
                            <w:sz w:val="18"/>
                            <w:szCs w:val="18"/>
                          </w:rPr>
                        </w:pPr>
                        <w:r>
                          <w:rPr>
                            <w:sz w:val="18"/>
                            <w:szCs w:val="18"/>
                          </w:rPr>
                          <w:t>130,16</w:t>
                        </w:r>
                      </w:p>
                    </w:tc>
                    <w:tc>
                      <w:tcPr>
                        <w:tcW w:w="851" w:type="dxa"/>
                        <w:vAlign w:val="center"/>
                      </w:tcPr>
                      <w:p>
                        <w:pPr>
                          <w:ind w:right="-249"/>
                          <w:jc w:val="center"/>
                          <w:rPr>
                            <w:sz w:val="18"/>
                            <w:szCs w:val="18"/>
                          </w:rPr>
                        </w:pPr>
                        <w:r>
                          <w:rPr>
                            <w:sz w:val="18"/>
                            <w:szCs w:val="18"/>
                          </w:rPr>
                          <w:t>373,3</w:t>
                        </w:r>
                      </w:p>
                    </w:tc>
                    <w:tc>
                      <w:tcPr>
                        <w:tcW w:w="850" w:type="dxa"/>
                        <w:vAlign w:val="center"/>
                      </w:tcPr>
                      <w:p>
                        <w:pPr>
                          <w:jc w:val="center"/>
                          <w:rPr>
                            <w:sz w:val="18"/>
                            <w:szCs w:val="18"/>
                          </w:rPr>
                        </w:pPr>
                        <w:r>
                          <w:rPr>
                            <w:sz w:val="18"/>
                            <w:szCs w:val="18"/>
                          </w:rPr>
                          <w:t>124,7</w:t>
                        </w:r>
                      </w:p>
                    </w:tc>
                    <w:tc>
                      <w:tcPr>
                        <w:tcW w:w="993" w:type="dxa"/>
                        <w:vAlign w:val="center"/>
                      </w:tcPr>
                      <w:p>
                        <w:pPr>
                          <w:jc w:val="center"/>
                          <w:rPr>
                            <w:sz w:val="18"/>
                            <w:szCs w:val="18"/>
                          </w:rPr>
                        </w:pPr>
                        <w:r>
                          <w:rPr>
                            <w:sz w:val="18"/>
                            <w:szCs w:val="18"/>
                          </w:rPr>
                          <w:t>40</w:t>
                        </w:r>
                      </w:p>
                    </w:tc>
                    <w:tc>
                      <w:tcPr>
                        <w:tcW w:w="992" w:type="dxa"/>
                        <w:gridSpan w:val="2"/>
                        <w:vAlign w:val="center"/>
                      </w:tcPr>
                      <w:p>
                        <w:pPr>
                          <w:jc w:val="center"/>
                          <w:rPr>
                            <w:i/>
                            <w:sz w:val="18"/>
                            <w:szCs w:val="18"/>
                          </w:rPr>
                        </w:pPr>
                        <w:r>
                          <w:rPr>
                            <w:sz w:val="18"/>
                            <w:szCs w:val="18"/>
                          </w:rPr>
                          <w:t>41</w:t>
                        </w:r>
                      </w:p>
                    </w:tc>
                    <w:tc>
                      <w:tcPr>
                        <w:tcW w:w="2977" w:type="dxa"/>
                        <w:vAlign w:val="center"/>
                      </w:tcPr>
                      <w:p>
                        <w:pPr>
                          <w:rPr>
                            <w:sz w:val="18"/>
                            <w:szCs w:val="18"/>
                          </w:rPr>
                        </w:pPr>
                        <w:r>
                          <w:rPr>
                            <w:sz w:val="20"/>
                          </w:rPr>
                          <w:t>Paslaugos perkamos valstybiniuose socialinės globos namuose. Kiti paslaugų teikėjai neįtraukti. Priemonė iš dalies įgyvendinta.</w:t>
                        </w:r>
                      </w:p>
                    </w:tc>
                  </w:tr>
                  <w:tr>
                    <w:trPr>
                      <w:trHeight w:val="240"/>
                      <w:tblHeader/>
                    </w:trPr>
                    <w:tc>
                      <w:tcPr>
                        <w:tcW w:w="15594" w:type="dxa"/>
                        <w:gridSpan w:val="11"/>
                      </w:tcPr>
                      <w:p>
                        <w:pPr>
                          <w:rPr>
                            <w:sz w:val="18"/>
                            <w:szCs w:val="18"/>
                          </w:rPr>
                        </w:pPr>
                        <w:r>
                          <w:rPr>
                            <w:b/>
                            <w:sz w:val="20"/>
                          </w:rPr>
                          <w:t>2 tikslas. Plėtoti socialinių paslaugų teikimą senyvo amžiaus ir neįgaliems asmenims namuose, dienos centruose ir institucijose, vykdyti neįgaliųjų ir senyvo amžiaus asmenų integraciją į visuomenę</w:t>
                        </w:r>
                      </w:p>
                    </w:tc>
                  </w:tr>
                  <w:tr>
                    <w:trPr>
                      <w:trHeight w:val="240"/>
                      <w:tblHeader/>
                    </w:trPr>
                    <w:tc>
                      <w:tcPr>
                        <w:tcW w:w="1986" w:type="dxa"/>
                        <w:vMerge w:val="restart"/>
                        <w:vAlign w:val="center"/>
                      </w:tcPr>
                      <w:p>
                        <w:pPr>
                          <w:jc w:val="center"/>
                          <w:rPr>
                            <w:b/>
                            <w:sz w:val="20"/>
                          </w:rPr>
                        </w:pPr>
                        <w:r>
                          <w:rPr>
                            <w:b/>
                            <w:sz w:val="20"/>
                          </w:rPr>
                          <w:t>Plėtoti socialinių paslaugų teikimą asmens namuose</w:t>
                        </w:r>
                      </w:p>
                    </w:tc>
                    <w:tc>
                      <w:tcPr>
                        <w:tcW w:w="2836" w:type="dxa"/>
                        <w:vAlign w:val="center"/>
                      </w:tcPr>
                      <w:p>
                        <w:pPr>
                          <w:rPr>
                            <w:sz w:val="20"/>
                          </w:rPr>
                        </w:pPr>
                        <w:r>
                          <w:rPr>
                            <w:sz w:val="20"/>
                          </w:rPr>
                          <w:t>Užtikrinti kokybiškų socialinės priežiūros (pagalbos į namus) ir socialinės globos paslaugų teikimą ir vykdyti plėtrą Telšių mieste ir seniūnijose</w:t>
                        </w:r>
                      </w:p>
                    </w:tc>
                    <w:tc>
                      <w:tcPr>
                        <w:tcW w:w="2410" w:type="dxa"/>
                        <w:vMerge w:val="restart"/>
                        <w:vAlign w:val="center"/>
                      </w:tcPr>
                      <w:p>
                        <w:pPr>
                          <w:rPr>
                            <w:sz w:val="20"/>
                          </w:rPr>
                        </w:pPr>
                        <w:r>
                          <w:rPr>
                            <w:sz w:val="20"/>
                          </w:rPr>
                          <w:t>Socialinės paramos ir rūpybos skyrius, Telšių socialinių paslaugų centras</w:t>
                        </w:r>
                      </w:p>
                    </w:tc>
                    <w:tc>
                      <w:tcPr>
                        <w:tcW w:w="849"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993" w:type="dxa"/>
                        <w:vAlign w:val="center"/>
                      </w:tcPr>
                      <w:p>
                        <w:pPr>
                          <w:jc w:val="center"/>
                          <w:rPr>
                            <w:sz w:val="18"/>
                            <w:szCs w:val="18"/>
                          </w:rPr>
                        </w:pPr>
                        <w:r>
                          <w:rPr>
                            <w:sz w:val="18"/>
                            <w:szCs w:val="18"/>
                          </w:rPr>
                          <w:t>160</w:t>
                        </w:r>
                      </w:p>
                    </w:tc>
                    <w:tc>
                      <w:tcPr>
                        <w:tcW w:w="851" w:type="dxa"/>
                        <w:vAlign w:val="center"/>
                      </w:tcPr>
                      <w:p>
                        <w:pPr>
                          <w:jc w:val="center"/>
                          <w:rPr>
                            <w:b/>
                            <w:i/>
                            <w:color w:val="FF0000"/>
                            <w:sz w:val="18"/>
                            <w:szCs w:val="18"/>
                          </w:rPr>
                        </w:pPr>
                        <w:r>
                          <w:rPr>
                            <w:sz w:val="18"/>
                            <w:szCs w:val="18"/>
                          </w:rPr>
                          <w:t>221</w:t>
                        </w:r>
                      </w:p>
                    </w:tc>
                    <w:tc>
                      <w:tcPr>
                        <w:tcW w:w="3118" w:type="dxa"/>
                        <w:gridSpan w:val="2"/>
                        <w:vAlign w:val="center"/>
                      </w:tcPr>
                      <w:p>
                        <w:pPr>
                          <w:rPr>
                            <w:sz w:val="20"/>
                          </w:rPr>
                        </w:pPr>
                        <w:r>
                          <w:rPr>
                            <w:rFonts w:eastAsia="SimSun" w:cs="Mangal"/>
                            <w:kern w:val="1"/>
                            <w:sz w:val="20"/>
                            <w:lang w:eastAsia="hi-IN" w:bidi="hi-IN"/>
                          </w:rPr>
                          <w:t xml:space="preserve">Teikiamos pagalbos į namus paslaugos 221 senyvo amžiaus ir neįgaliems asmenims. Kitų subjektų dalyvavimas paslaugų teikime nevertintas. </w:t>
                        </w:r>
                        <w:r>
                          <w:rPr>
                            <w:sz w:val="20"/>
                          </w:rPr>
                          <w:t>Priemonė iš dalies įgyvendinta.</w:t>
                        </w:r>
                      </w:p>
                    </w:tc>
                  </w:tr>
                  <w:tr>
                    <w:trPr>
                      <w:trHeight w:val="1620"/>
                      <w:tblHeader/>
                    </w:trPr>
                    <w:tc>
                      <w:tcPr>
                        <w:tcW w:w="1986" w:type="dxa"/>
                        <w:vMerge/>
                        <w:vAlign w:val="center"/>
                      </w:tcPr>
                      <w:p>
                        <w:pPr>
                          <w:jc w:val="center"/>
                          <w:rPr>
                            <w:b/>
                            <w:sz w:val="20"/>
                          </w:rPr>
                        </w:pPr>
                      </w:p>
                    </w:tc>
                    <w:tc>
                      <w:tcPr>
                        <w:tcW w:w="2836" w:type="dxa"/>
                        <w:vAlign w:val="center"/>
                      </w:tcPr>
                      <w:p>
                        <w:pPr>
                          <w:rPr>
                            <w:sz w:val="20"/>
                          </w:rPr>
                        </w:pPr>
                        <w:r>
                          <w:rPr>
                            <w:sz w:val="20"/>
                          </w:rPr>
                          <w:t>Tęsti projektą „Integralios pagalbos plėtra Telšių rajone“</w:t>
                        </w:r>
                      </w:p>
                    </w:tc>
                    <w:tc>
                      <w:tcPr>
                        <w:tcW w:w="2410" w:type="dxa"/>
                        <w:vMerge/>
                        <w:vAlign w:val="center"/>
                      </w:tcPr>
                      <w:p>
                        <w:pPr>
                          <w:rPr>
                            <w:sz w:val="20"/>
                          </w:rPr>
                        </w:pPr>
                      </w:p>
                    </w:tc>
                    <w:tc>
                      <w:tcPr>
                        <w:tcW w:w="849" w:type="dxa"/>
                        <w:vAlign w:val="center"/>
                      </w:tcPr>
                      <w:p>
                        <w:pPr>
                          <w:jc w:val="center"/>
                          <w:rPr>
                            <w:sz w:val="18"/>
                            <w:szCs w:val="18"/>
                          </w:rPr>
                        </w:pPr>
                        <w:r>
                          <w:rPr>
                            <w:sz w:val="18"/>
                            <w:szCs w:val="18"/>
                          </w:rPr>
                          <w:t>218,95</w:t>
                        </w:r>
                      </w:p>
                      <w:p>
                        <w:pPr>
                          <w:jc w:val="center"/>
                          <w:rPr>
                            <w:sz w:val="18"/>
                            <w:szCs w:val="18"/>
                          </w:rPr>
                        </w:pPr>
                      </w:p>
                    </w:tc>
                    <w:tc>
                      <w:tcPr>
                        <w:tcW w:w="850" w:type="dxa"/>
                        <w:vAlign w:val="center"/>
                      </w:tcPr>
                      <w:p>
                        <w:pPr>
                          <w:jc w:val="center"/>
                          <w:rPr>
                            <w:sz w:val="18"/>
                            <w:szCs w:val="18"/>
                          </w:rPr>
                        </w:pPr>
                        <w:r>
                          <w:rPr>
                            <w:szCs w:val="24"/>
                          </w:rPr>
                          <w:t>–</w:t>
                        </w:r>
                      </w:p>
                      <w:p>
                        <w:pPr>
                          <w:jc w:val="center"/>
                          <w:rPr>
                            <w:sz w:val="18"/>
                            <w:szCs w:val="18"/>
                          </w:rPr>
                        </w:pPr>
                      </w:p>
                    </w:tc>
                    <w:tc>
                      <w:tcPr>
                        <w:tcW w:w="851" w:type="dxa"/>
                        <w:vAlign w:val="center"/>
                      </w:tcPr>
                      <w:p>
                        <w:pPr>
                          <w:ind w:right="-249"/>
                          <w:rPr>
                            <w:sz w:val="18"/>
                            <w:szCs w:val="18"/>
                          </w:rPr>
                        </w:pPr>
                        <w:r>
                          <w:rPr>
                            <w:sz w:val="18"/>
                            <w:szCs w:val="18"/>
                          </w:rPr>
                          <w:t>218,95</w:t>
                        </w:r>
                      </w:p>
                      <w:p>
                        <w:pPr>
                          <w:jc w:val="center"/>
                          <w:rPr>
                            <w:sz w:val="18"/>
                            <w:szCs w:val="18"/>
                          </w:rPr>
                        </w:pPr>
                      </w:p>
                    </w:tc>
                    <w:tc>
                      <w:tcPr>
                        <w:tcW w:w="850" w:type="dxa"/>
                        <w:vAlign w:val="center"/>
                      </w:tcPr>
                      <w:p>
                        <w:pPr>
                          <w:jc w:val="center"/>
                          <w:rPr>
                            <w:b/>
                            <w:sz w:val="18"/>
                            <w:szCs w:val="18"/>
                          </w:rPr>
                        </w:pPr>
                        <w:r>
                          <w:rPr>
                            <w:sz w:val="18"/>
                            <w:szCs w:val="18"/>
                          </w:rPr>
                          <w:t>20,0</w:t>
                        </w:r>
                      </w:p>
                      <w:p>
                        <w:pPr>
                          <w:jc w:val="center"/>
                          <w:rPr>
                            <w:b/>
                            <w:sz w:val="18"/>
                            <w:szCs w:val="18"/>
                          </w:rPr>
                        </w:pPr>
                      </w:p>
                    </w:tc>
                    <w:tc>
                      <w:tcPr>
                        <w:tcW w:w="993" w:type="dxa"/>
                        <w:vAlign w:val="center"/>
                      </w:tcPr>
                      <w:p>
                        <w:pPr>
                          <w:jc w:val="center"/>
                          <w:rPr>
                            <w:sz w:val="18"/>
                            <w:szCs w:val="18"/>
                          </w:rPr>
                        </w:pPr>
                        <w:r>
                          <w:rPr>
                            <w:sz w:val="18"/>
                            <w:szCs w:val="18"/>
                          </w:rPr>
                          <w:t>35</w:t>
                        </w:r>
                      </w:p>
                      <w:p>
                        <w:pPr>
                          <w:jc w:val="center"/>
                          <w:rPr>
                            <w:sz w:val="18"/>
                            <w:szCs w:val="18"/>
                          </w:rPr>
                        </w:pPr>
                      </w:p>
                    </w:tc>
                    <w:tc>
                      <w:tcPr>
                        <w:tcW w:w="851" w:type="dxa"/>
                        <w:vAlign w:val="center"/>
                      </w:tcPr>
                      <w:p>
                        <w:pPr>
                          <w:jc w:val="center"/>
                          <w:rPr>
                            <w:sz w:val="18"/>
                            <w:szCs w:val="18"/>
                          </w:rPr>
                        </w:pPr>
                        <w:r>
                          <w:rPr>
                            <w:sz w:val="18"/>
                            <w:szCs w:val="18"/>
                          </w:rPr>
                          <w:t>35</w:t>
                        </w:r>
                      </w:p>
                      <w:p>
                        <w:pPr>
                          <w:jc w:val="center"/>
                          <w:rPr>
                            <w:b/>
                            <w:i/>
                            <w:sz w:val="18"/>
                            <w:szCs w:val="18"/>
                          </w:rPr>
                        </w:pPr>
                      </w:p>
                    </w:tc>
                    <w:tc>
                      <w:tcPr>
                        <w:tcW w:w="3118" w:type="dxa"/>
                        <w:gridSpan w:val="2"/>
                        <w:vAlign w:val="center"/>
                      </w:tcPr>
                      <w:p>
                        <w:pPr>
                          <w:rPr>
                            <w:rFonts w:eastAsia="SimSun" w:cs="Mangal"/>
                            <w:kern w:val="1"/>
                            <w:sz w:val="20"/>
                            <w:lang w:eastAsia="hi-IN" w:bidi="hi-IN"/>
                          </w:rPr>
                        </w:pPr>
                        <w:r>
                          <w:rPr>
                            <w:rFonts w:eastAsia="SimSun" w:cs="Mangal"/>
                            <w:kern w:val="1"/>
                            <w:sz w:val="20"/>
                            <w:lang w:eastAsia="hi-IN" w:bidi="hi-IN"/>
                          </w:rPr>
                          <w:t xml:space="preserve">Telšių socialinių paslaugų centras  nuo 2016 06-01 toliau vykdo projektą „Integralios pagalbos plėtra Telšių rajone“ Nuo 2016-06-01 (7,9 darbuotojų etatuose yra įdarbinti 13 sveikatos priežiūros personalo darbuotojų), kurie išlaikomi iš ES lėšų.</w:t>
                        </w:r>
                      </w:p>
                    </w:tc>
                  </w:tr>
                  <w:tr>
                    <w:trPr>
                      <w:trHeight w:val="1150"/>
                      <w:tblHeader/>
                    </w:trPr>
                    <w:tc>
                      <w:tcPr>
                        <w:tcW w:w="1986"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0"/>
                          </w:rPr>
                        </w:pPr>
                        <w:r>
                          <w:rPr>
                            <w:b/>
                            <w:sz w:val="20"/>
                          </w:rPr>
                          <w:t>Plėtoti socialinių paslaugų teikimą dienos centruose</w:t>
                        </w:r>
                      </w:p>
                    </w:tc>
                    <w:tc>
                      <w:tcPr>
                        <w:tcW w:w="2836" w:type="dxa"/>
                        <w:vAlign w:val="center"/>
                      </w:tcPr>
                      <w:p>
                        <w:pPr>
                          <w:rPr>
                            <w:sz w:val="20"/>
                          </w:rPr>
                        </w:pPr>
                        <w:r>
                          <w:rPr>
                            <w:sz w:val="20"/>
                          </w:rPr>
                          <w:t>Įvertintos socialinių paslaugų teikimo galimybės pagal atliktą bendruomenių ir NVO apklausą</w:t>
                        </w:r>
                      </w:p>
                    </w:tc>
                    <w:tc>
                      <w:tcPr>
                        <w:tcW w:w="2410" w:type="dxa"/>
                        <w:vAlign w:val="center"/>
                      </w:tcPr>
                      <w:p>
                        <w:pPr>
                          <w:rPr>
                            <w:sz w:val="20"/>
                          </w:rPr>
                        </w:pPr>
                        <w:r>
                          <w:rPr>
                            <w:sz w:val="20"/>
                          </w:rPr>
                          <w:t>Socialinės paramos ir rūpybos skyrius</w:t>
                        </w:r>
                      </w:p>
                    </w:tc>
                    <w:tc>
                      <w:tcPr>
                        <w:tcW w:w="849" w:type="dxa"/>
                        <w:vAlign w:val="center"/>
                      </w:tcPr>
                      <w:p>
                        <w:pPr>
                          <w:jc w:val="center"/>
                          <w:rPr>
                            <w:sz w:val="18"/>
                            <w:szCs w:val="18"/>
                          </w:rPr>
                        </w:pPr>
                        <w:r>
                          <w:rPr>
                            <w:szCs w:val="24"/>
                          </w:rPr>
                          <w:t>–</w:t>
                        </w:r>
                      </w:p>
                    </w:tc>
                    <w:tc>
                      <w:tcPr>
                        <w:tcW w:w="850" w:type="dxa"/>
                        <w:vAlign w:val="center"/>
                      </w:tcPr>
                      <w:p>
                        <w:pPr>
                          <w:jc w:val="center"/>
                          <w:rPr>
                            <w:sz w:val="18"/>
                            <w:szCs w:val="18"/>
                          </w:rPr>
                        </w:pPr>
                        <w:r>
                          <w:rPr>
                            <w:szCs w:val="24"/>
                          </w:rPr>
                          <w:t>–</w:t>
                        </w:r>
                      </w:p>
                    </w:tc>
                    <w:tc>
                      <w:tcPr>
                        <w:tcW w:w="851"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993"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3118" w:type="dxa"/>
                        <w:gridSpan w:val="2"/>
                        <w:vAlign w:val="center"/>
                      </w:tcPr>
                      <w:p>
                        <w:pPr>
                          <w:rPr>
                            <w:sz w:val="20"/>
                          </w:rPr>
                        </w:pPr>
                        <w:r>
                          <w:rPr>
                            <w:sz w:val="20"/>
                          </w:rPr>
                          <w:t>Apklausa atlikta, socialinių paslaugų teikimo galimybės neįvertintos. Priemonė iš dalies įgyvendinta.</w:t>
                        </w:r>
                      </w:p>
                    </w:tc>
                  </w:tr>
                  <w:tr>
                    <w:trPr>
                      <w:trHeight w:val="240"/>
                      <w:tblHeader/>
                    </w:trPr>
                    <w:tc>
                      <w:tcPr>
                        <w:tcW w:w="1986"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b/>
                            <w:sz w:val="20"/>
                          </w:rPr>
                          <w:t>Vykdyti būsto pritaikymo asmens namuose ir viešojoje aplinkoje priemones</w:t>
                        </w:r>
                      </w:p>
                    </w:tc>
                    <w:tc>
                      <w:tcPr>
                        <w:tcW w:w="2836" w:type="dxa"/>
                        <w:vAlign w:val="center"/>
                      </w:tcPr>
                      <w:p>
                        <w:pPr>
                          <w:rPr>
                            <w:sz w:val="20"/>
                          </w:rPr>
                        </w:pPr>
                        <w:r>
                          <w:rPr>
                            <w:sz w:val="20"/>
                          </w:rPr>
                          <w:t xml:space="preserve">Vykdyti būsto ir aplinkos pritaikymo neįgaliesiems programą </w:t>
                        </w:r>
                      </w:p>
                    </w:tc>
                    <w:tc>
                      <w:tcPr>
                        <w:tcW w:w="2410" w:type="dxa"/>
                        <w:vAlign w:val="center"/>
                      </w:tcPr>
                      <w:p>
                        <w:pPr>
                          <w:rPr>
                            <w:sz w:val="20"/>
                          </w:rPr>
                        </w:pPr>
                        <w:r>
                          <w:rPr>
                            <w:sz w:val="20"/>
                          </w:rPr>
                          <w:t>Socialinės paramos ir rūpybos skyrius, Statybos ir urbanistikos skyrius</w:t>
                        </w:r>
                      </w:p>
                    </w:tc>
                    <w:tc>
                      <w:tcPr>
                        <w:tcW w:w="849" w:type="dxa"/>
                        <w:vAlign w:val="center"/>
                      </w:tcPr>
                      <w:p>
                        <w:pPr>
                          <w:jc w:val="center"/>
                          <w:rPr>
                            <w:sz w:val="18"/>
                            <w:szCs w:val="18"/>
                          </w:rPr>
                        </w:pPr>
                        <w:r>
                          <w:rPr>
                            <w:sz w:val="18"/>
                            <w:szCs w:val="18"/>
                          </w:rPr>
                          <w:t>36,614</w:t>
                        </w:r>
                      </w:p>
                    </w:tc>
                    <w:tc>
                      <w:tcPr>
                        <w:tcW w:w="850" w:type="dxa"/>
                        <w:vAlign w:val="center"/>
                      </w:tcPr>
                      <w:p>
                        <w:pPr>
                          <w:jc w:val="center"/>
                          <w:rPr>
                            <w:sz w:val="18"/>
                            <w:szCs w:val="18"/>
                          </w:rPr>
                        </w:pPr>
                        <w:r>
                          <w:rPr>
                            <w:sz w:val="18"/>
                            <w:szCs w:val="18"/>
                          </w:rPr>
                          <w:t>13,4</w:t>
                        </w:r>
                      </w:p>
                    </w:tc>
                    <w:tc>
                      <w:tcPr>
                        <w:tcW w:w="851" w:type="dxa"/>
                        <w:vAlign w:val="center"/>
                      </w:tcPr>
                      <w:p>
                        <w:pPr>
                          <w:ind w:right="-249"/>
                          <w:jc w:val="center"/>
                          <w:rPr>
                            <w:sz w:val="18"/>
                            <w:szCs w:val="18"/>
                          </w:rPr>
                        </w:pPr>
                        <w:r>
                          <w:rPr>
                            <w:sz w:val="18"/>
                            <w:szCs w:val="18"/>
                          </w:rPr>
                          <w:t>40,318</w:t>
                        </w:r>
                      </w:p>
                    </w:tc>
                    <w:tc>
                      <w:tcPr>
                        <w:tcW w:w="850" w:type="dxa"/>
                        <w:vAlign w:val="center"/>
                      </w:tcPr>
                      <w:p>
                        <w:pPr>
                          <w:jc w:val="center"/>
                          <w:rPr>
                            <w:sz w:val="18"/>
                            <w:szCs w:val="18"/>
                          </w:rPr>
                        </w:pPr>
                        <w:r>
                          <w:rPr>
                            <w:sz w:val="18"/>
                            <w:szCs w:val="18"/>
                          </w:rPr>
                          <w:t>27,4</w:t>
                        </w:r>
                      </w:p>
                    </w:tc>
                    <w:tc>
                      <w:tcPr>
                        <w:tcW w:w="993" w:type="dxa"/>
                        <w:vAlign w:val="center"/>
                      </w:tcPr>
                      <w:p>
                        <w:pPr>
                          <w:jc w:val="center"/>
                          <w:rPr>
                            <w:sz w:val="18"/>
                            <w:szCs w:val="18"/>
                          </w:rPr>
                        </w:pPr>
                        <w:r>
                          <w:rPr>
                            <w:sz w:val="18"/>
                            <w:szCs w:val="18"/>
                          </w:rPr>
                          <w:t>9</w:t>
                        </w:r>
                      </w:p>
                    </w:tc>
                    <w:tc>
                      <w:tcPr>
                        <w:tcW w:w="851" w:type="dxa"/>
                        <w:vAlign w:val="center"/>
                      </w:tcPr>
                      <w:p>
                        <w:pPr>
                          <w:jc w:val="center"/>
                          <w:rPr>
                            <w:sz w:val="18"/>
                            <w:szCs w:val="18"/>
                          </w:rPr>
                        </w:pPr>
                        <w:r>
                          <w:rPr>
                            <w:sz w:val="18"/>
                            <w:szCs w:val="18"/>
                          </w:rPr>
                          <w:t>11</w:t>
                        </w:r>
                      </w:p>
                    </w:tc>
                    <w:tc>
                      <w:tcPr>
                        <w:tcW w:w="3118" w:type="dxa"/>
                        <w:gridSpan w:val="2"/>
                      </w:tcPr>
                      <w:p>
                        <w:pPr>
                          <w:rPr>
                            <w:sz w:val="20"/>
                          </w:rPr>
                        </w:pPr>
                        <w:r>
                          <w:rPr>
                            <w:sz w:val="20"/>
                          </w:rPr>
                          <w:t>Pritaikyti būstai 11 neįgalių asmenų. Priemonė įgyvendinta.</w:t>
                        </w:r>
                      </w:p>
                    </w:tc>
                  </w:tr>
                  <w:tr>
                    <w:trPr>
                      <w:trHeight w:val="240"/>
                      <w:tblHeader/>
                    </w:trPr>
                    <w:tc>
                      <w:tcPr>
                        <w:tcW w:w="15594" w:type="dxa"/>
                        <w:gridSpan w:val="11"/>
                        <w:vAlign w:val="center"/>
                      </w:tcPr>
                      <w:p>
                        <w:pPr>
                          <w:rPr>
                            <w:b/>
                            <w:sz w:val="20"/>
                          </w:rPr>
                        </w:pPr>
                        <w:r>
                          <w:rPr>
                            <w:b/>
                            <w:sz w:val="20"/>
                          </w:rPr>
                          <w:t>3 tikslas. Aktyvinti darbą su socialinės rizikos asmenimis, šeimomis, jose augančiais vaikais</w:t>
                        </w:r>
                      </w:p>
                    </w:tc>
                  </w:tr>
                  <w:tr>
                    <w:trPr>
                      <w:trHeight w:val="240"/>
                      <w:tblHeader/>
                    </w:trPr>
                    <w:tc>
                      <w:tcPr>
                        <w:tcW w:w="1986" w:type="dxa"/>
                        <w:vMerge w:val="restart"/>
                        <w:vAlign w:val="center"/>
                      </w:tcPr>
                      <w:p>
                        <w:pPr>
                          <w:rPr>
                            <w:b/>
                            <w:sz w:val="20"/>
                          </w:rPr>
                        </w:pPr>
                        <w:r>
                          <w:rPr>
                            <w:b/>
                            <w:sz w:val="20"/>
                          </w:rPr>
                          <w:t>Stiprinti darbą su socialinės rizikos šeimomis</w:t>
                        </w:r>
                      </w:p>
                    </w:tc>
                    <w:tc>
                      <w:tcPr>
                        <w:tcW w:w="2836" w:type="dxa"/>
                        <w:vAlign w:val="center"/>
                      </w:tcPr>
                      <w:p>
                        <w:pPr>
                          <w:rPr>
                            <w:sz w:val="20"/>
                          </w:rPr>
                        </w:pPr>
                        <w:r>
                          <w:rPr>
                            <w:sz w:val="20"/>
                          </w:rPr>
                          <w:t>Ieškoti efektyvių darbo būdų, stiprinti tarpinstitucinį darbą</w:t>
                        </w:r>
                      </w:p>
                    </w:tc>
                    <w:tc>
                      <w:tcPr>
                        <w:tcW w:w="2410" w:type="dxa"/>
                        <w:vAlign w:val="center"/>
                      </w:tcPr>
                      <w:p>
                        <w:pPr>
                          <w:rPr>
                            <w:sz w:val="20"/>
                          </w:rPr>
                        </w:pPr>
                        <w:r>
                          <w:rPr>
                            <w:sz w:val="20"/>
                          </w:rPr>
                          <w:t>Socialinės paramos ir rūpybos skyrius, Vaiko teisių apsaugos skyrius, Švietimo, kultūros, sporto ir jaunimo reikalų skyrius, Telšių socialinių paslaugų centras, Telšių vaikų globos namai, NVO, kiti subjektai</w:t>
                        </w:r>
                      </w:p>
                    </w:tc>
                    <w:tc>
                      <w:tcPr>
                        <w:tcW w:w="849"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850" w:type="dxa"/>
                        <w:vAlign w:val="center"/>
                      </w:tcPr>
                      <w:p>
                        <w:pPr>
                          <w:jc w:val="center"/>
                          <w:rPr>
                            <w:b/>
                            <w:sz w:val="18"/>
                            <w:szCs w:val="18"/>
                          </w:rPr>
                        </w:pPr>
                        <w:r>
                          <w:rPr>
                            <w:szCs w:val="24"/>
                          </w:rPr>
                          <w:t>–</w:t>
                        </w:r>
                      </w:p>
                    </w:tc>
                    <w:tc>
                      <w:tcPr>
                        <w:tcW w:w="993"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3118" w:type="dxa"/>
                        <w:gridSpan w:val="2"/>
                      </w:tcPr>
                      <w:p>
                        <w:pPr>
                          <w:rPr>
                            <w:sz w:val="20"/>
                          </w:rPr>
                        </w:pPr>
                        <w:r>
                          <w:rPr>
                            <w:sz w:val="20"/>
                          </w:rPr>
                          <w:t xml:space="preserve">Organizuotos 3 komandinės išvykos į seniūnijas. Sumažintas Telšių vaikų globos namuose vietų skaičius nuo 60  iki 50 vietų.</w:t>
                        </w:r>
                      </w:p>
                      <w:p>
                        <w:pPr>
                          <w:rPr>
                            <w:sz w:val="20"/>
                          </w:rPr>
                        </w:pPr>
                        <w:r>
                          <w:rPr>
                            <w:sz w:val="20"/>
                          </w:rPr>
                          <w:t>Priemonė iš dalies įgyvendinta.</w:t>
                        </w:r>
                      </w:p>
                    </w:tc>
                  </w:tr>
                  <w:tr>
                    <w:trPr>
                      <w:trHeight w:val="240"/>
                      <w:tblHeader/>
                    </w:trPr>
                    <w:tc>
                      <w:tcPr>
                        <w:tcW w:w="1986" w:type="dxa"/>
                        <w:vMerge/>
                        <w:vAlign w:val="center"/>
                      </w:tcPr>
                      <w:p>
                        <w:pPr>
                          <w:jc w:val="center"/>
                          <w:rPr>
                            <w:b/>
                            <w:sz w:val="18"/>
                            <w:szCs w:val="18"/>
                          </w:rPr>
                        </w:pPr>
                      </w:p>
                    </w:tc>
                    <w:tc>
                      <w:tcPr>
                        <w:tcW w:w="2836" w:type="dxa"/>
                        <w:vAlign w:val="center"/>
                      </w:tcPr>
                      <w:p>
                        <w:pPr>
                          <w:rPr>
                            <w:sz w:val="20"/>
                          </w:rPr>
                        </w:pPr>
                        <w:r>
                          <w:rPr>
                            <w:sz w:val="20"/>
                          </w:rPr>
                          <w:t>Teikti socialines paslaugas socialinę riziką patyrusiems asmenims / šeimoms laikinuose šeimos namuose</w:t>
                        </w:r>
                      </w:p>
                    </w:tc>
                    <w:tc>
                      <w:tcPr>
                        <w:tcW w:w="2410" w:type="dxa"/>
                        <w:vAlign w:val="center"/>
                      </w:tcPr>
                      <w:p>
                        <w:pPr>
                          <w:rPr>
                            <w:sz w:val="20"/>
                          </w:rPr>
                        </w:pPr>
                        <w:r>
                          <w:rPr>
                            <w:sz w:val="20"/>
                          </w:rPr>
                          <w:t>Socialinės paramos ir rūpybos skyrius, Telšių vaikų globos namai</w:t>
                        </w:r>
                      </w:p>
                    </w:tc>
                    <w:tc>
                      <w:tcPr>
                        <w:tcW w:w="849"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850" w:type="dxa"/>
                        <w:vAlign w:val="center"/>
                      </w:tcPr>
                      <w:p>
                        <w:pPr>
                          <w:jc w:val="center"/>
                          <w:rPr>
                            <w:b/>
                            <w:sz w:val="18"/>
                            <w:szCs w:val="18"/>
                          </w:rPr>
                        </w:pPr>
                        <w:r>
                          <w:rPr>
                            <w:szCs w:val="24"/>
                          </w:rPr>
                          <w:t>–</w:t>
                        </w:r>
                      </w:p>
                    </w:tc>
                    <w:tc>
                      <w:tcPr>
                        <w:tcW w:w="993"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3118" w:type="dxa"/>
                        <w:gridSpan w:val="2"/>
                      </w:tcPr>
                      <w:p>
                        <w:pPr>
                          <w:rPr>
                            <w:sz w:val="20"/>
                          </w:rPr>
                        </w:pPr>
                        <w:r>
                          <w:rPr>
                            <w:sz w:val="20"/>
                          </w:rPr>
                          <w:t>Paslaugų plėtra neįvykdyta, nes neskirtos dar 2 šeimynų patalpos Telšių laikiniems šeimos namams. Priemonė neįgyvendinta.</w:t>
                        </w:r>
                      </w:p>
                    </w:tc>
                  </w:tr>
                  <w:tr>
                    <w:trPr>
                      <w:trHeight w:val="240"/>
                      <w:tblHeader/>
                    </w:trPr>
                    <w:tc>
                      <w:tcPr>
                        <w:tcW w:w="1986" w:type="dxa"/>
                        <w:vMerge w:val="restart"/>
                        <w:vAlign w:val="center"/>
                      </w:tcPr>
                      <w:p>
                        <w:pPr>
                          <w:rPr>
                            <w:b/>
                            <w:sz w:val="18"/>
                            <w:szCs w:val="18"/>
                          </w:rPr>
                        </w:pPr>
                        <w:r>
                          <w:rPr>
                            <w:b/>
                            <w:sz w:val="20"/>
                          </w:rPr>
                          <w:t>Mažinti Telšių vaikų globos namuose globojamų vaikų skaičių, siekiant kuo daugiau jų apgyvendinti šeimose</w:t>
                        </w:r>
                      </w:p>
                    </w:tc>
                    <w:tc>
                      <w:tcPr>
                        <w:tcW w:w="2836" w:type="dxa"/>
                        <w:vAlign w:val="center"/>
                      </w:tcPr>
                      <w:p>
                        <w:pPr>
                          <w:rPr>
                            <w:sz w:val="20"/>
                          </w:rPr>
                        </w:pPr>
                        <w:r>
                          <w:rPr>
                            <w:sz w:val="20"/>
                          </w:rPr>
                          <w:t>Mažinti vaikų globos namuose gyvenančių vaikų skaičius, siekiant apgyvendinti šeimose. Stiprinti darbą su globėjais / įtėviais</w:t>
                        </w:r>
                      </w:p>
                    </w:tc>
                    <w:tc>
                      <w:tcPr>
                        <w:tcW w:w="2410" w:type="dxa"/>
                        <w:vAlign w:val="center"/>
                      </w:tcPr>
                      <w:p>
                        <w:pPr>
                          <w:rPr>
                            <w:sz w:val="20"/>
                          </w:rPr>
                        </w:pPr>
                        <w:r>
                          <w:rPr>
                            <w:sz w:val="20"/>
                          </w:rPr>
                          <w:t>Socialinės paramos ir rūpybos skyrius, Vaiko teisių apsaugos skyrius, Telšių vaikų globos namai, Telšių socialinių paslaugų centras, Finansų skyrius</w:t>
                        </w:r>
                      </w:p>
                    </w:tc>
                    <w:tc>
                      <w:tcPr>
                        <w:tcW w:w="849" w:type="dxa"/>
                        <w:vAlign w:val="center"/>
                      </w:tcPr>
                      <w:p>
                        <w:pPr>
                          <w:jc w:val="center"/>
                          <w:rPr>
                            <w:sz w:val="18"/>
                            <w:szCs w:val="18"/>
                          </w:rPr>
                        </w:pPr>
                        <w:r>
                          <w:rPr>
                            <w:szCs w:val="24"/>
                          </w:rPr>
                          <w:t>–</w:t>
                        </w:r>
                      </w:p>
                    </w:tc>
                    <w:tc>
                      <w:tcPr>
                        <w:tcW w:w="850" w:type="dxa"/>
                        <w:vAlign w:val="center"/>
                      </w:tcPr>
                      <w:p>
                        <w:pPr>
                          <w:jc w:val="center"/>
                          <w:rPr>
                            <w:sz w:val="18"/>
                            <w:szCs w:val="18"/>
                          </w:rPr>
                        </w:pPr>
                        <w:r>
                          <w:rPr>
                            <w:sz w:val="18"/>
                            <w:szCs w:val="18"/>
                          </w:rPr>
                          <w:t>57,92</w:t>
                        </w:r>
                      </w:p>
                    </w:tc>
                    <w:tc>
                      <w:tcPr>
                        <w:tcW w:w="851" w:type="dxa"/>
                        <w:vAlign w:val="center"/>
                      </w:tcPr>
                      <w:p>
                        <w:pPr>
                          <w:ind w:right="-249"/>
                          <w:jc w:val="center"/>
                          <w:rPr>
                            <w:b/>
                            <w:sz w:val="18"/>
                            <w:szCs w:val="18"/>
                          </w:rPr>
                        </w:pPr>
                        <w:r>
                          <w:rPr>
                            <w:szCs w:val="24"/>
                          </w:rPr>
                          <w:t>–</w:t>
                        </w:r>
                      </w:p>
                    </w:tc>
                    <w:tc>
                      <w:tcPr>
                        <w:tcW w:w="850" w:type="dxa"/>
                        <w:vAlign w:val="center"/>
                      </w:tcPr>
                      <w:p>
                        <w:pPr>
                          <w:jc w:val="center"/>
                          <w:rPr>
                            <w:sz w:val="18"/>
                            <w:szCs w:val="18"/>
                          </w:rPr>
                        </w:pPr>
                        <w:r>
                          <w:rPr>
                            <w:sz w:val="18"/>
                            <w:szCs w:val="18"/>
                          </w:rPr>
                          <w:t>48,6</w:t>
                        </w:r>
                      </w:p>
                    </w:tc>
                    <w:tc>
                      <w:tcPr>
                        <w:tcW w:w="993"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3118" w:type="dxa"/>
                        <w:gridSpan w:val="2"/>
                        <w:vAlign w:val="center"/>
                      </w:tcPr>
                      <w:p>
                        <w:pPr>
                          <w:rPr>
                            <w:sz w:val="20"/>
                          </w:rPr>
                        </w:pPr>
                        <w:r>
                          <w:rPr>
                            <w:sz w:val="20"/>
                          </w:rPr>
                          <w:t>Parengta ir pradėta įgyvendinti paramos teikimo šeimoms, globojančioms be tėvų globos likusius vaikus, tvarka. Šeimose globojamų vaikų skaičius padidėjo iki 100, institucijoje globojamų vaikų sumažėjo vidutiniškai iki 50.</w:t>
                        </w:r>
                      </w:p>
                    </w:tc>
                  </w:tr>
                  <w:tr>
                    <w:trPr>
                      <w:trHeight w:val="240"/>
                      <w:tblHeader/>
                    </w:trPr>
                    <w:tc>
                      <w:tcPr>
                        <w:tcW w:w="1986" w:type="dxa"/>
                        <w:vMerge/>
                        <w:vAlign w:val="center"/>
                      </w:tcPr>
                      <w:p>
                        <w:pPr>
                          <w:rPr>
                            <w:b/>
                            <w:sz w:val="18"/>
                            <w:szCs w:val="18"/>
                          </w:rPr>
                        </w:pPr>
                      </w:p>
                    </w:tc>
                    <w:tc>
                      <w:tcPr>
                        <w:tcW w:w="2836" w:type="dxa"/>
                        <w:vAlign w:val="center"/>
                      </w:tcPr>
                      <w:p>
                        <w:pPr>
                          <w:rPr>
                            <w:sz w:val="20"/>
                          </w:rPr>
                        </w:pPr>
                        <w:r>
                          <w:rPr>
                            <w:sz w:val="20"/>
                          </w:rPr>
                          <w:t>Globėjų / įtėvių rengimo projekto vykdymas</w:t>
                        </w:r>
                      </w:p>
                    </w:tc>
                    <w:tc>
                      <w:tcPr>
                        <w:tcW w:w="2410" w:type="dxa"/>
                        <w:vAlign w:val="center"/>
                      </w:tcPr>
                      <w:p>
                        <w:pPr>
                          <w:rPr>
                            <w:sz w:val="20"/>
                          </w:rPr>
                        </w:pPr>
                        <w:r>
                          <w:rPr>
                            <w:sz w:val="20"/>
                          </w:rPr>
                          <w:t>„Soneima“</w:t>
                        </w:r>
                      </w:p>
                    </w:tc>
                    <w:tc>
                      <w:tcPr>
                        <w:tcW w:w="849" w:type="dxa"/>
                        <w:vAlign w:val="center"/>
                      </w:tcPr>
                      <w:p>
                        <w:pPr>
                          <w:jc w:val="center"/>
                          <w:rPr>
                            <w:sz w:val="18"/>
                            <w:szCs w:val="18"/>
                          </w:rPr>
                        </w:pPr>
                      </w:p>
                    </w:tc>
                    <w:tc>
                      <w:tcPr>
                        <w:tcW w:w="850" w:type="dxa"/>
                        <w:vAlign w:val="center"/>
                      </w:tcPr>
                      <w:p>
                        <w:pPr>
                          <w:jc w:val="center"/>
                          <w:rPr>
                            <w:sz w:val="18"/>
                            <w:szCs w:val="18"/>
                          </w:rPr>
                        </w:pPr>
                        <w:r>
                          <w:rPr>
                            <w:sz w:val="18"/>
                            <w:szCs w:val="18"/>
                          </w:rPr>
                          <w:t>19,0</w:t>
                        </w:r>
                      </w:p>
                    </w:tc>
                    <w:tc>
                      <w:tcPr>
                        <w:tcW w:w="851" w:type="dxa"/>
                        <w:vAlign w:val="center"/>
                      </w:tcPr>
                      <w:p>
                        <w:pPr>
                          <w:ind w:right="-249"/>
                          <w:jc w:val="center"/>
                          <w:rPr>
                            <w:sz w:val="18"/>
                            <w:szCs w:val="18"/>
                          </w:rPr>
                        </w:pPr>
                      </w:p>
                    </w:tc>
                    <w:tc>
                      <w:tcPr>
                        <w:tcW w:w="850" w:type="dxa"/>
                        <w:vAlign w:val="center"/>
                      </w:tcPr>
                      <w:p>
                        <w:pPr>
                          <w:jc w:val="center"/>
                          <w:rPr>
                            <w:sz w:val="18"/>
                            <w:szCs w:val="18"/>
                          </w:rPr>
                        </w:pPr>
                        <w:r>
                          <w:rPr>
                            <w:sz w:val="18"/>
                            <w:szCs w:val="18"/>
                          </w:rPr>
                          <w:t>19,0</w:t>
                        </w:r>
                      </w:p>
                    </w:tc>
                    <w:tc>
                      <w:tcPr>
                        <w:tcW w:w="993" w:type="dxa"/>
                        <w:vAlign w:val="center"/>
                      </w:tcPr>
                      <w:p>
                        <w:pPr>
                          <w:jc w:val="center"/>
                          <w:rPr>
                            <w:sz w:val="18"/>
                            <w:szCs w:val="18"/>
                          </w:rPr>
                        </w:pPr>
                        <w:r>
                          <w:rPr>
                            <w:szCs w:val="24"/>
                          </w:rPr>
                          <w:t>–</w:t>
                        </w:r>
                      </w:p>
                    </w:tc>
                    <w:tc>
                      <w:tcPr>
                        <w:tcW w:w="851" w:type="dxa"/>
                        <w:vAlign w:val="center"/>
                      </w:tcPr>
                      <w:p>
                        <w:pPr>
                          <w:jc w:val="center"/>
                          <w:rPr>
                            <w:sz w:val="18"/>
                            <w:szCs w:val="18"/>
                          </w:rPr>
                        </w:pPr>
                        <w:r>
                          <w:rPr>
                            <w:sz w:val="18"/>
                            <w:szCs w:val="18"/>
                          </w:rPr>
                          <w:t>16</w:t>
                        </w:r>
                      </w:p>
                    </w:tc>
                    <w:tc>
                      <w:tcPr>
                        <w:tcW w:w="3118" w:type="dxa"/>
                        <w:gridSpan w:val="2"/>
                        <w:vAlign w:val="center"/>
                      </w:tcPr>
                      <w:p>
                        <w:pPr>
                          <w:rPr>
                            <w:sz w:val="20"/>
                          </w:rPr>
                        </w:pPr>
                        <w:r>
                          <w:rPr>
                            <w:sz w:val="20"/>
                          </w:rPr>
                          <w:t>Į šeimas paimta globoti 11 vaikų, 2 vaikai įvaikinti. Parengta 16 globėjų (rūpintojų), iš jų 3 įtėvių šeimos. Priemonė įgyvendinta.</w:t>
                        </w:r>
                      </w:p>
                    </w:tc>
                  </w:tr>
                  <w:tr>
                    <w:trPr>
                      <w:trHeight w:val="240"/>
                      <w:tblHeader/>
                    </w:trPr>
                    <w:tc>
                      <w:tcPr>
                        <w:tcW w:w="1986" w:type="dxa"/>
                        <w:vMerge w:val="restart"/>
                        <w:vAlign w:val="center"/>
                      </w:tcPr>
                      <w:p>
                        <w:pPr>
                          <w:rPr>
                            <w:b/>
                            <w:sz w:val="18"/>
                            <w:szCs w:val="18"/>
                          </w:rPr>
                        </w:pPr>
                        <w:r>
                          <w:rPr>
                            <w:b/>
                            <w:sz w:val="20"/>
                          </w:rPr>
                          <w:t>Vykdyti aktyvesnį socialinį darbą su socialinės rizikos suaugusiais asmenimis ir šeimomis, kuriose nėra vaikų</w:t>
                        </w:r>
                      </w:p>
                    </w:tc>
                    <w:tc>
                      <w:tcPr>
                        <w:tcW w:w="2836" w:type="dxa"/>
                        <w:vAlign w:val="center"/>
                      </w:tcPr>
                      <w:p>
                        <w:pPr>
                          <w:rPr>
                            <w:sz w:val="20"/>
                          </w:rPr>
                        </w:pPr>
                        <w:r>
                          <w:rPr>
                            <w:sz w:val="20"/>
                          </w:rPr>
                          <w:t>Parengti darbo su suaugusiais socialinės rizikos asmenimis programą</w:t>
                        </w:r>
                      </w:p>
                    </w:tc>
                    <w:tc>
                      <w:tcPr>
                        <w:tcW w:w="2410" w:type="dxa"/>
                        <w:vMerge w:val="restart"/>
                        <w:vAlign w:val="center"/>
                      </w:tcPr>
                      <w:p>
                        <w:pPr>
                          <w:rPr>
                            <w:sz w:val="20"/>
                          </w:rPr>
                        </w:pPr>
                        <w:r>
                          <w:rPr>
                            <w:sz w:val="20"/>
                          </w:rPr>
                          <w:t>Socialinės paramos ir rūpybos skyrius, Telšių socialinių paslaugų centras</w:t>
                        </w:r>
                      </w:p>
                    </w:tc>
                    <w:tc>
                      <w:tcPr>
                        <w:tcW w:w="849"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993"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3118" w:type="dxa"/>
                        <w:gridSpan w:val="2"/>
                        <w:vAlign w:val="center"/>
                      </w:tcPr>
                      <w:p>
                        <w:pPr>
                          <w:rPr>
                            <w:sz w:val="20"/>
                          </w:rPr>
                        </w:pPr>
                        <w:r>
                          <w:rPr>
                            <w:sz w:val="20"/>
                          </w:rPr>
                          <w:t>Programa parengta. Priemonė įgyvendinama.</w:t>
                        </w:r>
                      </w:p>
                    </w:tc>
                  </w:tr>
                  <w:tr>
                    <w:trPr>
                      <w:trHeight w:val="240"/>
                      <w:tblHeader/>
                    </w:trPr>
                    <w:tc>
                      <w:tcPr>
                        <w:tcW w:w="1986" w:type="dxa"/>
                        <w:vMerge/>
                        <w:vAlign w:val="center"/>
                      </w:tcPr>
                      <w:p>
                        <w:pPr>
                          <w:jc w:val="center"/>
                          <w:rPr>
                            <w:b/>
                            <w:sz w:val="18"/>
                            <w:szCs w:val="18"/>
                          </w:rPr>
                        </w:pPr>
                      </w:p>
                    </w:tc>
                    <w:tc>
                      <w:tcPr>
                        <w:tcW w:w="2836" w:type="dxa"/>
                        <w:vAlign w:val="center"/>
                      </w:tcPr>
                      <w:p>
                        <w:pPr>
                          <w:rPr>
                            <w:sz w:val="20"/>
                          </w:rPr>
                        </w:pPr>
                        <w:r>
                          <w:rPr>
                            <w:sz w:val="20"/>
                          </w:rPr>
                          <w:t>Teikti apgyvendinimo paslaugas Nakvynės namuose</w:t>
                        </w:r>
                      </w:p>
                    </w:tc>
                    <w:tc>
                      <w:tcPr>
                        <w:tcW w:w="2410" w:type="dxa"/>
                        <w:vMerge/>
                        <w:vAlign w:val="center"/>
                      </w:tcPr>
                      <w:p>
                        <w:pPr>
                          <w:rPr>
                            <w:sz w:val="20"/>
                          </w:rPr>
                        </w:pPr>
                      </w:p>
                    </w:tc>
                    <w:tc>
                      <w:tcPr>
                        <w:tcW w:w="849"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993" w:type="dxa"/>
                        <w:vAlign w:val="center"/>
                      </w:tcPr>
                      <w:p>
                        <w:pPr>
                          <w:jc w:val="center"/>
                          <w:rPr>
                            <w:sz w:val="18"/>
                            <w:szCs w:val="18"/>
                          </w:rPr>
                        </w:pPr>
                        <w:r>
                          <w:rPr>
                            <w:sz w:val="18"/>
                            <w:szCs w:val="18"/>
                          </w:rPr>
                          <w:t>40</w:t>
                        </w:r>
                      </w:p>
                    </w:tc>
                    <w:tc>
                      <w:tcPr>
                        <w:tcW w:w="851" w:type="dxa"/>
                        <w:vAlign w:val="center"/>
                      </w:tcPr>
                      <w:p>
                        <w:pPr>
                          <w:jc w:val="center"/>
                          <w:rPr>
                            <w:b/>
                            <w:i/>
                            <w:color w:val="FF0000"/>
                            <w:sz w:val="18"/>
                            <w:szCs w:val="18"/>
                          </w:rPr>
                        </w:pPr>
                        <w:r>
                          <w:rPr>
                            <w:sz w:val="18"/>
                            <w:szCs w:val="18"/>
                          </w:rPr>
                          <w:t>40</w:t>
                        </w:r>
                      </w:p>
                    </w:tc>
                    <w:tc>
                      <w:tcPr>
                        <w:tcW w:w="3118" w:type="dxa"/>
                        <w:gridSpan w:val="2"/>
                        <w:vAlign w:val="center"/>
                      </w:tcPr>
                      <w:p>
                        <w:pPr>
                          <w:rPr>
                            <w:sz w:val="20"/>
                          </w:rPr>
                        </w:pPr>
                        <w:r>
                          <w:rPr>
                            <w:sz w:val="20"/>
                          </w:rPr>
                          <w:t>Suteikta apgyvendinimo paslauga 31 asmeniui ir vienos nakties paslauga 36 asmenims. Priemonė įgyvendinta.</w:t>
                        </w:r>
                      </w:p>
                    </w:tc>
                  </w:tr>
                  <w:tr>
                    <w:trPr>
                      <w:trHeight w:val="240"/>
                      <w:tblHeader/>
                    </w:trPr>
                    <w:tc>
                      <w:tcPr>
                        <w:tcW w:w="15594" w:type="dxa"/>
                        <w:gridSpan w:val="11"/>
                        <w:vAlign w:val="center"/>
                      </w:tcPr>
                      <w:p>
                        <w:pPr>
                          <w:rPr>
                            <w:sz w:val="20"/>
                          </w:rPr>
                        </w:pPr>
                        <w:r>
                          <w:rPr>
                            <w:b/>
                            <w:sz w:val="20"/>
                          </w:rPr>
                          <w:t>4 tikslas. Gerinti socialinių paslaugų prieinamumą ir kokybę</w:t>
                        </w:r>
                      </w:p>
                    </w:tc>
                  </w:tr>
                  <w:tr>
                    <w:trPr>
                      <w:trHeight w:val="240"/>
                      <w:tblHeader/>
                    </w:trPr>
                    <w:tc>
                      <w:tcPr>
                        <w:tcW w:w="1986" w:type="dxa"/>
                        <w:vAlign w:val="center"/>
                      </w:tcPr>
                      <w:p>
                        <w:pPr>
                          <w:rPr>
                            <w:b/>
                            <w:sz w:val="20"/>
                          </w:rPr>
                        </w:pPr>
                        <w:r>
                          <w:rPr>
                            <w:b/>
                            <w:sz w:val="20"/>
                          </w:rPr>
                          <w:t>Didinti socialinių paslaugų aprėptį ir įvairovę</w:t>
                        </w:r>
                      </w:p>
                    </w:tc>
                    <w:tc>
                      <w:tcPr>
                        <w:tcW w:w="2836" w:type="dxa"/>
                        <w:vAlign w:val="center"/>
                      </w:tcPr>
                      <w:p>
                        <w:pPr>
                          <w:rPr>
                            <w:sz w:val="20"/>
                          </w:rPr>
                        </w:pPr>
                        <w:r>
                          <w:rPr>
                            <w:sz w:val="20"/>
                          </w:rPr>
                          <w:t>Informacijos viešinimas apie teikiamas socialines paslaugas.</w:t>
                        </w:r>
                      </w:p>
                    </w:tc>
                    <w:tc>
                      <w:tcPr>
                        <w:tcW w:w="2410" w:type="dxa"/>
                        <w:vAlign w:val="center"/>
                      </w:tcPr>
                      <w:p>
                        <w:pPr>
                          <w:rPr>
                            <w:sz w:val="20"/>
                          </w:rPr>
                        </w:pPr>
                        <w:r>
                          <w:rPr>
                            <w:sz w:val="20"/>
                          </w:rPr>
                          <w:t>Socialinės paramos ir rūpybos skyrius, socialinių paslaugų įstaigos, NVO.</w:t>
                        </w:r>
                      </w:p>
                    </w:tc>
                    <w:tc>
                      <w:tcPr>
                        <w:tcW w:w="849"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993" w:type="dxa"/>
                        <w:vAlign w:val="center"/>
                      </w:tcPr>
                      <w:p>
                        <w:pPr>
                          <w:jc w:val="center"/>
                          <w:rPr>
                            <w:sz w:val="18"/>
                            <w:szCs w:val="18"/>
                          </w:rPr>
                        </w:pPr>
                        <w:r>
                          <w:rPr>
                            <w:sz w:val="18"/>
                            <w:szCs w:val="18"/>
                          </w:rPr>
                          <w:t>10</w:t>
                        </w:r>
                      </w:p>
                    </w:tc>
                    <w:tc>
                      <w:tcPr>
                        <w:tcW w:w="851" w:type="dxa"/>
                        <w:vAlign w:val="center"/>
                      </w:tcPr>
                      <w:p>
                        <w:pPr>
                          <w:jc w:val="center"/>
                          <w:rPr>
                            <w:b/>
                            <w:i/>
                            <w:color w:val="FF0000"/>
                            <w:sz w:val="18"/>
                            <w:szCs w:val="18"/>
                          </w:rPr>
                        </w:pPr>
                        <w:r>
                          <w:rPr>
                            <w:sz w:val="18"/>
                            <w:szCs w:val="18"/>
                          </w:rPr>
                          <w:t>9</w:t>
                        </w:r>
                      </w:p>
                    </w:tc>
                    <w:tc>
                      <w:tcPr>
                        <w:tcW w:w="3118" w:type="dxa"/>
                        <w:gridSpan w:val="2"/>
                        <w:vAlign w:val="center"/>
                      </w:tcPr>
                      <w:p>
                        <w:pPr>
                          <w:rPr>
                            <w:sz w:val="20"/>
                          </w:rPr>
                        </w:pPr>
                        <w:r>
                          <w:rPr>
                            <w:sz w:val="20"/>
                          </w:rPr>
                          <w:t>Informacija teikta. Socialinių paslaugų įstaigose dirbantys darbuotojai dalyvavo atestacijoje. Priemonė iš dalies įgyvendinta.</w:t>
                        </w:r>
                      </w:p>
                    </w:tc>
                  </w:tr>
                  <w:tr>
                    <w:trPr>
                      <w:trHeight w:val="240"/>
                      <w:tblHeader/>
                    </w:trPr>
                    <w:tc>
                      <w:tcPr>
                        <w:tcW w:w="1986" w:type="dxa"/>
                        <w:vMerge w:val="restart"/>
                        <w:vAlign w:val="center"/>
                      </w:tcPr>
                      <w:p>
                        <w:pPr>
                          <w:rPr>
                            <w:b/>
                            <w:sz w:val="20"/>
                          </w:rPr>
                        </w:pPr>
                        <w:r>
                          <w:rPr>
                            <w:b/>
                            <w:sz w:val="20"/>
                          </w:rPr>
                          <w:t>Skatinti profesinių kompetencijų ugdymą bei didinti darbuotojų motyvaciją</w:t>
                        </w:r>
                      </w:p>
                    </w:tc>
                    <w:tc>
                      <w:tcPr>
                        <w:tcW w:w="2836" w:type="dxa"/>
                        <w:vAlign w:val="center"/>
                      </w:tcPr>
                      <w:p>
                        <w:pPr>
                          <w:rPr>
                            <w:sz w:val="20"/>
                          </w:rPr>
                        </w:pPr>
                        <w:r>
                          <w:rPr>
                            <w:sz w:val="20"/>
                          </w:rPr>
                          <w:t>Darbuotojų kvalifikacijos kėlimas ir kompetencijų stiprinimas.</w:t>
                        </w:r>
                      </w:p>
                    </w:tc>
                    <w:tc>
                      <w:tcPr>
                        <w:tcW w:w="2410" w:type="dxa"/>
                        <w:vMerge w:val="restart"/>
                        <w:vAlign w:val="center"/>
                      </w:tcPr>
                      <w:p>
                        <w:pPr>
                          <w:rPr>
                            <w:sz w:val="20"/>
                          </w:rPr>
                        </w:pPr>
                        <w:r>
                          <w:rPr>
                            <w:sz w:val="20"/>
                          </w:rPr>
                          <w:t>Socialinės paramos ir rūpybos skyrius, socialinių paslaugų vadovai</w:t>
                        </w:r>
                      </w:p>
                    </w:tc>
                    <w:tc>
                      <w:tcPr>
                        <w:tcW w:w="849"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993"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3118" w:type="dxa"/>
                        <w:gridSpan w:val="2"/>
                        <w:vAlign w:val="center"/>
                      </w:tcPr>
                      <w:p>
                        <w:pPr>
                          <w:rPr>
                            <w:sz w:val="20"/>
                          </w:rPr>
                        </w:pPr>
                        <w:r>
                          <w:rPr>
                            <w:sz w:val="20"/>
                          </w:rPr>
                          <w:t>Vieninga kvalifikacijos kėlimo programa neparengta. Priemonė neįgyvendinta.</w:t>
                        </w:r>
                      </w:p>
                    </w:tc>
                  </w:tr>
                  <w:tr>
                    <w:trPr>
                      <w:trHeight w:val="2393"/>
                      <w:tblHeader/>
                    </w:trPr>
                    <w:tc>
                      <w:tcPr>
                        <w:tcW w:w="1986" w:type="dxa"/>
                        <w:vMerge/>
                        <w:vAlign w:val="center"/>
                      </w:tcPr>
                      <w:p>
                        <w:pPr>
                          <w:jc w:val="center"/>
                          <w:rPr>
                            <w:b/>
                            <w:sz w:val="18"/>
                            <w:szCs w:val="18"/>
                          </w:rPr>
                        </w:pPr>
                      </w:p>
                    </w:tc>
                    <w:tc>
                      <w:tcPr>
                        <w:tcW w:w="2836" w:type="dxa"/>
                        <w:vAlign w:val="center"/>
                      </w:tcPr>
                      <w:p>
                        <w:pPr>
                          <w:rPr>
                            <w:sz w:val="20"/>
                          </w:rPr>
                        </w:pPr>
                        <w:r>
                          <w:rPr>
                            <w:sz w:val="20"/>
                          </w:rPr>
                          <w:t>Gerosios darbo patirties sklaida ir pažinimas</w:t>
                        </w:r>
                      </w:p>
                    </w:tc>
                    <w:tc>
                      <w:tcPr>
                        <w:tcW w:w="2410" w:type="dxa"/>
                        <w:vMerge/>
                        <w:vAlign w:val="center"/>
                      </w:tcPr>
                      <w:p>
                        <w:pPr>
                          <w:rPr>
                            <w:sz w:val="20"/>
                          </w:rPr>
                        </w:pPr>
                      </w:p>
                    </w:tc>
                    <w:tc>
                      <w:tcPr>
                        <w:tcW w:w="849"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850" w:type="dxa"/>
                        <w:vAlign w:val="center"/>
                      </w:tcPr>
                      <w:p>
                        <w:pPr>
                          <w:jc w:val="center"/>
                          <w:rPr>
                            <w:szCs w:val="24"/>
                          </w:rPr>
                        </w:pPr>
                        <w:r>
                          <w:rPr>
                            <w:szCs w:val="24"/>
                          </w:rPr>
                          <w:t>–</w:t>
                        </w:r>
                      </w:p>
                    </w:tc>
                    <w:tc>
                      <w:tcPr>
                        <w:tcW w:w="993" w:type="dxa"/>
                        <w:vAlign w:val="center"/>
                      </w:tcPr>
                      <w:p>
                        <w:pPr>
                          <w:jc w:val="center"/>
                          <w:rPr>
                            <w:szCs w:val="24"/>
                          </w:rPr>
                        </w:pPr>
                        <w:r>
                          <w:rPr>
                            <w:szCs w:val="24"/>
                          </w:rPr>
                          <w:t>–</w:t>
                        </w:r>
                      </w:p>
                    </w:tc>
                    <w:tc>
                      <w:tcPr>
                        <w:tcW w:w="851" w:type="dxa"/>
                        <w:vAlign w:val="center"/>
                      </w:tcPr>
                      <w:p>
                        <w:pPr>
                          <w:jc w:val="center"/>
                          <w:rPr>
                            <w:szCs w:val="24"/>
                          </w:rPr>
                        </w:pPr>
                        <w:r>
                          <w:rPr>
                            <w:szCs w:val="24"/>
                          </w:rPr>
                          <w:t>–</w:t>
                        </w:r>
                      </w:p>
                    </w:tc>
                    <w:tc>
                      <w:tcPr>
                        <w:tcW w:w="3118" w:type="dxa"/>
                        <w:gridSpan w:val="2"/>
                        <w:vAlign w:val="center"/>
                      </w:tcPr>
                      <w:p>
                        <w:pPr>
                          <w:rPr>
                            <w:b/>
                            <w:sz w:val="20"/>
                            <w:highlight w:val="yellow"/>
                          </w:rPr>
                        </w:pPr>
                        <w:r>
                          <w:rPr>
                            <w:sz w:val="20"/>
                          </w:rPr>
                          <w:t>Suorganizuoti mokymai ir kvalifikacijos kėlimo kursai. Suorganizuota išvyka į Vokietiją. Susipažinta su gerąja patirtimi Kazlų Rūdos ir Vilniaus miesto savivaldybėje (organizuota konferencija). Organizuoti pasitarimai su įstaigų vadovais, seniūnijų darbuotojais. Kvalifikacijos kėlimo programa neparengta. Priemonė iš dalies įgyvendinta.</w:t>
                        </w:r>
                      </w:p>
                    </w:tc>
                  </w:tr>
                  <w:tr>
                    <w:trPr>
                      <w:trHeight w:val="240"/>
                      <w:tblHeader/>
                    </w:trPr>
                    <w:tc>
                      <w:tcPr>
                        <w:tcW w:w="1986" w:type="dxa"/>
                        <w:vAlign w:val="center"/>
                      </w:tcPr>
                      <w:p>
                        <w:pPr>
                          <w:rPr>
                            <w:b/>
                            <w:sz w:val="18"/>
                            <w:szCs w:val="18"/>
                          </w:rPr>
                        </w:pPr>
                        <w:r>
                          <w:rPr>
                            <w:b/>
                            <w:sz w:val="20"/>
                          </w:rPr>
                          <w:t>Skatinti NVO vykdyti įvairesnę veiklą apjungiant kuo daugiau bendruomenės narių</w:t>
                        </w:r>
                      </w:p>
                    </w:tc>
                    <w:tc>
                      <w:tcPr>
                        <w:tcW w:w="2836" w:type="dxa"/>
                        <w:vAlign w:val="center"/>
                      </w:tcPr>
                      <w:p>
                        <w:pPr>
                          <w:rPr>
                            <w:sz w:val="20"/>
                          </w:rPr>
                        </w:pPr>
                        <w:r>
                          <w:rPr>
                            <w:sz w:val="20"/>
                          </w:rPr>
                          <w:t>Finansuoti socialinius projektus</w:t>
                        </w:r>
                      </w:p>
                    </w:tc>
                    <w:tc>
                      <w:tcPr>
                        <w:tcW w:w="2410" w:type="dxa"/>
                        <w:vAlign w:val="center"/>
                      </w:tcPr>
                      <w:p>
                        <w:pPr>
                          <w:rPr>
                            <w:sz w:val="20"/>
                          </w:rPr>
                        </w:pPr>
                        <w:r>
                          <w:rPr>
                            <w:sz w:val="20"/>
                          </w:rPr>
                          <w:t>Socialinės paramos ir rūpybos sk., socialines paslaugas teikiančios įstaigos, NVO</w:t>
                        </w:r>
                      </w:p>
                    </w:tc>
                    <w:tc>
                      <w:tcPr>
                        <w:tcW w:w="849" w:type="dxa"/>
                        <w:vAlign w:val="center"/>
                      </w:tcPr>
                      <w:p>
                        <w:pPr>
                          <w:jc w:val="center"/>
                          <w:rPr>
                            <w:sz w:val="18"/>
                            <w:szCs w:val="18"/>
                          </w:rPr>
                        </w:pPr>
                        <w:r>
                          <w:rPr>
                            <w:szCs w:val="24"/>
                          </w:rPr>
                          <w:t>–</w:t>
                        </w:r>
                      </w:p>
                    </w:tc>
                    <w:tc>
                      <w:tcPr>
                        <w:tcW w:w="850" w:type="dxa"/>
                        <w:vAlign w:val="center"/>
                      </w:tcPr>
                      <w:p>
                        <w:pPr>
                          <w:jc w:val="center"/>
                          <w:rPr>
                            <w:sz w:val="18"/>
                            <w:szCs w:val="18"/>
                          </w:rPr>
                        </w:pPr>
                        <w:r>
                          <w:rPr>
                            <w:sz w:val="18"/>
                            <w:szCs w:val="18"/>
                          </w:rPr>
                          <w:t>10,0</w:t>
                        </w:r>
                      </w:p>
                    </w:tc>
                    <w:tc>
                      <w:tcPr>
                        <w:tcW w:w="851" w:type="dxa"/>
                        <w:vAlign w:val="center"/>
                      </w:tcPr>
                      <w:p>
                        <w:pPr>
                          <w:ind w:right="-249"/>
                          <w:jc w:val="center"/>
                          <w:rPr>
                            <w:sz w:val="18"/>
                            <w:szCs w:val="18"/>
                          </w:rPr>
                        </w:pPr>
                        <w:r>
                          <w:rPr>
                            <w:sz w:val="18"/>
                            <w:szCs w:val="18"/>
                          </w:rPr>
                          <w:t>–</w:t>
                        </w:r>
                      </w:p>
                    </w:tc>
                    <w:tc>
                      <w:tcPr>
                        <w:tcW w:w="850" w:type="dxa"/>
                        <w:vAlign w:val="center"/>
                      </w:tcPr>
                      <w:p>
                        <w:pPr>
                          <w:jc w:val="center"/>
                          <w:rPr>
                            <w:b/>
                            <w:sz w:val="18"/>
                            <w:szCs w:val="18"/>
                          </w:rPr>
                        </w:pPr>
                        <w:r>
                          <w:rPr>
                            <w:sz w:val="18"/>
                            <w:szCs w:val="18"/>
                          </w:rPr>
                          <w:t>22,0</w:t>
                        </w:r>
                      </w:p>
                    </w:tc>
                    <w:tc>
                      <w:tcPr>
                        <w:tcW w:w="993" w:type="dxa"/>
                        <w:vAlign w:val="center"/>
                      </w:tcPr>
                      <w:p>
                        <w:pPr>
                          <w:jc w:val="center"/>
                          <w:rPr>
                            <w:sz w:val="18"/>
                            <w:szCs w:val="18"/>
                          </w:rPr>
                        </w:pPr>
                        <w:r>
                          <w:rPr>
                            <w:sz w:val="18"/>
                            <w:szCs w:val="18"/>
                          </w:rPr>
                          <w:t>17</w:t>
                        </w:r>
                      </w:p>
                    </w:tc>
                    <w:tc>
                      <w:tcPr>
                        <w:tcW w:w="851" w:type="dxa"/>
                        <w:vAlign w:val="center"/>
                      </w:tcPr>
                      <w:p>
                        <w:pPr>
                          <w:jc w:val="center"/>
                          <w:rPr>
                            <w:b/>
                            <w:i/>
                            <w:color w:val="FF0000"/>
                            <w:sz w:val="18"/>
                            <w:szCs w:val="18"/>
                          </w:rPr>
                        </w:pPr>
                        <w:r>
                          <w:rPr>
                            <w:sz w:val="18"/>
                            <w:szCs w:val="18"/>
                          </w:rPr>
                          <w:t>19</w:t>
                        </w:r>
                      </w:p>
                    </w:tc>
                    <w:tc>
                      <w:tcPr>
                        <w:tcW w:w="3118" w:type="dxa"/>
                        <w:gridSpan w:val="2"/>
                        <w:vAlign w:val="center"/>
                      </w:tcPr>
                      <w:p>
                        <w:pPr>
                          <w:rPr>
                            <w:sz w:val="20"/>
                          </w:rPr>
                        </w:pPr>
                        <w:r>
                          <w:rPr>
                            <w:sz w:val="20"/>
                          </w:rPr>
                          <w:t>Priemonė įgyvendinta</w:t>
                        </w:r>
                      </w:p>
                    </w:tc>
                  </w:tr>
                </w:tbl>
                <w:p>
                  <w:pPr>
                    <w:rPr>
                      <w:szCs w:val="24"/>
                    </w:rPr>
                  </w:pPr>
                </w:p>
                <w:p>
                  <w:pPr>
                    <w:jc w:val="center"/>
                    <w:rPr>
                      <w:szCs w:val="24"/>
                    </w:rPr>
                  </w:pPr>
                  <w:r>
                    <w:rPr>
                      <w:szCs w:val="24"/>
                    </w:rPr>
                    <w:t>______________________________________</w:t>
                  </w: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sectPr>
                      <w:pgSz w:w="16838" w:h="11906" w:orient="landscape" w:code="9"/>
                      <w:pgMar w:top="1134" w:right="567" w:bottom="1134" w:left="1701" w:header="0" w:footer="567" w:gutter="0"/>
                      <w:pgNumType w:start="1"/>
                      <w:cols w:space="1296"/>
                      <w:formProt w:val="0"/>
                      <w:titlePg/>
                      <w:docGrid w:linePitch="326"/>
                    </w:sectPr>
                  </w:pPr>
                </w:p>
                <w:p>
                  <w:pPr>
                    <w:tabs>
                      <w:tab w:val="center" w:pos="4153"/>
                      <w:tab w:val="right" w:pos="8306"/>
                    </w:tabs>
                    <w:rPr>
                      <w:szCs w:val="24"/>
                      <w:lang w:val="en-GB"/>
                    </w:rPr>
                  </w:pPr>
                </w:p>
                <w:sdt>
                  <w:sdtPr>
                    <w:alias w:val="skirsnis"/>
                    <w:tag w:val="part_71046d7ad4c74dc089c0c868fc263ba6"/>
                    <w:lock w:val="sdtLocked"/>
                    <w:richText/>
                  </w:sdtPr>
                  <w:sdtContent>
                    <w:sdt>
                      <w:sdtPr>
                        <w:alias w:val="Pavadinimas"/>
                        <w:tag w:val="title_71046d7ad4c74dc089c0c868fc263ba6"/>
                        <w:lock w:val="sdtLocked"/>
                        <w:richText/>
                      </w:sdtPr>
                      <w:sdtContent>
                        <w:p>
                          <w:pPr>
                            <w:jc w:val="center"/>
                            <w:rPr>
                              <w:b/>
                              <w:szCs w:val="24"/>
                              <w:lang w:val="en-GB"/>
                            </w:rPr>
                          </w:pPr>
                          <w:r>
                            <w:rPr>
                              <w:b/>
                              <w:szCs w:val="24"/>
                              <w:lang w:val="en-GB"/>
                            </w:rPr>
                            <w:t>TELŠIŲ RAJONO SAVIVALDYBĖS TARYBOS SPRENDIMO</w:t>
                          </w:r>
                        </w:p>
                        <w:p>
                          <w:pPr>
                            <w:jc w:val="center"/>
                            <w:rPr>
                              <w:b/>
                              <w:szCs w:val="24"/>
                              <w:lang w:val="en-GB"/>
                            </w:rPr>
                          </w:pPr>
                          <w:r>
                            <w:rPr>
                              <w:b/>
                              <w:szCs w:val="24"/>
                              <w:lang w:val="en-GB"/>
                            </w:rPr>
                            <w:t>„DĖL TELŠIŲ RAJONO SAVIVALDYBĖS 2017 METŲ SOCIALINIO PLANO PATVIRTINIMO“ PROJEKTO</w:t>
                          </w:r>
                        </w:p>
                      </w:sdtContent>
                    </w:sdt>
                    <w:p>
                      <w:pPr>
                        <w:jc w:val="center"/>
                        <w:rPr>
                          <w:b/>
                          <w:szCs w:val="24"/>
                          <w:lang w:val="en-GB"/>
                        </w:rPr>
                      </w:pPr>
                    </w:p>
                  </w:sdtContent>
                </w:sdt>
                <w:sdt>
                  <w:sdtPr>
                    <w:alias w:val="skirsnis"/>
                    <w:tag w:val="part_c0490933fb744e1ebb6ba3ffeb8ea467"/>
                    <w:lock w:val="sdtLocked"/>
                    <w:richText/>
                  </w:sdtPr>
                  <w:sdtContent>
                    <w:p>
                      <w:pPr>
                        <w:keepNext/>
                        <w:jc w:val="center"/>
                        <w:rPr>
                          <w:b/>
                          <w:bCs/>
                          <w:kern w:val="32"/>
                          <w:szCs w:val="24"/>
                          <w:lang w:val="en-GB"/>
                        </w:rPr>
                      </w:pPr>
                      <w:sdt>
                        <w:sdtPr>
                          <w:alias w:val="Pavadinimas"/>
                          <w:tag w:val="title_c0490933fb744e1ebb6ba3ffeb8ea467"/>
                          <w:lock w:val="sdtLocked"/>
                          <w:richText/>
                        </w:sdtPr>
                        <w:sdtContent>
                          <w:r>
                            <w:rPr>
                              <w:b/>
                              <w:bCs/>
                              <w:kern w:val="32"/>
                              <w:szCs w:val="24"/>
                              <w:lang w:val="en-GB"/>
                            </w:rPr>
                            <w:t>AIŠKINAMASIS RAŠTAS</w:t>
                          </w:r>
                        </w:sdtContent>
                      </w:sdt>
                    </w:p>
                    <w:p>
                      <w:pPr>
                        <w:jc w:val="center"/>
                        <w:rPr>
                          <w:szCs w:val="24"/>
                          <w:lang w:val="en-GB"/>
                        </w:rPr>
                      </w:pPr>
                    </w:p>
                    <w:sdt>
                      <w:sdtPr>
                        <w:alias w:val="pr. 1 p."/>
                        <w:tag w:val="part_9924034cdabc4b118cbc5795dcc67d12"/>
                        <w:lock w:val="sdtLocked"/>
                        <w:richText/>
                      </w:sdtPr>
                      <w:sdtContent>
                        <w:p>
                          <w:pPr>
                            <w:ind w:left="567"/>
                            <w:rPr>
                              <w:b/>
                              <w:bCs/>
                              <w:szCs w:val="24"/>
                            </w:rPr>
                          </w:pPr>
                          <w:sdt>
                            <w:sdtPr>
                              <w:alias w:val="Numeris"/>
                              <w:tag w:val="nr_9924034cdabc4b118cbc5795dcc67d12"/>
                              <w:lock w:val="sdtLocked"/>
                              <w:richText/>
                            </w:sdtPr>
                            <w:sdtContent>
                              <w:r>
                                <w:rPr>
                                  <w:b/>
                                  <w:bCs/>
                                  <w:szCs w:val="24"/>
                                </w:rPr>
                                <w:t>1</w:t>
                              </w:r>
                            </w:sdtContent>
                          </w:sdt>
                          <w:r>
                            <w:rPr>
                              <w:b/>
                              <w:bCs/>
                              <w:szCs w:val="24"/>
                            </w:rPr>
                            <w:t>. SPRENDIMO INICIATORIUS</w:t>
                          </w:r>
                        </w:p>
                        <w:p>
                          <w:pPr>
                            <w:ind w:firstLine="744"/>
                            <w:jc w:val="both"/>
                            <w:rPr>
                              <w:szCs w:val="24"/>
                            </w:rPr>
                          </w:pPr>
                          <w:r>
                            <w:rPr>
                              <w:szCs w:val="24"/>
                            </w:rPr>
                            <w:t>Telšių rajono savivaldybės administracijos Socialinės paramos ir rūpybos skyrius.</w:t>
                          </w:r>
                        </w:p>
                        <w:p>
                          <w:pPr>
                            <w:rPr>
                              <w:szCs w:val="24"/>
                            </w:rPr>
                          </w:pPr>
                        </w:p>
                      </w:sdtContent>
                    </w:sdt>
                    <w:sdt>
                      <w:sdtPr>
                        <w:alias w:val="pr. 2 p."/>
                        <w:tag w:val="part_c6277a21eb0146d38c0a2bb50659c8c1"/>
                        <w:lock w:val="sdtLocked"/>
                        <w:richText/>
                      </w:sdtPr>
                      <w:sdtContent>
                        <w:p>
                          <w:pPr>
                            <w:ind w:left="567"/>
                            <w:rPr>
                              <w:b/>
                              <w:bCs/>
                              <w:szCs w:val="24"/>
                            </w:rPr>
                          </w:pPr>
                          <w:sdt>
                            <w:sdtPr>
                              <w:alias w:val="Numeris"/>
                              <w:tag w:val="nr_c6277a21eb0146d38c0a2bb50659c8c1"/>
                              <w:lock w:val="sdtLocked"/>
                              <w:richText/>
                            </w:sdtPr>
                            <w:sdtContent>
                              <w:r>
                                <w:rPr>
                                  <w:b/>
                                  <w:bCs/>
                                  <w:szCs w:val="24"/>
                                </w:rPr>
                                <w:t>2</w:t>
                              </w:r>
                            </w:sdtContent>
                          </w:sdt>
                          <w:r>
                            <w:rPr>
                              <w:b/>
                              <w:bCs/>
                              <w:szCs w:val="24"/>
                            </w:rPr>
                            <w:t>. RENGĖJAS</w:t>
                          </w:r>
                        </w:p>
                        <w:p>
                          <w:pPr>
                            <w:ind w:firstLine="744"/>
                            <w:jc w:val="both"/>
                            <w:rPr>
                              <w:szCs w:val="24"/>
                            </w:rPr>
                          </w:pPr>
                          <w:r>
                            <w:rPr>
                              <w:szCs w:val="24"/>
                            </w:rPr>
                            <w:t>Telšių rajono savivaldybės administracijos Socialinės paramos ir rūpybos skyrius.</w:t>
                          </w:r>
                        </w:p>
                        <w:p>
                          <w:pPr>
                            <w:rPr>
                              <w:szCs w:val="24"/>
                            </w:rPr>
                          </w:pPr>
                        </w:p>
                      </w:sdtContent>
                    </w:sdt>
                    <w:sdt>
                      <w:sdtPr>
                        <w:alias w:val="pr. 3 p."/>
                        <w:tag w:val="part_ae0f75458dc0416f999aab74e574d484"/>
                        <w:lock w:val="sdtLocked"/>
                        <w:richText/>
                      </w:sdtPr>
                      <w:sdtContent>
                        <w:p>
                          <w:pPr>
                            <w:ind w:firstLine="558"/>
                            <w:rPr>
                              <w:b/>
                              <w:bCs/>
                              <w:szCs w:val="24"/>
                            </w:rPr>
                          </w:pPr>
                          <w:sdt>
                            <w:sdtPr>
                              <w:alias w:val="Numeris"/>
                              <w:tag w:val="nr_ae0f75458dc0416f999aab74e574d484"/>
                              <w:lock w:val="sdtLocked"/>
                              <w:richText/>
                            </w:sdtPr>
                            <w:sdtContent>
                              <w:r>
                                <w:rPr>
                                  <w:b/>
                                  <w:bCs/>
                                  <w:szCs w:val="24"/>
                                </w:rPr>
                                <w:t>3</w:t>
                              </w:r>
                            </w:sdtContent>
                          </w:sdt>
                          <w:r>
                            <w:rPr>
                              <w:b/>
                              <w:bCs/>
                              <w:szCs w:val="24"/>
                            </w:rPr>
                            <w:t>. SPRENDIMO TIKSLAS IR UŽDAVINIAI</w:t>
                          </w:r>
                        </w:p>
                        <w:p>
                          <w:pPr>
                            <w:ind w:firstLine="720"/>
                            <w:jc w:val="both"/>
                            <w:rPr>
                              <w:szCs w:val="24"/>
                            </w:rPr>
                          </w:pPr>
                          <w:r>
                            <w:rPr>
                              <w:szCs w:val="24"/>
                            </w:rPr>
                            <w:t xml:space="preserve">Telšių rajono savivaldybės socialinių paslaugų planas parengtas vadovaujantis teisės aktais ir atsižvelgiant į Telšių rajono savivaldybės 2010-2020 m. strateginio plėtros plano III prioriteto ─ socialinės aplinkos ir palankios žmogaus sveikatai aplinkos kūrimas ─ 3.2 tikslą ─ kurti saugią socialinę aplinką, ir 3.2.1 uždavinį ─ plėtoti socialinių paslaugų tinklą ir gerinti viešųjų paslaugų teikimo kokybę. Socialinės paslaugos planuojamos vadovaujantis Telšių rajono savivaldybės 2017–2019 metų strateginio veiklos plano 07 programos  ─ Socialinės paramos įgyvendinimas, 2 tikslu ─ kurti rajone socialiai saugią aplinką bei organizuoti ir teikti socialines paslaugas įvairioms žmonių socialinėms grupėms. </w:t>
                          </w:r>
                        </w:p>
                        <w:p>
                          <w:pPr>
                            <w:ind w:firstLine="720"/>
                            <w:jc w:val="both"/>
                            <w:rPr>
                              <w:szCs w:val="24"/>
                            </w:rPr>
                          </w:pPr>
                          <w:r>
                            <w:rPr>
                              <w:szCs w:val="24"/>
                            </w:rPr>
                            <w:t xml:space="preserve">Telšių rajono socialinių paslaugų plane numatomos pagrindinės socialinių paslaugų plėtros ir efektyvių paslaugų teikimą užtikrinančios priemonės konkretiems uždaviniams įgyvendinti. </w:t>
                          </w:r>
                        </w:p>
                        <w:p>
                          <w:pPr>
                            <w:ind w:firstLine="720"/>
                            <w:jc w:val="both"/>
                            <w:rPr>
                              <w:szCs w:val="24"/>
                            </w:rPr>
                          </w:pPr>
                          <w:r>
                            <w:rPr>
                              <w:szCs w:val="24"/>
                            </w:rPr>
                            <w:t>Pagrindinis tikslas ─ skatinti į paslaugų teikimą įsijungti bendruomenes, nevyriausybines organizacijas ir privatų sektorių.</w:t>
                          </w:r>
                        </w:p>
                        <w:p>
                          <w:pPr>
                            <w:ind w:firstLine="720"/>
                            <w:jc w:val="both"/>
                            <w:rPr>
                              <w:szCs w:val="24"/>
                            </w:rPr>
                          </w:pPr>
                          <w:r>
                            <w:rPr>
                              <w:szCs w:val="24"/>
                            </w:rPr>
                            <w:t>Telšių rajone vienai iš socialinių paslaugų gavėjų grupei, tai asmenims su proto ir psichikos negalia, yra teikiama mažiausiai paslaugų.</w:t>
                          </w:r>
                        </w:p>
                        <w:p>
                          <w:pPr>
                            <w:tabs>
                              <w:tab w:val="left" w:pos="900"/>
                            </w:tabs>
                            <w:jc w:val="both"/>
                            <w:rPr>
                              <w:szCs w:val="24"/>
                            </w:rPr>
                          </w:pPr>
                        </w:p>
                      </w:sdtContent>
                    </w:sdt>
                    <w:sdt>
                      <w:sdtPr>
                        <w:alias w:val="pr. 4 p."/>
                        <w:tag w:val="part_754f04f2f027476eae2919d34670e7be"/>
                        <w:lock w:val="sdtLocked"/>
                        <w:richText/>
                      </w:sdtPr>
                      <w:sdtContent>
                        <w:p>
                          <w:pPr>
                            <w:ind w:firstLine="558"/>
                            <w:rPr>
                              <w:b/>
                              <w:bCs/>
                              <w:szCs w:val="24"/>
                            </w:rPr>
                          </w:pPr>
                          <w:sdt>
                            <w:sdtPr>
                              <w:alias w:val="Numeris"/>
                              <w:tag w:val="nr_754f04f2f027476eae2919d34670e7be"/>
                              <w:lock w:val="sdtLocked"/>
                              <w:richText/>
                            </w:sdtPr>
                            <w:sdtContent>
                              <w:r>
                                <w:rPr>
                                  <w:b/>
                                  <w:bCs/>
                                  <w:szCs w:val="24"/>
                                </w:rPr>
                                <w:t>4</w:t>
                              </w:r>
                            </w:sdtContent>
                          </w:sdt>
                          <w:r>
                            <w:rPr>
                              <w:b/>
                              <w:bCs/>
                              <w:szCs w:val="24"/>
                            </w:rPr>
                            <w:t>. SPRENDIMO NEIGIAMOS PASEKMĖS</w:t>
                          </w:r>
                        </w:p>
                        <w:p>
                          <w:pPr>
                            <w:ind w:firstLine="720"/>
                            <w:rPr>
                              <w:szCs w:val="24"/>
                            </w:rPr>
                          </w:pPr>
                          <w:r>
                            <w:rPr>
                              <w:szCs w:val="24"/>
                            </w:rPr>
                            <w:t>Nėra.</w:t>
                          </w:r>
                        </w:p>
                      </w:sdtContent>
                    </w:sdt>
                    <w:sdt>
                      <w:sdtPr>
                        <w:alias w:val="pr. 5 p."/>
                        <w:tag w:val="part_4b58366d22ff4304b66f5280adc77d87"/>
                        <w:lock w:val="sdtLocked"/>
                        <w:richText/>
                      </w:sdtPr>
                      <w:sdtContent>
                        <w:p>
                          <w:pPr>
                            <w:ind w:firstLine="558"/>
                            <w:jc w:val="both"/>
                            <w:rPr>
                              <w:szCs w:val="24"/>
                            </w:rPr>
                          </w:pPr>
                          <w:sdt>
                            <w:sdtPr>
                              <w:alias w:val="Numeris"/>
                              <w:tag w:val="nr_4b58366d22ff4304b66f5280adc77d87"/>
                              <w:lock w:val="sdtLocked"/>
                              <w:richText/>
                            </w:sdtPr>
                            <w:sdtContent>
                              <w:r>
                                <w:rPr>
                                  <w:b/>
                                  <w:bCs/>
                                  <w:szCs w:val="24"/>
                                </w:rPr>
                                <w:t>5</w:t>
                              </w:r>
                            </w:sdtContent>
                          </w:sdt>
                          <w:r>
                            <w:rPr>
                              <w:b/>
                              <w:bCs/>
                              <w:szCs w:val="24"/>
                            </w:rPr>
                            <w:t>. KOKIUS GALIOJANČIUS AKTUS (tarybos, mero, administracijos direktoriaus) REIKĖTŲ PAKEISTI AR PANAIKINTI, PRIĖMUS SPRENDIMĄ PAGAL TEIKIAMĄ PROJEKTĄ</w:t>
                          </w:r>
                          <w:r>
                            <w:rPr>
                              <w:szCs w:val="24"/>
                            </w:rPr>
                            <w:t>.</w:t>
                          </w:r>
                        </w:p>
                        <w:p>
                          <w:pPr>
                            <w:ind w:firstLine="720"/>
                            <w:rPr>
                              <w:szCs w:val="24"/>
                            </w:rPr>
                          </w:pPr>
                          <w:r>
                            <w:rPr>
                              <w:szCs w:val="24"/>
                            </w:rPr>
                            <w:t>Nėra.</w:t>
                          </w:r>
                        </w:p>
                        <w:p>
                          <w:pPr>
                            <w:rPr>
                              <w:szCs w:val="24"/>
                            </w:rPr>
                          </w:pPr>
                        </w:p>
                      </w:sdtContent>
                    </w:sdt>
                    <w:sdt>
                      <w:sdtPr>
                        <w:alias w:val="pr. 6 p."/>
                        <w:tag w:val="part_e1a02b0a515049e3a18c8608a2a9ff75"/>
                        <w:lock w:val="sdtLocked"/>
                        <w:richText/>
                      </w:sdtPr>
                      <w:sdtContent>
                        <w:p>
                          <w:pPr>
                            <w:ind w:firstLine="558"/>
                            <w:rPr>
                              <w:b/>
                              <w:bCs/>
                              <w:szCs w:val="24"/>
                            </w:rPr>
                          </w:pPr>
                          <w:sdt>
                            <w:sdtPr>
                              <w:alias w:val="Numeris"/>
                              <w:tag w:val="nr_e1a02b0a515049e3a18c8608a2a9ff75"/>
                              <w:lock w:val="sdtLocked"/>
                              <w:richText/>
                            </w:sdtPr>
                            <w:sdtContent>
                              <w:r>
                                <w:rPr>
                                  <w:b/>
                                  <w:bCs/>
                                  <w:szCs w:val="24"/>
                                </w:rPr>
                                <w:t>6</w:t>
                              </w:r>
                            </w:sdtContent>
                          </w:sdt>
                          <w:r>
                            <w:rPr>
                              <w:b/>
                              <w:bCs/>
                              <w:szCs w:val="24"/>
                            </w:rPr>
                            <w:t>. BIUDŽETO LĖŠŲ POREIKIS</w:t>
                          </w:r>
                        </w:p>
                        <w:p>
                          <w:pPr>
                            <w:ind w:firstLine="720"/>
                            <w:rPr>
                              <w:szCs w:val="24"/>
                            </w:rPr>
                          </w:pPr>
                          <w:r>
                            <w:rPr>
                              <w:szCs w:val="24"/>
                            </w:rPr>
                            <w:t>Socialiniame paslaugų plane numatytų priemonių įgyvendinimui planuojamos lėšos numatytos Telšių rajono savivaldybės 2017 m. biudžete.</w:t>
                          </w:r>
                        </w:p>
                        <w:p>
                          <w:pPr>
                            <w:rPr>
                              <w:szCs w:val="24"/>
                            </w:rPr>
                          </w:pPr>
                        </w:p>
                      </w:sdtContent>
                    </w:sdt>
                    <w:sdt>
                      <w:sdtPr>
                        <w:alias w:val="pr. 7 p."/>
                        <w:tag w:val="part_a62bd019f7f747d2a945bbfa0267fbaa"/>
                        <w:lock w:val="sdtLocked"/>
                        <w:richText/>
                      </w:sdtPr>
                      <w:sdtContent>
                        <w:p>
                          <w:pPr>
                            <w:ind w:firstLine="558"/>
                            <w:rPr>
                              <w:b/>
                              <w:bCs/>
                              <w:szCs w:val="24"/>
                            </w:rPr>
                          </w:pPr>
                          <w:sdt>
                            <w:sdtPr>
                              <w:alias w:val="Numeris"/>
                              <w:tag w:val="nr_a62bd019f7f747d2a945bbfa0267fbaa"/>
                              <w:lock w:val="sdtLocked"/>
                              <w:richText/>
                            </w:sdtPr>
                            <w:sdtContent>
                              <w:r>
                                <w:rPr>
                                  <w:b/>
                                  <w:bCs/>
                                  <w:szCs w:val="24"/>
                                </w:rPr>
                                <w:t>7</w:t>
                              </w:r>
                            </w:sdtContent>
                          </w:sdt>
                          <w:r>
                            <w:rPr>
                              <w:b/>
                              <w:bCs/>
                              <w:szCs w:val="24"/>
                            </w:rPr>
                            <w:t>. PRIE SPRENDIMO PRIDEDAMA</w:t>
                          </w:r>
                        </w:p>
                        <w:p>
                          <w:pPr>
                            <w:tabs>
                              <w:tab w:val="left" w:pos="900"/>
                            </w:tabs>
                            <w:ind w:firstLine="900"/>
                            <w:rPr>
                              <w:szCs w:val="24"/>
                            </w:rPr>
                          </w:pPr>
                          <w:r>
                            <w:rPr>
                              <w:szCs w:val="24"/>
                            </w:rPr>
                            <w:t>Nėra.</w:t>
                          </w:r>
                        </w:p>
                        <w:p>
                          <w:pPr>
                            <w:tabs>
                              <w:tab w:val="left" w:pos="900"/>
                            </w:tabs>
                            <w:rPr>
                              <w:szCs w:val="24"/>
                            </w:rPr>
                          </w:pPr>
                        </w:p>
                      </w:sdtContent>
                    </w:sdt>
                    <w:sdt>
                      <w:sdtPr>
                        <w:alias w:val="pr. 8 p."/>
                        <w:tag w:val="part_b014be0862d54f79a7a22fa10c25c75a"/>
                        <w:lock w:val="sdtLocked"/>
                        <w:richText/>
                      </w:sdtPr>
                      <w:sdtContent>
                        <w:p>
                          <w:pPr>
                            <w:ind w:firstLine="558"/>
                            <w:rPr>
                              <w:szCs w:val="24"/>
                            </w:rPr>
                          </w:pPr>
                          <w:sdt>
                            <w:sdtPr>
                              <w:alias w:val="Numeris"/>
                              <w:tag w:val="nr_b014be0862d54f79a7a22fa10c25c75a"/>
                              <w:lock w:val="sdtLocked"/>
                              <w:richText/>
                            </w:sdtPr>
                            <w:sdtContent>
                              <w:r>
                                <w:rPr>
                                  <w:b/>
                                  <w:bCs/>
                                  <w:szCs w:val="24"/>
                                </w:rPr>
                                <w:t>8</w:t>
                              </w:r>
                            </w:sdtContent>
                          </w:sdt>
                          <w:r>
                            <w:rPr>
                              <w:b/>
                              <w:bCs/>
                              <w:szCs w:val="24"/>
                            </w:rPr>
                            <w:t>. SPRENDIMĄ ĮTEIKTI</w:t>
                          </w:r>
                          <w:r>
                            <w:rPr>
                              <w:szCs w:val="24"/>
                            </w:rPr>
                            <w:t>:</w:t>
                          </w:r>
                        </w:p>
                        <w:p>
                          <w:pPr>
                            <w:ind w:firstLine="720"/>
                            <w:jc w:val="both"/>
                            <w:rPr>
                              <w:szCs w:val="24"/>
                            </w:rPr>
                          </w:pPr>
                          <w:r>
                            <w:rPr>
                              <w:szCs w:val="24"/>
                            </w:rPr>
                            <w:t>Finansų skyriui, Socialinės paramos ir rūpybos skyriui.</w:t>
                          </w:r>
                        </w:p>
                        <w:p>
                          <w:pPr>
                            <w:rPr>
                              <w:szCs w:val="24"/>
                            </w:rPr>
                          </w:pPr>
                        </w:p>
                      </w:sdtContent>
                    </w:sdt>
                    <w:sdt>
                      <w:sdtPr>
                        <w:alias w:val="pr. 9 p."/>
                        <w:tag w:val="part_4c9a0f3314ce4e6aa982b69909d247b1"/>
                        <w:lock w:val="sdtLocked"/>
                        <w:richText/>
                      </w:sdtPr>
                      <w:sdtContent>
                        <w:p>
                          <w:pPr>
                            <w:ind w:firstLine="496"/>
                            <w:rPr>
                              <w:b/>
                              <w:bCs/>
                              <w:szCs w:val="24"/>
                            </w:rPr>
                          </w:pPr>
                          <w:sdt>
                            <w:sdtPr>
                              <w:alias w:val="Numeris"/>
                              <w:tag w:val="nr_4c9a0f3314ce4e6aa982b69909d247b1"/>
                              <w:lock w:val="sdtLocked"/>
                              <w:richText/>
                            </w:sdtPr>
                            <w:sdtContent>
                              <w:r>
                                <w:rPr>
                                  <w:b/>
                                  <w:bCs/>
                                  <w:szCs w:val="24"/>
                                </w:rPr>
                                <w:t>9</w:t>
                              </w:r>
                            </w:sdtContent>
                          </w:sdt>
                          <w:r>
                            <w:rPr>
                              <w:b/>
                              <w:bCs/>
                              <w:szCs w:val="24"/>
                            </w:rPr>
                            <w:t xml:space="preserve">. </w:t>
                          </w:r>
                          <w:r>
                            <w:rPr>
                              <w:b/>
                              <w:szCs w:val="24"/>
                            </w:rPr>
                            <w:t>SPRENDIMĄ SKELBTI TEISĖS AKTŲ REGISTRE</w:t>
                          </w:r>
                        </w:p>
                        <w:p>
                          <w:pPr>
                            <w:spacing w:line="480" w:lineRule="auto"/>
                            <w:ind w:left="283" w:firstLine="710"/>
                            <w:rPr>
                              <w:szCs w:val="24"/>
                            </w:rPr>
                          </w:pPr>
                          <w:r>
                            <w:rPr>
                              <w:szCs w:val="24"/>
                            </w:rPr>
                            <w:t>Taip.</w:t>
                          </w:r>
                        </w:p>
                        <w:p>
                          <w:pPr>
                            <w:rPr>
                              <w:sz w:val="10"/>
                              <w:szCs w:val="10"/>
                            </w:rPr>
                          </w:pPr>
                        </w:p>
                      </w:sdtContent>
                    </w:sdt>
                    <w:sdt>
                      <w:sdtPr>
                        <w:alias w:val="pr. 10 p."/>
                        <w:tag w:val="part_02d1f9e3e73d49d8b0ac0d3eeb69d63f"/>
                        <w:lock w:val="sdtLocked"/>
                        <w:richText/>
                      </w:sdtPr>
                      <w:sdtContent>
                        <w:p>
                          <w:pPr>
                            <w:ind w:firstLine="372"/>
                            <w:jc w:val="both"/>
                            <w:rPr>
                              <w:b/>
                              <w:szCs w:val="24"/>
                            </w:rPr>
                          </w:pPr>
                          <w:sdt>
                            <w:sdtPr>
                              <w:alias w:val="Numeris"/>
                              <w:tag w:val="nr_02d1f9e3e73d49d8b0ac0d3eeb69d63f"/>
                              <w:lock w:val="sdtLocked"/>
                              <w:richText/>
                            </w:sdtPr>
                            <w:sdtContent>
                              <w:r>
                                <w:rPr>
                                  <w:b/>
                                  <w:szCs w:val="24"/>
                                </w:rPr>
                                <w:t>10</w:t>
                              </w:r>
                            </w:sdtContent>
                          </w:sdt>
                          <w:r>
                            <w:rPr>
                              <w:b/>
                              <w:szCs w:val="24"/>
                            </w:rPr>
                            <w:t>.TEISĖS AKTŲ ANTIKORUPCINIS VERTINIMAS</w:t>
                          </w:r>
                        </w:p>
                        <w:p>
                          <w:pPr>
                            <w:ind w:firstLine="900"/>
                            <w:jc w:val="both"/>
                            <w:rPr>
                              <w:szCs w:val="24"/>
                            </w:rPr>
                          </w:pPr>
                          <w:r>
                            <w:rPr>
                              <w:szCs w:val="24"/>
                            </w:rPr>
                            <w:t>Nevertinama, nes korupcinio pasireiškimo tikimybės nėra.</w:t>
                          </w:r>
                        </w:p>
                        <w:p>
                          <w:pPr>
                            <w:rPr>
                              <w:szCs w:val="24"/>
                            </w:rPr>
                          </w:pPr>
                        </w:p>
                        <w:p>
                          <w:pPr>
                            <w:rPr>
                              <w:szCs w:val="24"/>
                            </w:rPr>
                          </w:pPr>
                          <w:r>
                            <w:rPr>
                              <w:szCs w:val="24"/>
                            </w:rPr>
                            <w:t>PARAŠAS______________________</w:t>
                            <w:tab/>
                            <w:tab/>
                            <w:t xml:space="preserve">                    DATA   2017-01-10</w:t>
                          </w:r>
                        </w:p>
                      </w:sdtContent>
                    </w:sdt>
                  </w:sdtContent>
                </w:sdt>
              </w:sdtContent>
            </w:sdt>
          </w:sdtContent>
        </w:sdt>
      </w:sdtContent>
    </w:sdt>
    <w:sectPr>
      <w:pgSz w:w="11906" w:h="16838" w:code="9"/>
      <w:pgMar w:top="1701" w:right="1134" w:bottom="567" w:left="1134"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BA"/>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 w:id="1">
    <w:p>
      <w:pPr>
        <w:rPr>
          <w:szCs w:val="24"/>
        </w:rPr>
      </w:pPr>
      <w:r>
        <w:rPr>
          <w:szCs w:val="24"/>
          <w:vertAlign w:val="superscript"/>
        </w:rPr>
        <w:footnoteRef/>
      </w:r>
      <w:r>
        <w:rPr>
          <w:szCs w:val="24"/>
        </w:rPr>
        <w:t xml:space="preserve"> </w:t>
      </w:r>
      <w:r>
        <w:rPr>
          <w:sz w:val="20"/>
        </w:rPr>
        <w:t xml:space="preserve">Šaltinis </w:t>
      </w:r>
      <w:r>
        <w:rPr>
          <w:szCs w:val="24"/>
        </w:rPr>
        <w:t xml:space="preserve">– </w:t>
      </w:r>
      <w:r>
        <w:rPr>
          <w:sz w:val="20"/>
        </w:rPr>
        <w:t>Lietuvos Respublikos statistikos departamentas.</w:t>
      </w:r>
    </w:p>
  </w:footnote>
  <w:footnote w:id="2">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Telšių teritorinės darbo biržos 2016-04-01 statistika.</w:t>
      </w:r>
    </w:p>
  </w:footnote>
  <w:footnote w:id="3">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Savivaldybės administracijos Vaiko teisių apsaugos skyriaus duomenys.</w:t>
      </w:r>
    </w:p>
  </w:footnote>
  <w:footnote w:id="4">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sz w:val="20"/>
        </w:rPr>
      </w:pPr>
      <w:r>
        <w:rPr>
          <w:rFonts w:ascii="Courier New" w:hAnsi="Courier New"/>
          <w:sz w:val="20"/>
          <w:vertAlign w:val="superscript"/>
        </w:rPr>
        <w:footnoteRef/>
      </w:r>
      <w:r>
        <w:rPr>
          <w:sz w:val="20"/>
        </w:rPr>
        <w:t xml:space="preserve"> Šaltinis: Socialinės paramos ir rūpybos skyrius.</w:t>
      </w:r>
    </w:p>
  </w:footnote>
  <w:footnote w:id="5">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Savivaldybės administracijos Vaiko teisių apsaugos skyriaus duomenys.</w:t>
      </w:r>
    </w:p>
  </w:footnote>
  <w:footnote w:id="6">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Savivaldybės administracijos Vaiko teisių apsaugos skyriaus duomenys.</w:t>
      </w:r>
    </w:p>
  </w:footnote>
  <w:footnote w:id="7">
    <w:p>
      <w:pPr>
        <w:rPr>
          <w:szCs w:val="24"/>
        </w:rPr>
      </w:pPr>
      <w:r>
        <w:rPr>
          <w:szCs w:val="24"/>
          <w:vertAlign w:val="superscript"/>
        </w:rPr>
        <w:footnoteRef/>
      </w:r>
      <w:r>
        <w:rPr>
          <w:szCs w:val="24"/>
        </w:rPr>
        <w:t xml:space="preserve"> </w:t>
      </w:r>
      <w:r>
        <w:rPr>
          <w:sz w:val="20"/>
        </w:rPr>
        <w:t>Šaltinis:</w:t>
      </w:r>
      <w:r>
        <w:rPr>
          <w:szCs w:val="24"/>
        </w:rPr>
        <w:t xml:space="preserve"> </w:t>
      </w:r>
      <w:r>
        <w:rPr>
          <w:sz w:val="20"/>
        </w:rPr>
        <w:t>Lietuvos Respublikos statistikos departamentas.</w:t>
      </w:r>
    </w:p>
  </w:footnote>
  <w:footnote w:id="8">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socialinių paslaugų centras.</w:t>
      </w:r>
    </w:p>
  </w:footnote>
  <w:footnote w:id="9">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socialinių paslaugų centras.</w:t>
      </w:r>
    </w:p>
  </w:footnote>
  <w:footnote w:id="10">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vaikų globos namai.</w:t>
      </w:r>
    </w:p>
  </w:footnote>
  <w:footnote w:id="11">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12">
    <w:p>
      <w:pPr>
        <w:widowControl w:val="0"/>
        <w:suppressAutoHyphens/>
        <w:spacing w:line="360" w:lineRule="atLeast"/>
        <w:jc w:val="both"/>
        <w:textAlignment w:val="baseline"/>
        <w:rPr>
          <w:rFonts w:ascii="Calibri" w:eastAsia="Calibri" w:hAnsi="Calibri"/>
          <w:sz w:val="20"/>
          <w:lang w:eastAsia="ar-SA"/>
        </w:rPr>
      </w:pPr>
      <w:r>
        <w:rPr>
          <w:sz w:val="20"/>
          <w:vertAlign w:val="superscript"/>
          <w:lang w:eastAsia="ar-SA"/>
        </w:rPr>
        <w:footnoteRef/>
      </w:r>
      <w:r>
        <w:rPr>
          <w:sz w:val="20"/>
          <w:lang w:eastAsia="ar-SA"/>
        </w:rPr>
        <w:t>Šaltinis:Telšių krizių centras.</w:t>
      </w:r>
    </w:p>
  </w:footnote>
  <w:footnote w:id="13">
    <w:p>
      <w:pPr>
        <w:widowControl w:val="0"/>
        <w:suppressAutoHyphens/>
        <w:spacing w:line="360" w:lineRule="atLeast"/>
        <w:jc w:val="both"/>
        <w:textAlignment w:val="baseline"/>
        <w:rPr>
          <w:sz w:val="20"/>
          <w:lang w:eastAsia="ar-SA"/>
        </w:rPr>
      </w:pPr>
      <w:r>
        <w:rPr>
          <w:sz w:val="20"/>
          <w:vertAlign w:val="superscript"/>
          <w:lang w:eastAsia="ar-SA"/>
        </w:rPr>
        <w:footnoteRef/>
      </w:r>
      <w:r>
        <w:rPr>
          <w:sz w:val="20"/>
          <w:lang w:eastAsia="ar-SA"/>
        </w:rPr>
        <w:t>Šaltinis:Telšių krizių centras.</w:t>
      </w:r>
    </w:p>
  </w:footnote>
  <w:footnote w:id="14">
    <w:p>
      <w:pPr>
        <w:widowControl w:val="0"/>
        <w:suppressAutoHyphens/>
        <w:spacing w:line="360" w:lineRule="atLeast"/>
        <w:jc w:val="both"/>
        <w:textAlignment w:val="baseline"/>
        <w:rPr>
          <w:rFonts w:ascii="Calibri" w:eastAsia="Calibri" w:hAnsi="Calibri"/>
          <w:sz w:val="20"/>
          <w:lang w:eastAsia="ar-SA"/>
        </w:rPr>
      </w:pPr>
      <w:r>
        <w:rPr>
          <w:sz w:val="20"/>
          <w:vertAlign w:val="superscript"/>
          <w:lang w:eastAsia="ar-SA"/>
        </w:rPr>
        <w:footnoteRef/>
      </w:r>
      <w:r>
        <w:rPr>
          <w:sz w:val="20"/>
          <w:lang w:eastAsia="ar-SA"/>
        </w:rPr>
        <w:t xml:space="preserve"> Šaltinis: Socialinės paramos ir rūpybos skyrius.</w:t>
      </w:r>
    </w:p>
  </w:footnote>
  <w:footnote w:id="15">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16">
    <w:p>
      <w:pPr>
        <w:rPr>
          <w:szCs w:val="24"/>
        </w:rPr>
      </w:pPr>
      <w:r>
        <w:rPr>
          <w:szCs w:val="24"/>
          <w:vertAlign w:val="superscript"/>
        </w:rPr>
        <w:footnoteRef/>
      </w:r>
      <w:r>
        <w:rPr>
          <w:szCs w:val="24"/>
        </w:rPr>
        <w:t xml:space="preserve"> </w:t>
      </w:r>
      <w:r>
        <w:rPr>
          <w:sz w:val="20"/>
        </w:rPr>
        <w:t>Šaltinis:</w:t>
      </w:r>
      <w:r>
        <w:rPr>
          <w:szCs w:val="24"/>
        </w:rPr>
        <w:t xml:space="preserve"> </w:t>
      </w:r>
      <w:r>
        <w:rPr>
          <w:sz w:val="20"/>
        </w:rPr>
        <w:t>Lietuvos Respublikos statistikos departamentas.</w:t>
      </w:r>
    </w:p>
  </w:footnote>
  <w:footnote w:id="17">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18">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19">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0">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 </w:t>
      </w:r>
      <w:r>
        <w:rPr>
          <w:sz w:val="18"/>
          <w:szCs w:val="18"/>
          <w:lang w:eastAsia="ar-SA"/>
        </w:rPr>
        <w:t>Telšių socialinių paslaugų centras</w:t>
      </w:r>
      <w:r>
        <w:rPr>
          <w:sz w:val="20"/>
          <w:lang w:eastAsia="ar-SA"/>
        </w:rPr>
        <w:t>.</w:t>
      </w:r>
    </w:p>
  </w:footnote>
  <w:footnote w:id="21">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2">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3">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vaikų globos namai.</w:t>
      </w:r>
    </w:p>
  </w:footnote>
  <w:footnote w:id="24">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5">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socialinių paslaugų centras.</w:t>
      </w:r>
    </w:p>
  </w:footnote>
  <w:footnote w:id="26">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7">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8">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9">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30">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31">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32">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33">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34">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rajono savivaldybės socialinės paramos įgyvendinimo programa</w:t>
      </w:r>
    </w:p>
  </w:footnote>
  <w:footnote w:id="35">
    <w:p>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w:t>
      </w:r>
      <w:r>
        <w:rPr>
          <w:sz w:val="18"/>
          <w:szCs w:val="18"/>
          <w:lang w:eastAsia="ar-SA"/>
        </w:rPr>
        <w:t>avivaldybės 2015 m. ataskaita, 2016 m. biudžetas.</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153"/>
        <w:tab w:val="right" w:pos="8306"/>
      </w:tabs>
      <w:rPr>
        <w:szCs w:val="24"/>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8</w:t>
    </w:r>
    <w:r>
      <w:rPr>
        <w:szCs w:val="24"/>
        <w:lang w:val="en-GB"/>
      </w:rPr>
      <w:fldChar w:fldCharType="end"/>
    </w:r>
  </w:p>
  <w:p>
    <w:pPr>
      <w:tabs>
        <w:tab w:val="center" w:pos="4153"/>
        <w:tab w:val="right" w:pos="8306"/>
      </w:tabs>
      <w:rPr>
        <w:szCs w:val="24"/>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2"/>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D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2819755">
      <w:bodyDiv w:val="1"/>
      <w:marLeft w:val="0"/>
      <w:marRight w:val="0"/>
      <w:marTop w:val="0"/>
      <w:marBottom w:val="0"/>
      <w:divBdr>
        <w:top w:val="none" w:sz="0" w:space="0" w:color="auto"/>
        <w:left w:val="none" w:sz="0" w:space="0" w:color="auto"/>
        <w:bottom w:val="none" w:sz="0" w:space="0" w:color="auto"/>
        <w:right w:val="none" w:sz="0" w:space="0" w:color="auto"/>
      </w:divBdr>
    </w:div>
    <w:div w:id="514734938">
      <w:bodyDiv w:val="1"/>
      <w:marLeft w:val="0"/>
      <w:marRight w:val="0"/>
      <w:marTop w:val="0"/>
      <w:marBottom w:val="0"/>
      <w:divBdr>
        <w:top w:val="none" w:sz="0" w:space="0" w:color="auto"/>
        <w:left w:val="none" w:sz="0" w:space="0" w:color="auto"/>
        <w:bottom w:val="none" w:sz="0" w:space="0" w:color="auto"/>
        <w:right w:val="none" w:sz="0" w:space="0" w:color="auto"/>
      </w:divBdr>
    </w:div>
    <w:div w:id="524095629">
      <w:bodyDiv w:val="1"/>
      <w:marLeft w:val="0"/>
      <w:marRight w:val="0"/>
      <w:marTop w:val="0"/>
      <w:marBottom w:val="0"/>
      <w:divBdr>
        <w:top w:val="none" w:sz="0" w:space="0" w:color="auto"/>
        <w:left w:val="none" w:sz="0" w:space="0" w:color="auto"/>
        <w:bottom w:val="none" w:sz="0" w:space="0" w:color="auto"/>
        <w:right w:val="none" w:sz="0" w:space="0" w:color="auto"/>
      </w:divBdr>
      <w:divsChild>
        <w:div w:id="1397362136">
          <w:marLeft w:val="0"/>
          <w:marRight w:val="0"/>
          <w:marTop w:val="0"/>
          <w:marBottom w:val="0"/>
          <w:divBdr>
            <w:top w:val="none" w:sz="0" w:space="0" w:color="auto"/>
            <w:left w:val="none" w:sz="0" w:space="0" w:color="auto"/>
            <w:bottom w:val="none" w:sz="0" w:space="0" w:color="auto"/>
            <w:right w:val="none" w:sz="0" w:space="0" w:color="auto"/>
          </w:divBdr>
          <w:divsChild>
            <w:div w:id="1743523182">
              <w:marLeft w:val="0"/>
              <w:marRight w:val="0"/>
              <w:marTop w:val="0"/>
              <w:marBottom w:val="0"/>
              <w:divBdr>
                <w:top w:val="none" w:sz="0" w:space="0" w:color="auto"/>
                <w:left w:val="none" w:sz="0" w:space="0" w:color="auto"/>
                <w:bottom w:val="none" w:sz="0" w:space="0" w:color="auto"/>
                <w:right w:val="none" w:sz="0" w:space="0" w:color="auto"/>
              </w:divBdr>
              <w:divsChild>
                <w:div w:id="757096741">
                  <w:marLeft w:val="0"/>
                  <w:marRight w:val="0"/>
                  <w:marTop w:val="0"/>
                  <w:marBottom w:val="0"/>
                  <w:divBdr>
                    <w:top w:val="none" w:sz="0" w:space="0" w:color="auto"/>
                    <w:left w:val="none" w:sz="0" w:space="0" w:color="auto"/>
                    <w:bottom w:val="none" w:sz="0" w:space="0" w:color="auto"/>
                    <w:right w:val="none" w:sz="0" w:space="0" w:color="auto"/>
                  </w:divBdr>
                  <w:divsChild>
                    <w:div w:id="1655405785">
                      <w:marLeft w:val="0"/>
                      <w:marRight w:val="0"/>
                      <w:marTop w:val="0"/>
                      <w:marBottom w:val="0"/>
                      <w:divBdr>
                        <w:top w:val="none" w:sz="0" w:space="0" w:color="auto"/>
                        <w:left w:val="none" w:sz="0" w:space="0" w:color="auto"/>
                        <w:bottom w:val="none" w:sz="0" w:space="0" w:color="auto"/>
                        <w:right w:val="none" w:sz="0" w:space="0" w:color="auto"/>
                      </w:divBdr>
                      <w:divsChild>
                        <w:div w:id="156298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7734138">
      <w:bodyDiv w:val="1"/>
      <w:marLeft w:val="0"/>
      <w:marRight w:val="0"/>
      <w:marTop w:val="0"/>
      <w:marBottom w:val="0"/>
      <w:divBdr>
        <w:top w:val="none" w:sz="0" w:space="0" w:color="auto"/>
        <w:left w:val="none" w:sz="0" w:space="0" w:color="auto"/>
        <w:bottom w:val="none" w:sz="0" w:space="0" w:color="auto"/>
        <w:right w:val="none" w:sz="0" w:space="0" w:color="auto"/>
      </w:divBdr>
    </w:div>
    <w:div w:id="679700296">
      <w:bodyDiv w:val="1"/>
      <w:marLeft w:val="0"/>
      <w:marRight w:val="0"/>
      <w:marTop w:val="0"/>
      <w:marBottom w:val="0"/>
      <w:divBdr>
        <w:top w:val="none" w:sz="0" w:space="0" w:color="auto"/>
        <w:left w:val="none" w:sz="0" w:space="0" w:color="auto"/>
        <w:bottom w:val="none" w:sz="0" w:space="0" w:color="auto"/>
        <w:right w:val="none" w:sz="0" w:space="0" w:color="auto"/>
      </w:divBdr>
      <w:divsChild>
        <w:div w:id="529690179">
          <w:marLeft w:val="0"/>
          <w:marRight w:val="0"/>
          <w:marTop w:val="0"/>
          <w:marBottom w:val="0"/>
          <w:divBdr>
            <w:top w:val="none" w:sz="0" w:space="0" w:color="auto"/>
            <w:left w:val="none" w:sz="0" w:space="0" w:color="auto"/>
            <w:bottom w:val="none" w:sz="0" w:space="0" w:color="auto"/>
            <w:right w:val="none" w:sz="0" w:space="0" w:color="auto"/>
          </w:divBdr>
          <w:divsChild>
            <w:div w:id="641039987">
              <w:marLeft w:val="0"/>
              <w:marRight w:val="0"/>
              <w:marTop w:val="0"/>
              <w:marBottom w:val="0"/>
              <w:divBdr>
                <w:top w:val="none" w:sz="0" w:space="0" w:color="auto"/>
                <w:left w:val="none" w:sz="0" w:space="0" w:color="auto"/>
                <w:bottom w:val="none" w:sz="0" w:space="0" w:color="auto"/>
                <w:right w:val="none" w:sz="0" w:space="0" w:color="auto"/>
              </w:divBdr>
              <w:divsChild>
                <w:div w:id="476267122">
                  <w:marLeft w:val="0"/>
                  <w:marRight w:val="0"/>
                  <w:marTop w:val="0"/>
                  <w:marBottom w:val="0"/>
                  <w:divBdr>
                    <w:top w:val="none" w:sz="0" w:space="0" w:color="auto"/>
                    <w:left w:val="none" w:sz="0" w:space="0" w:color="auto"/>
                    <w:bottom w:val="none" w:sz="0" w:space="0" w:color="auto"/>
                    <w:right w:val="none" w:sz="0" w:space="0" w:color="auto"/>
                  </w:divBdr>
                  <w:divsChild>
                    <w:div w:id="1067848766">
                      <w:marLeft w:val="0"/>
                      <w:marRight w:val="0"/>
                      <w:marTop w:val="0"/>
                      <w:marBottom w:val="0"/>
                      <w:divBdr>
                        <w:top w:val="none" w:sz="0" w:space="0" w:color="auto"/>
                        <w:left w:val="none" w:sz="0" w:space="0" w:color="auto"/>
                        <w:bottom w:val="none" w:sz="0" w:space="0" w:color="auto"/>
                        <w:right w:val="none" w:sz="0" w:space="0" w:color="auto"/>
                      </w:divBdr>
                      <w:divsChild>
                        <w:div w:id="97479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6099758">
      <w:bodyDiv w:val="1"/>
      <w:marLeft w:val="0"/>
      <w:marRight w:val="0"/>
      <w:marTop w:val="0"/>
      <w:marBottom w:val="0"/>
      <w:divBdr>
        <w:top w:val="none" w:sz="0" w:space="0" w:color="auto"/>
        <w:left w:val="none" w:sz="0" w:space="0" w:color="auto"/>
        <w:bottom w:val="none" w:sz="0" w:space="0" w:color="auto"/>
        <w:right w:val="none" w:sz="0" w:space="0" w:color="auto"/>
      </w:divBdr>
    </w:div>
    <w:div w:id="1202742646">
      <w:bodyDiv w:val="1"/>
      <w:marLeft w:val="0"/>
      <w:marRight w:val="0"/>
      <w:marTop w:val="0"/>
      <w:marBottom w:val="0"/>
      <w:divBdr>
        <w:top w:val="none" w:sz="0" w:space="0" w:color="auto"/>
        <w:left w:val="none" w:sz="0" w:space="0" w:color="auto"/>
        <w:bottom w:val="none" w:sz="0" w:space="0" w:color="auto"/>
        <w:right w:val="none" w:sz="0" w:space="0" w:color="auto"/>
      </w:divBdr>
      <w:divsChild>
        <w:div w:id="309751954">
          <w:marLeft w:val="0"/>
          <w:marRight w:val="0"/>
          <w:marTop w:val="0"/>
          <w:marBottom w:val="0"/>
          <w:divBdr>
            <w:top w:val="none" w:sz="0" w:space="0" w:color="auto"/>
            <w:left w:val="none" w:sz="0" w:space="0" w:color="auto"/>
            <w:bottom w:val="none" w:sz="0" w:space="0" w:color="auto"/>
            <w:right w:val="none" w:sz="0" w:space="0" w:color="auto"/>
          </w:divBdr>
        </w:div>
        <w:div w:id="465125939">
          <w:marLeft w:val="0"/>
          <w:marRight w:val="0"/>
          <w:marTop w:val="0"/>
          <w:marBottom w:val="0"/>
          <w:divBdr>
            <w:top w:val="none" w:sz="0" w:space="0" w:color="auto"/>
            <w:left w:val="none" w:sz="0" w:space="0" w:color="auto"/>
            <w:bottom w:val="none" w:sz="0" w:space="0" w:color="auto"/>
            <w:right w:val="none" w:sz="0" w:space="0" w:color="auto"/>
          </w:divBdr>
        </w:div>
        <w:div w:id="933979333">
          <w:marLeft w:val="0"/>
          <w:marRight w:val="0"/>
          <w:marTop w:val="0"/>
          <w:marBottom w:val="0"/>
          <w:divBdr>
            <w:top w:val="none" w:sz="0" w:space="0" w:color="auto"/>
            <w:left w:val="none" w:sz="0" w:space="0" w:color="auto"/>
            <w:bottom w:val="none" w:sz="0" w:space="0" w:color="auto"/>
            <w:right w:val="none" w:sz="0" w:space="0" w:color="auto"/>
          </w:divBdr>
        </w:div>
      </w:divsChild>
    </w:div>
    <w:div w:id="1274047460">
      <w:bodyDiv w:val="1"/>
      <w:marLeft w:val="0"/>
      <w:marRight w:val="0"/>
      <w:marTop w:val="0"/>
      <w:marBottom w:val="0"/>
      <w:divBdr>
        <w:top w:val="none" w:sz="0" w:space="0" w:color="auto"/>
        <w:left w:val="none" w:sz="0" w:space="0" w:color="auto"/>
        <w:bottom w:val="none" w:sz="0" w:space="0" w:color="auto"/>
        <w:right w:val="none" w:sz="0" w:space="0" w:color="auto"/>
      </w:divBdr>
      <w:divsChild>
        <w:div w:id="42753116">
          <w:marLeft w:val="0"/>
          <w:marRight w:val="0"/>
          <w:marTop w:val="0"/>
          <w:marBottom w:val="0"/>
          <w:divBdr>
            <w:top w:val="none" w:sz="0" w:space="0" w:color="auto"/>
            <w:left w:val="none" w:sz="0" w:space="0" w:color="auto"/>
            <w:bottom w:val="none" w:sz="0" w:space="0" w:color="auto"/>
            <w:right w:val="none" w:sz="0" w:space="0" w:color="auto"/>
          </w:divBdr>
          <w:divsChild>
            <w:div w:id="1235436999">
              <w:marLeft w:val="0"/>
              <w:marRight w:val="0"/>
              <w:marTop w:val="0"/>
              <w:marBottom w:val="0"/>
              <w:divBdr>
                <w:top w:val="none" w:sz="0" w:space="0" w:color="auto"/>
                <w:left w:val="none" w:sz="0" w:space="0" w:color="auto"/>
                <w:bottom w:val="none" w:sz="0" w:space="0" w:color="auto"/>
                <w:right w:val="none" w:sz="0" w:space="0" w:color="auto"/>
              </w:divBdr>
              <w:divsChild>
                <w:div w:id="902718783">
                  <w:marLeft w:val="0"/>
                  <w:marRight w:val="0"/>
                  <w:marTop w:val="0"/>
                  <w:marBottom w:val="0"/>
                  <w:divBdr>
                    <w:top w:val="none" w:sz="0" w:space="0" w:color="auto"/>
                    <w:left w:val="none" w:sz="0" w:space="0" w:color="auto"/>
                    <w:bottom w:val="none" w:sz="0" w:space="0" w:color="auto"/>
                    <w:right w:val="none" w:sz="0" w:space="0" w:color="auto"/>
                  </w:divBdr>
                  <w:divsChild>
                    <w:div w:id="1961371459">
                      <w:marLeft w:val="0"/>
                      <w:marRight w:val="0"/>
                      <w:marTop w:val="0"/>
                      <w:marBottom w:val="0"/>
                      <w:divBdr>
                        <w:top w:val="none" w:sz="0" w:space="0" w:color="auto"/>
                        <w:left w:val="none" w:sz="0" w:space="0" w:color="auto"/>
                        <w:bottom w:val="none" w:sz="0" w:space="0" w:color="auto"/>
                        <w:right w:val="none" w:sz="0" w:space="0" w:color="auto"/>
                      </w:divBdr>
                      <w:divsChild>
                        <w:div w:id="80781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892694">
      <w:bodyDiv w:val="1"/>
      <w:marLeft w:val="0"/>
      <w:marRight w:val="0"/>
      <w:marTop w:val="0"/>
      <w:marBottom w:val="0"/>
      <w:divBdr>
        <w:top w:val="none" w:sz="0" w:space="0" w:color="auto"/>
        <w:left w:val="none" w:sz="0" w:space="0" w:color="auto"/>
        <w:bottom w:val="none" w:sz="0" w:space="0" w:color="auto"/>
        <w:right w:val="none" w:sz="0" w:space="0" w:color="auto"/>
      </w:divBdr>
      <w:divsChild>
        <w:div w:id="484708171">
          <w:marLeft w:val="0"/>
          <w:marRight w:val="0"/>
          <w:marTop w:val="0"/>
          <w:marBottom w:val="0"/>
          <w:divBdr>
            <w:top w:val="none" w:sz="0" w:space="0" w:color="auto"/>
            <w:left w:val="none" w:sz="0" w:space="0" w:color="auto"/>
            <w:bottom w:val="none" w:sz="0" w:space="0" w:color="auto"/>
            <w:right w:val="none" w:sz="0" w:space="0" w:color="auto"/>
          </w:divBdr>
          <w:divsChild>
            <w:div w:id="23601992">
              <w:marLeft w:val="0"/>
              <w:marRight w:val="0"/>
              <w:marTop w:val="0"/>
              <w:marBottom w:val="0"/>
              <w:divBdr>
                <w:top w:val="none" w:sz="0" w:space="0" w:color="auto"/>
                <w:left w:val="none" w:sz="0" w:space="0" w:color="auto"/>
                <w:bottom w:val="none" w:sz="0" w:space="0" w:color="auto"/>
                <w:right w:val="none" w:sz="0" w:space="0" w:color="auto"/>
              </w:divBdr>
              <w:divsChild>
                <w:div w:id="1123307442">
                  <w:marLeft w:val="0"/>
                  <w:marRight w:val="0"/>
                  <w:marTop w:val="0"/>
                  <w:marBottom w:val="0"/>
                  <w:divBdr>
                    <w:top w:val="none" w:sz="0" w:space="0" w:color="auto"/>
                    <w:left w:val="none" w:sz="0" w:space="0" w:color="auto"/>
                    <w:bottom w:val="none" w:sz="0" w:space="0" w:color="auto"/>
                    <w:right w:val="none" w:sz="0" w:space="0" w:color="auto"/>
                  </w:divBdr>
                  <w:divsChild>
                    <w:div w:id="750925726">
                      <w:marLeft w:val="0"/>
                      <w:marRight w:val="0"/>
                      <w:marTop w:val="0"/>
                      <w:marBottom w:val="0"/>
                      <w:divBdr>
                        <w:top w:val="none" w:sz="0" w:space="0" w:color="auto"/>
                        <w:left w:val="none" w:sz="0" w:space="0" w:color="auto"/>
                        <w:bottom w:val="none" w:sz="0" w:space="0" w:color="auto"/>
                        <w:right w:val="none" w:sz="0" w:space="0" w:color="auto"/>
                      </w:divBdr>
                      <w:divsChild>
                        <w:div w:id="102636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4216086">
      <w:bodyDiv w:val="1"/>
      <w:marLeft w:val="0"/>
      <w:marRight w:val="0"/>
      <w:marTop w:val="0"/>
      <w:marBottom w:val="0"/>
      <w:divBdr>
        <w:top w:val="none" w:sz="0" w:space="0" w:color="auto"/>
        <w:left w:val="none" w:sz="0" w:space="0" w:color="auto"/>
        <w:bottom w:val="none" w:sz="0" w:space="0" w:color="auto"/>
        <w:right w:val="none" w:sz="0" w:space="0" w:color="auto"/>
      </w:divBdr>
    </w:div>
    <w:div w:id="1731882963">
      <w:bodyDiv w:val="1"/>
      <w:marLeft w:val="0"/>
      <w:marRight w:val="0"/>
      <w:marTop w:val="0"/>
      <w:marBottom w:val="0"/>
      <w:divBdr>
        <w:top w:val="none" w:sz="0" w:space="0" w:color="auto"/>
        <w:left w:val="none" w:sz="0" w:space="0" w:color="auto"/>
        <w:bottom w:val="none" w:sz="0" w:space="0" w:color="auto"/>
        <w:right w:val="none" w:sz="0" w:space="0" w:color="auto"/>
      </w:divBdr>
    </w:div>
    <w:div w:id="1761753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chart" Target="charts/chart1.xml"/>
  <Relationship Id="rId13" Type="http://schemas.openxmlformats.org/officeDocument/2006/relationships/chart" Target="charts/chart2.xml"/>
  <Relationship Id="rId14" Type="http://schemas.openxmlformats.org/officeDocument/2006/relationships/chart" Target="charts/chart3.xml"/>
  <Relationship Id="rId15" Type="http://schemas.openxmlformats.org/officeDocument/2006/relationships/chart" Target="charts/chart4.xml"/>
  <Relationship Id="rId16" Type="http://schemas.openxmlformats.org/officeDocument/2006/relationships/chart" Target="charts/chart5.xml"/>
  <Relationship Id="rId17" Type="http://schemas.openxmlformats.org/officeDocument/2006/relationships/chart" Target="charts/chart6.xml"/>
  <Relationship Id="rId18" Type="http://schemas.openxmlformats.org/officeDocument/2006/relationships/chart" Target="charts/chart7.xml"/>
  <Relationship Id="rId19" Type="http://schemas.openxmlformats.org/officeDocument/2006/relationships/image" Target="media/image2.png"/>
  <Relationship Id="rId2" Type="http://schemas.openxmlformats.org/officeDocument/2006/relationships/styles" Target="styles.xml"/>
  <Relationship Id="rId20" Type="http://schemas.openxmlformats.org/officeDocument/2006/relationships/chart" Target="charts/chart8.xml"/>
  <Relationship Id="rId21" Type="http://schemas.openxmlformats.org/officeDocument/2006/relationships/header" Target="header1.xml"/>
  <Relationship Id="rId22" Type="http://schemas.openxmlformats.org/officeDocument/2006/relationships/header" Target="header2.xml"/>
  <Relationship Id="rId23" Type="http://schemas.openxmlformats.org/officeDocument/2006/relationships/footer" Target="footer1.xml"/>
  <Relationship Id="rId24" Type="http://schemas.openxmlformats.org/officeDocument/2006/relationships/footer" Target="footer2.xml"/>
  <Relationship Id="rId25" Type="http://schemas.openxmlformats.org/officeDocument/2006/relationships/header" Target="header3.xml"/>
  <Relationship Id="rId26" Type="http://schemas.openxmlformats.org/officeDocument/2006/relationships/footer" Target="footer3.xml"/>
  <Relationship Id="rId27" Type="http://schemas.openxmlformats.org/officeDocument/2006/relationships/fontTable" Target="fontTable.xml"/>
  <Relationship Id="rId28" Type="http://schemas.openxmlformats.org/officeDocument/2006/relationships/theme" Target="theme/theme1.xml"/>
  <Relationship Id="rId29"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charts/_rels/chart1.xml.rels><?xml version="1.0" encoding="UTF-8"?>

<Relationships xmlns="http://schemas.openxmlformats.org/package/2006/relationships">
  <Relationship Id="rId1" Type="http://schemas.openxmlformats.org/officeDocument/2006/relationships/themeOverride" Target="../theme/themeOverride1.xml"/>
  <Relationship Id="rId2" Type="http://schemas.openxmlformats.org/officeDocument/2006/relationships/oleObject" TargetMode="External" Target="file:///C:/Users/vartotojas/Desktop/2016.xlsx"/>
</Relationships>

</file>

<file path=word/charts/_rels/chart2.xml.rels><?xml version="1.0" encoding="UTF-8"?>

<Relationships xmlns="http://schemas.openxmlformats.org/package/2006/relationships">
  <Relationship Id="rId1" Type="http://schemas.openxmlformats.org/officeDocument/2006/relationships/themeOverride" Target="../theme/themeOverride2.xml"/>
  <Relationship Id="rId2" Type="http://schemas.openxmlformats.org/officeDocument/2006/relationships/oleObject" TargetMode="External" Target="file:///C:/Users/vartotojas/Desktop/2016.xlsx"/>
</Relationships>

</file>

<file path=word/charts/_rels/chart3.xml.rels><?xml version="1.0" encoding="UTF-8"?>

<Relationships xmlns="http://schemas.openxmlformats.org/package/2006/relationships">
  <Relationship Id="rId1" Type="http://schemas.openxmlformats.org/officeDocument/2006/relationships/themeOverride" Target="../theme/themeOverride3.xml"/>
  <Relationship Id="rId2" Type="http://schemas.openxmlformats.org/officeDocument/2006/relationships/oleObject" TargetMode="External" Target="file:///C:/Users/vartotojas/Desktop/2016.xlsx"/>
</Relationships>

</file>

<file path=word/charts/_rels/chart4.xml.rels><?xml version="1.0" encoding="UTF-8"?>

<Relationships xmlns="http://schemas.openxmlformats.org/package/2006/relationships">
  <Relationship Id="rId1" Type="http://schemas.openxmlformats.org/officeDocument/2006/relationships/themeOverride" Target="../theme/themeOverride4.xml"/>
  <Relationship Id="rId2" Type="http://schemas.openxmlformats.org/officeDocument/2006/relationships/oleObject" TargetMode="External" Target="Knyga1"/>
</Relationships>

</file>

<file path=word/charts/_rels/chart5.xml.rels><?xml version="1.0" encoding="UTF-8"?>

<Relationships xmlns="http://schemas.openxmlformats.org/package/2006/relationships">
  <Relationship Id="rId1" Type="http://schemas.openxmlformats.org/officeDocument/2006/relationships/themeOverride" Target="../theme/themeOverride5.xml"/>
  <Relationship Id="rId2" Type="http://schemas.openxmlformats.org/officeDocument/2006/relationships/oleObject" TargetMode="External" Target="Knyga1"/>
</Relationships>

</file>

<file path=word/charts/_rels/chart6.xml.rels><?xml version="1.0" encoding="UTF-8"?>

<Relationships xmlns="http://schemas.openxmlformats.org/package/2006/relationships">
  <Relationship Id="rId1" Type="http://schemas.openxmlformats.org/officeDocument/2006/relationships/themeOverride" Target="../theme/themeOverride6.xml"/>
  <Relationship Id="rId2" Type="http://schemas.openxmlformats.org/officeDocument/2006/relationships/oleObject" TargetMode="External" Target="file:///C:/Users/vartotojas/Desktop/2016.xlsx"/>
</Relationships>

</file>

<file path=word/charts/_rels/chart7.xml.rels><?xml version="1.0" encoding="UTF-8"?>

<Relationships xmlns="http://schemas.openxmlformats.org/package/2006/relationships">
  <Relationship Id="rId1" Type="http://schemas.openxmlformats.org/officeDocument/2006/relationships/themeOverride" Target="../theme/themeOverride7.xml"/>
  <Relationship Id="rId2" Type="http://schemas.openxmlformats.org/officeDocument/2006/relationships/oleObject" TargetMode="External" Target="file:///C:/Users/vartotojas/Desktop/2016.xlsx"/>
</Relationships>

</file>

<file path=word/charts/_rels/chart8.xml.rels><?xml version="1.0" encoding="UTF-8"?>

<Relationships xmlns="http://schemas.openxmlformats.org/package/2006/relationships">
  <Relationship Id="rId1" Type="http://schemas.openxmlformats.org/officeDocument/2006/relationships/themeOverride" Target="../theme/themeOverride8.xml"/>
  <Relationship Id="rId2" Type="http://schemas.openxmlformats.org/officeDocument/2006/relationships/oleObject" TargetMode="External" Target="file:///C:/Users/vartotojas/Desktop/2016.xlsx"/>
</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dLbls>
            <c:dLbl>
              <c:idx val="0"/>
              <c:layout>
                <c:manualLayout>
                  <c:x val="-5.2777777777777805E-2"/>
                  <c:y val="-5.5555555555555552E-2"/>
                </c:manualLayout>
              </c:layout>
              <c:showLegendKey val="0"/>
              <c:showVal val="1"/>
              <c:showCatName val="0"/>
              <c:showSerName val="0"/>
              <c:showPercent val="0"/>
              <c:showBubbleSize val="0"/>
            </c:dLbl>
            <c:dLbl>
              <c:idx val="1"/>
              <c:layout>
                <c:manualLayout>
                  <c:x val="8.3333333333333332E-3"/>
                  <c:y val="1.3888888888888846E-2"/>
                </c:manualLayout>
              </c:layout>
              <c:showLegendKey val="0"/>
              <c:showVal val="1"/>
              <c:showCatName val="0"/>
              <c:showSerName val="0"/>
              <c:showPercent val="0"/>
              <c:showBubbleSize val="0"/>
            </c:dLbl>
            <c:dLbl>
              <c:idx val="3"/>
              <c:layout>
                <c:manualLayout>
                  <c:x val="-5.5555555555556572E-3"/>
                  <c:y val="-2.7777777777777776E-2"/>
                </c:manualLayout>
              </c:layout>
              <c:showLegendKey val="0"/>
              <c:showVal val="1"/>
              <c:showCatName val="0"/>
              <c:showSerName val="0"/>
              <c:showPercent val="0"/>
              <c:showBubbleSize val="0"/>
            </c:dLbl>
            <c:txPr>
              <a:bodyPr/>
              <a:lstStyle/>
              <a:p>
                <a:pPr>
                  <a:defRPr b="1">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Lapas7!$A$6:$A$9</c:f>
              <c:strCache>
                <c:ptCount val="4"/>
                <c:pt idx="0">
                  <c:v>2013 m.</c:v>
                </c:pt>
                <c:pt idx="1">
                  <c:v>2014 m.</c:v>
                </c:pt>
                <c:pt idx="2">
                  <c:v>2015 m.</c:v>
                </c:pt>
                <c:pt idx="3">
                  <c:v>2016 m.</c:v>
                </c:pt>
              </c:strCache>
            </c:strRef>
          </c:cat>
          <c:val>
            <c:numRef>
              <c:f>Lapas7!$B$6:$B$9</c:f>
              <c:numCache>
                <c:formatCode>General</c:formatCode>
                <c:ptCount val="4"/>
                <c:pt idx="0">
                  <c:v>4025</c:v>
                </c:pt>
                <c:pt idx="1">
                  <c:v>4027</c:v>
                </c:pt>
                <c:pt idx="2">
                  <c:v>4049</c:v>
                </c:pt>
                <c:pt idx="3">
                  <c:v>3984</c:v>
                </c:pt>
              </c:numCache>
            </c:numRef>
          </c:val>
          <c:smooth val="0"/>
        </c:ser>
        <c:dLbls>
          <c:showLegendKey val="0"/>
          <c:showVal val="1"/>
          <c:showCatName val="0"/>
          <c:showSerName val="0"/>
          <c:showPercent val="0"/>
          <c:showBubbleSize val="0"/>
        </c:dLbls>
        <c:marker val="1"/>
        <c:smooth val="0"/>
        <c:axId val="16532608"/>
        <c:axId val="39348480"/>
      </c:lineChart>
      <c:catAx>
        <c:axId val="16532608"/>
        <c:scaling>
          <c:orientation val="minMax"/>
        </c:scaling>
        <c:delete val="0"/>
        <c:axPos val="b"/>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39348480"/>
        <c:crosses val="autoZero"/>
        <c:auto val="1"/>
        <c:lblAlgn val="ctr"/>
        <c:lblOffset val="100"/>
        <c:noMultiLvlLbl val="0"/>
      </c:catAx>
      <c:valAx>
        <c:axId val="39348480"/>
        <c:scaling>
          <c:orientation val="minMax"/>
        </c:scaling>
        <c:delete val="0"/>
        <c:axPos val="l"/>
        <c:majorGridlines/>
        <c:numFmt formatCode="General" sourceLinked="1"/>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16532608"/>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spPr>
        <a:solidFill>
          <a:schemeClr val="accent2"/>
        </a:solidFill>
      </c:spPr>
    </c:floor>
    <c:sideWall>
      <c:thickness val="0"/>
      <c:spPr>
        <a:gradFill flip="none" rotWithShape="1">
          <a:gsLst>
            <a:gs pos="0">
              <a:srgbClr val="FBEAC7"/>
            </a:gs>
            <a:gs pos="17999">
              <a:srgbClr val="FEE7F2"/>
            </a:gs>
            <a:gs pos="36000">
              <a:srgbClr val="FAC77D"/>
            </a:gs>
            <a:gs pos="61000">
              <a:srgbClr val="FBA97D"/>
            </a:gs>
            <a:gs pos="82001">
              <a:srgbClr val="FBD49C"/>
            </a:gs>
            <a:gs pos="100000">
              <a:srgbClr val="FEE7F2"/>
            </a:gs>
          </a:gsLst>
          <a:lin ang="5400000" scaled="0"/>
          <a:tileRect r="-100000" b="-100000"/>
        </a:gradFill>
        <a:ln>
          <a:gradFill>
            <a:gsLst>
              <a:gs pos="0">
                <a:schemeClr val="tx2">
                  <a:lumMod val="40000"/>
                  <a:lumOff val="60000"/>
                </a:schemeClr>
              </a:gs>
              <a:gs pos="50000">
                <a:schemeClr val="accent1">
                  <a:tint val="44500"/>
                  <a:satMod val="160000"/>
                </a:schemeClr>
              </a:gs>
              <a:gs pos="100000">
                <a:schemeClr val="accent1">
                  <a:tint val="23500"/>
                  <a:satMod val="160000"/>
                </a:schemeClr>
              </a:gs>
            </a:gsLst>
            <a:lin ang="5400000" scaled="0"/>
          </a:gradFill>
        </a:ln>
        <a:scene3d>
          <a:camera prst="orthographicFront"/>
          <a:lightRig rig="threePt" dir="t"/>
        </a:scene3d>
        <a:sp3d>
          <a:bevelB w="114300" prst="hardEdge"/>
        </a:sp3d>
      </c:spPr>
    </c:sideWall>
    <c:backWall>
      <c:thickness val="0"/>
      <c:spPr>
        <a:gradFill>
          <a:gsLst>
            <a:gs pos="0">
              <a:srgbClr val="FBEAC7"/>
            </a:gs>
            <a:gs pos="17999">
              <a:srgbClr val="FEE7F2"/>
            </a:gs>
            <a:gs pos="36000">
              <a:srgbClr val="FAC77D"/>
            </a:gs>
            <a:gs pos="61000">
              <a:srgbClr val="FBA97D"/>
            </a:gs>
            <a:gs pos="82001">
              <a:srgbClr val="FBD49C"/>
            </a:gs>
            <a:gs pos="100000">
              <a:srgbClr val="FEE7F2"/>
            </a:gs>
          </a:gsLst>
          <a:lin ang="5400000" scaled="0"/>
        </a:gradFill>
        <a:ln>
          <a:gradFill>
            <a:gsLst>
              <a:gs pos="0">
                <a:schemeClr val="tx2">
                  <a:lumMod val="40000"/>
                  <a:lumOff val="60000"/>
                </a:schemeClr>
              </a:gs>
              <a:gs pos="50000">
                <a:schemeClr val="accent1">
                  <a:tint val="44500"/>
                  <a:satMod val="160000"/>
                </a:schemeClr>
              </a:gs>
              <a:gs pos="100000">
                <a:schemeClr val="accent1">
                  <a:tint val="23500"/>
                  <a:satMod val="160000"/>
                </a:schemeClr>
              </a:gs>
            </a:gsLst>
            <a:lin ang="5400000" scaled="0"/>
          </a:gradFill>
        </a:ln>
        <a:scene3d>
          <a:camera prst="orthographicFront"/>
          <a:lightRig rig="threePt" dir="t"/>
        </a:scene3d>
        <a:sp3d>
          <a:bevelB w="114300" prst="hardEdge"/>
        </a:sp3d>
      </c:spPr>
    </c:backWall>
    <c:plotArea>
      <c:layout/>
      <c:bar3DChart>
        <c:barDir val="col"/>
        <c:grouping val="clustered"/>
        <c:varyColors val="0"/>
        <c:ser>
          <c:idx val="0"/>
          <c:order val="0"/>
          <c:tx>
            <c:strRef>
              <c:f>Lapas1!$A$5</c:f>
              <c:strCache>
                <c:ptCount val="1"/>
                <c:pt idx="0">
                  <c:v>Mieste</c:v>
                </c:pt>
              </c:strCache>
            </c:strRef>
          </c:tx>
          <c:invertIfNegative val="0"/>
          <c:dLbls>
            <c:dLbl>
              <c:idx val="0"/>
              <c:layout>
                <c:manualLayout>
                  <c:x val="4.0834437256440266E-2"/>
                  <c:y val="-2.1038790269559501E-2"/>
                </c:manualLayout>
              </c:layout>
              <c:tx>
                <c:rich>
                  <a:bodyPr/>
                  <a:lstStyle/>
                  <a:p>
                    <a:r>
                      <a:rPr lang="lt-LT" sz="1000" b="1" baseline="0">
                        <a:latin typeface="Times New Roman" panose="02020603050405020304" pitchFamily="18" charset="0"/>
                      </a:rPr>
                      <a:t>Iš viso gyventojų:</a:t>
                    </a:r>
                  </a:p>
                  <a:p>
                    <a:r>
                      <a:rPr lang="lt-LT" sz="1000" b="1" baseline="0">
                        <a:latin typeface="Times New Roman" panose="02020603050405020304" pitchFamily="18" charset="0"/>
                      </a:rPr>
                      <a:t>46273</a:t>
                    </a:r>
                    <a:endParaRPr lang="en-US"/>
                  </a:p>
                </c:rich>
              </c:tx>
              <c:showLegendKey val="0"/>
              <c:showVal val="1"/>
              <c:showCatName val="0"/>
              <c:showSerName val="0"/>
              <c:showPercent val="0"/>
              <c:showBubbleSize val="0"/>
            </c:dLbl>
            <c:dLbl>
              <c:idx val="1"/>
              <c:layout>
                <c:manualLayout>
                  <c:x val="3.9058747348767194E-2"/>
                  <c:y val="-2.6298487836949377E-2"/>
                </c:manualLayout>
              </c:layout>
              <c:tx>
                <c:rich>
                  <a:bodyPr/>
                  <a:lstStyle/>
                  <a:p>
                    <a:r>
                      <a:rPr lang="lt-LT" sz="1000" b="1" baseline="0">
                        <a:latin typeface="Times New Roman" panose="02020603050405020304" pitchFamily="18" charset="0"/>
                      </a:rPr>
                      <a:t>Iš viso gyventojų:</a:t>
                    </a:r>
                  </a:p>
                  <a:p>
                    <a:r>
                      <a:rPr lang="lt-LT" sz="1000" b="1" baseline="0">
                        <a:latin typeface="Times New Roman" panose="02020603050405020304" pitchFamily="18" charset="0"/>
                      </a:rPr>
                      <a:t>45474</a:t>
                    </a:r>
                    <a:endParaRPr lang="en-US"/>
                  </a:p>
                </c:rich>
              </c:tx>
              <c:showLegendKey val="0"/>
              <c:showVal val="1"/>
              <c:showCatName val="0"/>
              <c:showSerName val="0"/>
              <c:showPercent val="0"/>
              <c:showBubbleSize val="0"/>
            </c:dLbl>
            <c:dLbl>
              <c:idx val="2"/>
              <c:layout>
                <c:manualLayout>
                  <c:x val="2.6631154732461044E-2"/>
                  <c:y val="-1.5779092702169626E-2"/>
                </c:manualLayout>
              </c:layout>
              <c:tx>
                <c:rich>
                  <a:bodyPr/>
                  <a:lstStyle/>
                  <a:p>
                    <a:r>
                      <a:rPr lang="lt-LT" sz="1000" b="1" baseline="0">
                        <a:latin typeface="Times New Roman" panose="02020603050405020304" pitchFamily="18" charset="0"/>
                      </a:rPr>
                      <a:t>Iš viso gyventojų: </a:t>
                    </a:r>
                  </a:p>
                  <a:p>
                    <a:r>
                      <a:rPr lang="lt-LT" sz="1000" b="1" baseline="0">
                        <a:latin typeface="Times New Roman" panose="02020603050405020304" pitchFamily="18" charset="0"/>
                      </a:rPr>
                      <a:t>44610</a:t>
                    </a:r>
                    <a:endParaRPr lang="en-US"/>
                  </a:p>
                </c:rich>
              </c:tx>
              <c:showLegendKey val="0"/>
              <c:showVal val="1"/>
              <c:showCatName val="0"/>
              <c:showSerName val="0"/>
              <c:showPercent val="0"/>
              <c:showBubbleSize val="0"/>
            </c:dLbl>
            <c:dLbl>
              <c:idx val="3"/>
              <c:layout>
                <c:manualLayout>
                  <c:x val="3.5508206309948061E-2"/>
                  <c:y val="-1.5779092702169626E-2"/>
                </c:manualLayout>
              </c:layout>
              <c:tx>
                <c:rich>
                  <a:bodyPr/>
                  <a:lstStyle/>
                  <a:p>
                    <a:r>
                      <a:rPr lang="lt-LT" sz="1000" b="1" baseline="0">
                        <a:latin typeface="Times New Roman" panose="02020603050405020304" pitchFamily="18" charset="0"/>
                      </a:rPr>
                      <a:t>Iš viso gyventojų:</a:t>
                    </a:r>
                  </a:p>
                  <a:p>
                    <a:r>
                      <a:rPr lang="lt-LT" sz="1000" b="1" baseline="0">
                        <a:latin typeface="Times New Roman" panose="02020603050405020304" pitchFamily="18" charset="0"/>
                      </a:rPr>
                      <a:t>43992</a:t>
                    </a:r>
                    <a:endParaRPr lang="en-US"/>
                  </a:p>
                </c:rich>
              </c:tx>
              <c:showLegendKey val="0"/>
              <c:showVal val="1"/>
              <c:showCatName val="0"/>
              <c:showSerName val="0"/>
              <c:showPercent val="0"/>
              <c:showBubbleSize val="0"/>
            </c:dLbl>
            <c:dLbl>
              <c:idx val="4"/>
              <c:layout>
                <c:manualLayout>
                  <c:x val="5.1486899149424684E-2"/>
                  <c:y val="-3.1558806628461396E-2"/>
                </c:manualLayout>
              </c:layout>
              <c:tx>
                <c:rich>
                  <a:bodyPr/>
                  <a:lstStyle/>
                  <a:p>
                    <a:r>
                      <a:rPr lang="lt-LT" sz="1000" b="1" baseline="0">
                        <a:latin typeface="Times New Roman" panose="02020603050405020304" pitchFamily="18" charset="0"/>
                      </a:rPr>
                      <a:t>Iš viso gyventojų: </a:t>
                    </a:r>
                  </a:p>
                  <a:p>
                    <a:r>
                      <a:rPr lang="lt-LT" sz="1000" b="1" baseline="0">
                        <a:latin typeface="Times New Roman" panose="02020603050405020304" pitchFamily="18" charset="0"/>
                      </a:rPr>
                      <a:t>43059</a:t>
                    </a:r>
                    <a:endParaRPr lang="en-US"/>
                  </a:p>
                </c:rich>
              </c:tx>
              <c:showLegendKey val="0"/>
              <c:showVal val="1"/>
              <c:showCatName val="0"/>
              <c:showSerName val="0"/>
              <c:showPercent val="0"/>
              <c:showBubbleSize val="0"/>
            </c:dLbl>
            <c:txPr>
              <a:bodyPr/>
              <a:lstStyle/>
              <a:p>
                <a:pPr>
                  <a:defRPr sz="1000" b="1" baseline="0">
                    <a:latin typeface="Times New Roman" panose="02020603050405020304" pitchFamily="18" charset="0"/>
                  </a:defRPr>
                </a:pPr>
                <a:endParaRPr lang="en-US"/>
              </a:p>
            </c:txPr>
            <c:showLegendKey val="0"/>
            <c:showVal val="1"/>
            <c:showCatName val="0"/>
            <c:showSerName val="0"/>
            <c:showPercent val="0"/>
            <c:showBubbleSize val="0"/>
            <c:showLeaderLines val="0"/>
          </c:dLbls>
          <c:cat>
            <c:strRef>
              <c:f>Lapas1!$B$4:$F$4</c:f>
              <c:strCache>
                <c:ptCount val="5"/>
                <c:pt idx="0">
                  <c:v>2012 m.</c:v>
                </c:pt>
                <c:pt idx="1">
                  <c:v>2013 m.</c:v>
                </c:pt>
                <c:pt idx="2">
                  <c:v>2014 m.</c:v>
                </c:pt>
                <c:pt idx="3">
                  <c:v>2015 m.</c:v>
                </c:pt>
                <c:pt idx="4">
                  <c:v>2016 m.</c:v>
                </c:pt>
              </c:strCache>
            </c:strRef>
          </c:cat>
          <c:val>
            <c:numRef>
              <c:f>Lapas1!$B$5:$F$5</c:f>
              <c:numCache>
                <c:formatCode>General</c:formatCode>
                <c:ptCount val="5"/>
                <c:pt idx="0">
                  <c:v>26330</c:v>
                </c:pt>
                <c:pt idx="1">
                  <c:v>25863</c:v>
                </c:pt>
                <c:pt idx="2">
                  <c:v>25379</c:v>
                </c:pt>
                <c:pt idx="3">
                  <c:v>25068</c:v>
                </c:pt>
                <c:pt idx="4">
                  <c:v>24642</c:v>
                </c:pt>
              </c:numCache>
            </c:numRef>
          </c:val>
        </c:ser>
        <c:ser>
          <c:idx val="1"/>
          <c:order val="1"/>
          <c:tx>
            <c:strRef>
              <c:f>Lapas1!$A$6</c:f>
              <c:strCache>
                <c:ptCount val="1"/>
                <c:pt idx="0">
                  <c:v>Kaime</c:v>
                </c:pt>
              </c:strCache>
            </c:strRef>
          </c:tx>
          <c:invertIfNegative val="0"/>
          <c:dPt>
            <c:idx val="0"/>
            <c:invertIfNegative val="0"/>
            <c:bubble3D val="0"/>
            <c:spPr>
              <a:ln>
                <a:solidFill>
                  <a:srgbClr val="92D050"/>
                </a:solidFill>
              </a:ln>
            </c:spPr>
          </c:dPt>
          <c:dLbls>
            <c:dLbl>
              <c:idx val="0"/>
              <c:layout>
                <c:manualLayout>
                  <c:x val="-2.3080334101466236E-2"/>
                  <c:y val="0.35502958579881655"/>
                </c:manualLayout>
              </c:layout>
              <c:tx>
                <c:rich>
                  <a:bodyPr/>
                  <a:lstStyle/>
                  <a:p>
                    <a:r>
                      <a:rPr lang="lt-LT" sz="1200" b="1" i="0" baseline="0">
                        <a:solidFill>
                          <a:schemeClr val="bg1"/>
                        </a:solidFill>
                        <a:latin typeface="Times New Roman" panose="02020603050405020304" pitchFamily="18" charset="0"/>
                      </a:rPr>
                      <a:t>2012 m.</a:t>
                    </a:r>
                    <a:endParaRPr lang="en-US"/>
                  </a:p>
                </c:rich>
              </c:tx>
              <c:showLegendKey val="0"/>
              <c:showVal val="1"/>
              <c:showCatName val="0"/>
              <c:showSerName val="0"/>
              <c:showPercent val="0"/>
              <c:showBubbleSize val="0"/>
            </c:dLbl>
            <c:dLbl>
              <c:idx val="1"/>
              <c:layout>
                <c:manualLayout>
                  <c:x val="-2.1304923785968835E-2"/>
                  <c:y val="0.34188034188034189"/>
                </c:manualLayout>
              </c:layout>
              <c:tx>
                <c:rich>
                  <a:bodyPr/>
                  <a:lstStyle/>
                  <a:p>
                    <a:r>
                      <a:rPr lang="lt-LT" sz="1200" b="1" i="0" baseline="0">
                        <a:solidFill>
                          <a:schemeClr val="bg1"/>
                        </a:solidFill>
                        <a:latin typeface="Times New Roman" panose="02020603050405020304" pitchFamily="18" charset="0"/>
                      </a:rPr>
                      <a:t>2013 m.</a:t>
                    </a:r>
                    <a:endParaRPr lang="en-US"/>
                  </a:p>
                </c:rich>
              </c:tx>
              <c:showLegendKey val="0"/>
              <c:showVal val="1"/>
              <c:showCatName val="0"/>
              <c:showSerName val="0"/>
              <c:showPercent val="0"/>
              <c:showBubbleSize val="0"/>
            </c:dLbl>
            <c:dLbl>
              <c:idx val="2"/>
              <c:layout>
                <c:manualLayout>
                  <c:x val="-2.1304923785968901E-2"/>
                  <c:y val="0.33925049309664695"/>
                </c:manualLayout>
              </c:layout>
              <c:tx>
                <c:rich>
                  <a:bodyPr/>
                  <a:lstStyle/>
                  <a:p>
                    <a:r>
                      <a:rPr lang="en-US" sz="1200" b="1" i="0" baseline="0">
                        <a:solidFill>
                          <a:schemeClr val="bg1"/>
                        </a:solidFill>
                        <a:latin typeface="Times New Roman" panose="02020603050405020304" pitchFamily="18" charset="0"/>
                      </a:rPr>
                      <a:t>20</a:t>
                    </a:r>
                    <a:r>
                      <a:rPr lang="lt-LT" sz="1200" b="1" i="0" baseline="0">
                        <a:solidFill>
                          <a:schemeClr val="bg1"/>
                        </a:solidFill>
                        <a:latin typeface="Times New Roman" panose="02020603050405020304" pitchFamily="18" charset="0"/>
                      </a:rPr>
                      <a:t>14 m.</a:t>
                    </a:r>
                    <a:endParaRPr lang="en-US"/>
                  </a:p>
                </c:rich>
              </c:tx>
              <c:showLegendKey val="0"/>
              <c:showVal val="1"/>
              <c:showCatName val="0"/>
              <c:showSerName val="0"/>
              <c:showPercent val="0"/>
              <c:showBubbleSize val="0"/>
            </c:dLbl>
            <c:dLbl>
              <c:idx val="3"/>
              <c:layout>
                <c:manualLayout>
                  <c:x val="-1.5978692839476626E-2"/>
                  <c:y val="0.33136094674556216"/>
                </c:manualLayout>
              </c:layout>
              <c:tx>
                <c:rich>
                  <a:bodyPr/>
                  <a:lstStyle/>
                  <a:p>
                    <a:r>
                      <a:rPr lang="lt-LT" sz="1200" b="1" i="0" baseline="0">
                        <a:solidFill>
                          <a:schemeClr val="bg1"/>
                        </a:solidFill>
                        <a:latin typeface="Times New Roman" panose="02020603050405020304" pitchFamily="18" charset="0"/>
                      </a:rPr>
                      <a:t>2015m.</a:t>
                    </a:r>
                    <a:endParaRPr lang="en-US"/>
                  </a:p>
                </c:rich>
              </c:tx>
              <c:showLegendKey val="0"/>
              <c:showVal val="1"/>
              <c:showCatName val="0"/>
              <c:showSerName val="0"/>
              <c:showPercent val="0"/>
              <c:showBubbleSize val="0"/>
            </c:dLbl>
            <c:dLbl>
              <c:idx val="4"/>
              <c:layout>
                <c:manualLayout>
                  <c:x val="-1.5978692839476626E-2"/>
                  <c:y val="0.34714003944773186"/>
                </c:manualLayout>
              </c:layout>
              <c:tx>
                <c:rich>
                  <a:bodyPr/>
                  <a:lstStyle/>
                  <a:p>
                    <a:r>
                      <a:rPr lang="lt-LT" sz="1200" b="1" i="0" baseline="0">
                        <a:solidFill>
                          <a:schemeClr val="bg1"/>
                        </a:solidFill>
                        <a:latin typeface="Times New Roman" panose="02020603050405020304" pitchFamily="18" charset="0"/>
                      </a:rPr>
                      <a:t>2016 m.</a:t>
                    </a:r>
                    <a:endParaRPr lang="en-US"/>
                  </a:p>
                </c:rich>
              </c:tx>
              <c:showLegendKey val="0"/>
              <c:showVal val="1"/>
              <c:showCatName val="0"/>
              <c:showSerName val="0"/>
              <c:showPercent val="0"/>
              <c:showBubbleSize val="0"/>
            </c:dLbl>
            <c:txPr>
              <a:bodyPr/>
              <a:lstStyle/>
              <a:p>
                <a:pPr>
                  <a:defRPr sz="1200" b="1" i="0" baseline="0">
                    <a:solidFill>
                      <a:schemeClr val="bg1"/>
                    </a:solidFill>
                    <a:latin typeface="Times New Roman" panose="02020603050405020304" pitchFamily="18" charset="0"/>
                  </a:defRPr>
                </a:pPr>
                <a:endParaRPr lang="en-US"/>
              </a:p>
            </c:txPr>
            <c:showLegendKey val="0"/>
            <c:showVal val="1"/>
            <c:showCatName val="0"/>
            <c:showSerName val="0"/>
            <c:showPercent val="0"/>
            <c:showBubbleSize val="0"/>
            <c:showLeaderLines val="0"/>
          </c:dLbls>
          <c:cat>
            <c:strRef>
              <c:f>Lapas1!$B$4:$F$4</c:f>
              <c:strCache>
                <c:ptCount val="5"/>
                <c:pt idx="0">
                  <c:v>2012 m.</c:v>
                </c:pt>
                <c:pt idx="1">
                  <c:v>2013 m.</c:v>
                </c:pt>
                <c:pt idx="2">
                  <c:v>2014 m.</c:v>
                </c:pt>
                <c:pt idx="3">
                  <c:v>2015 m.</c:v>
                </c:pt>
                <c:pt idx="4">
                  <c:v>2016 m.</c:v>
                </c:pt>
              </c:strCache>
            </c:strRef>
          </c:cat>
          <c:val>
            <c:numRef>
              <c:f>Lapas1!$B$6:$F$6</c:f>
              <c:numCache>
                <c:formatCode>General</c:formatCode>
                <c:ptCount val="5"/>
                <c:pt idx="0">
                  <c:v>19943</c:v>
                </c:pt>
                <c:pt idx="1">
                  <c:v>19611</c:v>
                </c:pt>
                <c:pt idx="2">
                  <c:v>19231</c:v>
                </c:pt>
                <c:pt idx="3">
                  <c:v>18854</c:v>
                </c:pt>
                <c:pt idx="4">
                  <c:v>18417</c:v>
                </c:pt>
              </c:numCache>
            </c:numRef>
          </c:val>
        </c:ser>
        <c:dLbls>
          <c:showLegendKey val="0"/>
          <c:showVal val="0"/>
          <c:showCatName val="0"/>
          <c:showSerName val="0"/>
          <c:showPercent val="0"/>
          <c:showBubbleSize val="0"/>
        </c:dLbls>
        <c:gapWidth val="150"/>
        <c:shape val="box"/>
        <c:axId val="27243648"/>
        <c:axId val="27245184"/>
        <c:axId val="0"/>
      </c:bar3DChart>
      <c:catAx>
        <c:axId val="27243648"/>
        <c:scaling>
          <c:orientation val="minMax"/>
        </c:scaling>
        <c:delete val="0"/>
        <c:axPos val="b"/>
        <c:numFmt formatCode="General" sourceLinked="1"/>
        <c:majorTickMark val="none"/>
        <c:minorTickMark val="none"/>
        <c:tickLblPos val="nextTo"/>
        <c:crossAx val="27245184"/>
        <c:crosses val="autoZero"/>
        <c:auto val="1"/>
        <c:lblAlgn val="ctr"/>
        <c:lblOffset val="100"/>
        <c:noMultiLvlLbl val="0"/>
      </c:catAx>
      <c:valAx>
        <c:axId val="27245184"/>
        <c:scaling>
          <c:orientation val="minMax"/>
        </c:scaling>
        <c:delete val="0"/>
        <c:axPos val="l"/>
        <c:majorGridlines>
          <c:spPr>
            <a:ln>
              <a:gradFill>
                <a:gsLst>
                  <a:gs pos="0">
                    <a:schemeClr val="tx2"/>
                  </a:gs>
                  <a:gs pos="100000">
                    <a:schemeClr val="accent1">
                      <a:tint val="44500"/>
                      <a:satMod val="160000"/>
                    </a:schemeClr>
                  </a:gs>
                  <a:gs pos="100000">
                    <a:schemeClr val="accent1">
                      <a:tint val="23500"/>
                      <a:satMod val="160000"/>
                    </a:schemeClr>
                  </a:gs>
                </a:gsLst>
                <a:lin ang="5400000" scaled="0"/>
              </a:gradFill>
            </a:ln>
          </c:spPr>
        </c:majorGridlines>
        <c:numFmt formatCode="General" sourceLinked="1"/>
        <c:majorTickMark val="none"/>
        <c:minorTickMark val="none"/>
        <c:tickLblPos val="nextTo"/>
        <c:txPr>
          <a:bodyPr/>
          <a:lstStyle/>
          <a:p>
            <a:pPr>
              <a:defRPr baseline="0">
                <a:latin typeface="Times New Roman" panose="02020603050405020304" pitchFamily="18" charset="0"/>
              </a:defRPr>
            </a:pPr>
            <a:endParaRPr lang="en-US"/>
          </a:p>
        </c:txPr>
        <c:crossAx val="27243648"/>
        <c:crosses val="autoZero"/>
        <c:crossBetween val="between"/>
      </c:valAx>
      <c:dTable>
        <c:showHorzBorder val="1"/>
        <c:showVertBorder val="1"/>
        <c:showOutline val="1"/>
        <c:showKeys val="1"/>
        <c:txPr>
          <a:bodyPr/>
          <a:lstStyle/>
          <a:p>
            <a:pPr rtl="0">
              <a:defRPr baseline="0">
                <a:latin typeface="Times New Roman" panose="02020603050405020304" pitchFamily="18" charset="0"/>
              </a:defRPr>
            </a:pPr>
            <a:endParaRPr lang="en-US"/>
          </a:p>
        </c:txPr>
      </c:dTable>
    </c:plotArea>
    <c:plotVisOnly val="1"/>
    <c:dispBlanksAs val="gap"/>
    <c:showDLblsOverMax val="0"/>
  </c:chart>
  <c:spPr>
    <a:noFill/>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spPr>
        <a:solidFill>
          <a:schemeClr val="accent2"/>
        </a:solidFill>
      </c:spPr>
    </c:floor>
    <c:sideWall>
      <c:thickness val="0"/>
      <c:spPr>
        <a:gradFill>
          <a:gsLst>
            <a:gs pos="0">
              <a:srgbClr val="FBEAC7"/>
            </a:gs>
            <a:gs pos="17999">
              <a:srgbClr val="FEE7F2"/>
            </a:gs>
            <a:gs pos="36000">
              <a:srgbClr val="FAC77D"/>
            </a:gs>
            <a:gs pos="61000">
              <a:srgbClr val="FBA97D"/>
            </a:gs>
            <a:gs pos="82001">
              <a:srgbClr val="FBD49C"/>
            </a:gs>
            <a:gs pos="100000">
              <a:srgbClr val="FEE7F2"/>
            </a:gs>
          </a:gsLst>
          <a:lin ang="5400000" scaled="0"/>
        </a:gradFill>
      </c:spPr>
    </c:sideWall>
    <c:backWall>
      <c:thickness val="0"/>
      <c:spPr>
        <a:gradFill>
          <a:gsLst>
            <a:gs pos="0">
              <a:srgbClr val="FBEAC7"/>
            </a:gs>
            <a:gs pos="17999">
              <a:srgbClr val="FEE7F2"/>
            </a:gs>
            <a:gs pos="36000">
              <a:srgbClr val="FAC77D"/>
            </a:gs>
            <a:gs pos="61000">
              <a:srgbClr val="FBA97D"/>
            </a:gs>
            <a:gs pos="82001">
              <a:srgbClr val="FBD49C"/>
            </a:gs>
            <a:gs pos="100000">
              <a:srgbClr val="FEE7F2"/>
            </a:gs>
          </a:gsLst>
          <a:lin ang="5400000" scaled="0"/>
        </a:gradFill>
      </c:spPr>
    </c:backWall>
    <c:plotArea>
      <c:layout/>
      <c:bar3DChart>
        <c:barDir val="col"/>
        <c:grouping val="clustered"/>
        <c:varyColors val="0"/>
        <c:ser>
          <c:idx val="0"/>
          <c:order val="0"/>
          <c:tx>
            <c:strRef>
              <c:f>Lapas4!$B$30</c:f>
              <c:strCache>
                <c:ptCount val="1"/>
                <c:pt idx="0">
                  <c:v>2014 m.</c:v>
                </c:pt>
              </c:strCache>
            </c:strRef>
          </c:tx>
          <c:spPr>
            <a:ln>
              <a:solidFill>
                <a:schemeClr val="bg1"/>
              </a:solidFill>
            </a:ln>
          </c:spPr>
          <c:invertIfNegative val="0"/>
          <c:dLbls>
            <c:dLbl>
              <c:idx val="0"/>
              <c:layout>
                <c:manualLayout>
                  <c:x val="-1.6858042802343714E-17"/>
                  <c:y val="0.2933663339097014"/>
                </c:manualLayout>
              </c:layout>
              <c:showLegendKey val="0"/>
              <c:showVal val="1"/>
              <c:showCatName val="0"/>
              <c:showSerName val="0"/>
              <c:showPercent val="0"/>
              <c:showBubbleSize val="0"/>
            </c:dLbl>
            <c:dLbl>
              <c:idx val="1"/>
              <c:layout>
                <c:manualLayout>
                  <c:x val="1.8390804597700813E-3"/>
                  <c:y val="0.22084881316797747"/>
                </c:manualLayout>
              </c:layout>
              <c:showLegendKey val="0"/>
              <c:showVal val="1"/>
              <c:showCatName val="0"/>
              <c:showSerName val="0"/>
              <c:showPercent val="0"/>
              <c:showBubbleSize val="0"/>
            </c:dLbl>
            <c:dLbl>
              <c:idx val="2"/>
              <c:layout>
                <c:manualLayout>
                  <c:x val="-6.7432171209374856E-17"/>
                  <c:y val="0.12855378676941967"/>
                </c:manualLayout>
              </c:layout>
              <c:showLegendKey val="0"/>
              <c:showVal val="1"/>
              <c:showCatName val="0"/>
              <c:showSerName val="0"/>
              <c:showPercent val="0"/>
              <c:showBubbleSize val="0"/>
            </c:dLbl>
            <c:dLbl>
              <c:idx val="3"/>
              <c:layout>
                <c:manualLayout>
                  <c:x val="5.5172413793103444E-3"/>
                  <c:y val="0.22744131505358872"/>
                </c:manualLayout>
              </c:layout>
              <c:showLegendKey val="0"/>
              <c:showVal val="1"/>
              <c:showCatName val="0"/>
              <c:showSerName val="0"/>
              <c:showPercent val="0"/>
              <c:showBubbleSize val="0"/>
            </c:dLbl>
            <c:dLbl>
              <c:idx val="4"/>
              <c:layout>
                <c:manualLayout>
                  <c:x val="3.6781609195402297E-3"/>
                  <c:y val="0.26040382448164506"/>
                </c:manualLayout>
              </c:layout>
              <c:showLegendKey val="0"/>
              <c:showVal val="1"/>
              <c:showCatName val="0"/>
              <c:showSerName val="0"/>
              <c:showPercent val="0"/>
              <c:showBubbleSize val="0"/>
            </c:dLbl>
            <c:dLbl>
              <c:idx val="5"/>
              <c:layout>
                <c:manualLayout>
                  <c:x val="5.5172413793103444E-3"/>
                  <c:y val="0.26699632636725634"/>
                </c:manualLayout>
              </c:layout>
              <c:showLegendKey val="0"/>
              <c:showVal val="1"/>
              <c:showCatName val="0"/>
              <c:showSerName val="0"/>
              <c:showPercent val="0"/>
              <c:showBubbleSize val="0"/>
            </c:dLbl>
            <c:txPr>
              <a:bodyPr/>
              <a:lstStyle/>
              <a:p>
                <a:pPr>
                  <a:defRPr b="1">
                    <a:solidFill>
                      <a:schemeClr val="bg1"/>
                    </a:solidFill>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Lapas4!$A$31:$A$36</c:f>
              <c:strCache>
                <c:ptCount val="6"/>
                <c:pt idx="0">
                  <c:v>Lietuvos Respublika</c:v>
                </c:pt>
                <c:pt idx="1">
                  <c:v>Telšių apskritis</c:v>
                </c:pt>
                <c:pt idx="2">
                  <c:v>Mažeikių rajono savivaldybė</c:v>
                </c:pt>
                <c:pt idx="3">
                  <c:v>Plungės rajono savivaldybė</c:v>
                </c:pt>
                <c:pt idx="4">
                  <c:v>Rietavo rajono savivaldybė</c:v>
                </c:pt>
                <c:pt idx="5">
                  <c:v>Telšių rajono savivaldybė</c:v>
                </c:pt>
              </c:strCache>
            </c:strRef>
          </c:cat>
          <c:val>
            <c:numRef>
              <c:f>Lapas4!$B$31:$B$36</c:f>
              <c:numCache>
                <c:formatCode>General</c:formatCode>
                <c:ptCount val="6"/>
                <c:pt idx="0">
                  <c:v>126</c:v>
                </c:pt>
                <c:pt idx="1">
                  <c:v>113</c:v>
                </c:pt>
                <c:pt idx="2">
                  <c:v>96</c:v>
                </c:pt>
                <c:pt idx="3">
                  <c:v>117</c:v>
                </c:pt>
                <c:pt idx="4">
                  <c:v>126</c:v>
                </c:pt>
                <c:pt idx="5">
                  <c:v>129</c:v>
                </c:pt>
              </c:numCache>
            </c:numRef>
          </c:val>
        </c:ser>
        <c:ser>
          <c:idx val="1"/>
          <c:order val="1"/>
          <c:tx>
            <c:strRef>
              <c:f>Lapas4!$C$30</c:f>
              <c:strCache>
                <c:ptCount val="1"/>
                <c:pt idx="0">
                  <c:v>2015 m.</c:v>
                </c:pt>
              </c:strCache>
            </c:strRef>
          </c:tx>
          <c:spPr>
            <a:ln>
              <a:solidFill>
                <a:schemeClr val="bg1"/>
              </a:solidFill>
            </a:ln>
          </c:spPr>
          <c:invertIfNegative val="0"/>
          <c:dLbls>
            <c:dLbl>
              <c:idx val="0"/>
              <c:layout>
                <c:manualLayout>
                  <c:x val="-1.4480948503812693E-7"/>
                  <c:y val="0.21096006033956058"/>
                </c:manualLayout>
              </c:layout>
              <c:showLegendKey val="0"/>
              <c:showVal val="1"/>
              <c:showCatName val="0"/>
              <c:showSerName val="0"/>
              <c:showPercent val="0"/>
              <c:showBubbleSize val="0"/>
            </c:dLbl>
            <c:dLbl>
              <c:idx val="1"/>
              <c:layout>
                <c:manualLayout>
                  <c:x val="1.8390804597700813E-3"/>
                  <c:y val="0.15822004525467043"/>
                </c:manualLayout>
              </c:layout>
              <c:showLegendKey val="0"/>
              <c:showVal val="1"/>
              <c:showCatName val="0"/>
              <c:showSerName val="0"/>
              <c:showPercent val="0"/>
              <c:showBubbleSize val="0"/>
            </c:dLbl>
            <c:dLbl>
              <c:idx val="2"/>
              <c:layout>
                <c:manualLayout>
                  <c:x val="5.5172413793103444E-3"/>
                  <c:y val="6.5925018856112613E-2"/>
                </c:manualLayout>
              </c:layout>
              <c:showLegendKey val="0"/>
              <c:showVal val="1"/>
              <c:showCatName val="0"/>
              <c:showSerName val="0"/>
              <c:showPercent val="0"/>
              <c:showBubbleSize val="0"/>
            </c:dLbl>
            <c:dLbl>
              <c:idx val="3"/>
              <c:layout>
                <c:manualLayout>
                  <c:x val="5.5172413793103444E-3"/>
                  <c:y val="0.17799755091150424"/>
                </c:manualLayout>
              </c:layout>
              <c:showLegendKey val="0"/>
              <c:showVal val="1"/>
              <c:showCatName val="0"/>
              <c:showSerName val="0"/>
              <c:showPercent val="0"/>
              <c:showBubbleSize val="0"/>
            </c:dLbl>
            <c:dLbl>
              <c:idx val="4"/>
              <c:layout>
                <c:manualLayout>
                  <c:x val="-1.3486434241874971E-16"/>
                  <c:y val="0.19447880562553241"/>
                </c:manualLayout>
              </c:layout>
              <c:showLegendKey val="0"/>
              <c:showVal val="1"/>
              <c:showCatName val="0"/>
              <c:showSerName val="0"/>
              <c:showPercent val="0"/>
              <c:showBubbleSize val="0"/>
            </c:dLbl>
            <c:dLbl>
              <c:idx val="5"/>
              <c:layout>
                <c:manualLayout>
                  <c:x val="3.6781609195402297E-3"/>
                  <c:y val="0.2175525622251718"/>
                </c:manualLayout>
              </c:layout>
              <c:showLegendKey val="0"/>
              <c:showVal val="1"/>
              <c:showCatName val="0"/>
              <c:showSerName val="0"/>
              <c:showPercent val="0"/>
              <c:showBubbleSize val="0"/>
            </c:dLbl>
            <c:txPr>
              <a:bodyPr/>
              <a:lstStyle/>
              <a:p>
                <a:pPr>
                  <a:defRPr b="1">
                    <a:solidFill>
                      <a:schemeClr val="bg1"/>
                    </a:solidFill>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Lapas4!$A$31:$A$36</c:f>
              <c:strCache>
                <c:ptCount val="6"/>
                <c:pt idx="0">
                  <c:v>Lietuvos Respublika</c:v>
                </c:pt>
                <c:pt idx="1">
                  <c:v>Telšių apskritis</c:v>
                </c:pt>
                <c:pt idx="2">
                  <c:v>Mažeikių rajono savivaldybė</c:v>
                </c:pt>
                <c:pt idx="3">
                  <c:v>Plungės rajono savivaldybė</c:v>
                </c:pt>
                <c:pt idx="4">
                  <c:v>Rietavo rajono savivaldybė</c:v>
                </c:pt>
                <c:pt idx="5">
                  <c:v>Telšių rajono savivaldybė</c:v>
                </c:pt>
              </c:strCache>
            </c:strRef>
          </c:cat>
          <c:val>
            <c:numRef>
              <c:f>Lapas4!$C$31:$C$36</c:f>
              <c:numCache>
                <c:formatCode>General</c:formatCode>
                <c:ptCount val="6"/>
                <c:pt idx="0">
                  <c:v>129</c:v>
                </c:pt>
                <c:pt idx="1">
                  <c:v>117</c:v>
                </c:pt>
                <c:pt idx="2">
                  <c:v>100</c:v>
                </c:pt>
                <c:pt idx="3">
                  <c:v>123</c:v>
                </c:pt>
                <c:pt idx="4">
                  <c:v>128</c:v>
                </c:pt>
                <c:pt idx="5">
                  <c:v>134</c:v>
                </c:pt>
              </c:numCache>
            </c:numRef>
          </c:val>
        </c:ser>
        <c:ser>
          <c:idx val="2"/>
          <c:order val="2"/>
          <c:tx>
            <c:strRef>
              <c:f>Lapas4!$D$30</c:f>
              <c:strCache>
                <c:ptCount val="1"/>
                <c:pt idx="0">
                  <c:v>2016 m.</c:v>
                </c:pt>
              </c:strCache>
            </c:strRef>
          </c:tx>
          <c:spPr>
            <a:ln>
              <a:solidFill>
                <a:schemeClr val="bg1"/>
              </a:solidFill>
            </a:ln>
          </c:spPr>
          <c:invertIfNegative val="0"/>
          <c:dLbls>
            <c:dLbl>
              <c:idx val="0"/>
              <c:layout>
                <c:manualLayout>
                  <c:x val="7.3563218390804595E-3"/>
                  <c:y val="-9.8887528284169086E-3"/>
                </c:manualLayout>
              </c:layout>
              <c:showLegendKey val="0"/>
              <c:showVal val="1"/>
              <c:showCatName val="0"/>
              <c:showSerName val="0"/>
              <c:showPercent val="0"/>
              <c:showBubbleSize val="0"/>
            </c:dLbl>
            <c:dLbl>
              <c:idx val="1"/>
              <c:layout>
                <c:manualLayout>
                  <c:x val="1.1034482758620623E-2"/>
                  <c:y val="-9.8887528284169017E-3"/>
                </c:manualLayout>
              </c:layout>
              <c:showLegendKey val="0"/>
              <c:showVal val="1"/>
              <c:showCatName val="0"/>
              <c:showSerName val="0"/>
              <c:showPercent val="0"/>
              <c:showBubbleSize val="0"/>
            </c:dLbl>
            <c:dLbl>
              <c:idx val="2"/>
              <c:layout>
                <c:manualLayout>
                  <c:x val="5.5172413793103444E-3"/>
                  <c:y val="-1.9777505656833835E-2"/>
                </c:manualLayout>
              </c:layout>
              <c:showLegendKey val="0"/>
              <c:showVal val="1"/>
              <c:showCatName val="0"/>
              <c:showSerName val="0"/>
              <c:showPercent val="0"/>
              <c:showBubbleSize val="0"/>
            </c:dLbl>
            <c:dLbl>
              <c:idx val="3"/>
              <c:layout>
                <c:manualLayout>
                  <c:x val="1.1034482758620689E-2"/>
                  <c:y val="0"/>
                </c:manualLayout>
              </c:layout>
              <c:showLegendKey val="0"/>
              <c:showVal val="1"/>
              <c:showCatName val="0"/>
              <c:showSerName val="0"/>
              <c:showPercent val="0"/>
              <c:showBubbleSize val="0"/>
            </c:dLbl>
            <c:dLbl>
              <c:idx val="4"/>
              <c:layout>
                <c:manualLayout>
                  <c:x val="1.1034482758620689E-2"/>
                  <c:y val="0"/>
                </c:manualLayout>
              </c:layout>
              <c:showLegendKey val="0"/>
              <c:showVal val="1"/>
              <c:showCatName val="0"/>
              <c:showSerName val="0"/>
              <c:showPercent val="0"/>
              <c:showBubbleSize val="0"/>
            </c:dLbl>
            <c:dLbl>
              <c:idx val="5"/>
              <c:layout>
                <c:manualLayout>
                  <c:x val="9.1954022988505746E-3"/>
                  <c:y val="-3.2962509428056375E-3"/>
                </c:manualLayout>
              </c:layout>
              <c:showLegendKey val="0"/>
              <c:showVal val="1"/>
              <c:showCatName val="0"/>
              <c:showSerName val="0"/>
              <c:showPercent val="0"/>
              <c:showBubbleSize val="0"/>
            </c:dLbl>
            <c:txPr>
              <a:bodyPr/>
              <a:lstStyle/>
              <a:p>
                <a:pPr>
                  <a:defRPr b="1">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Lapas4!$A$31:$A$36</c:f>
              <c:strCache>
                <c:ptCount val="6"/>
                <c:pt idx="0">
                  <c:v>Lietuvos Respublika</c:v>
                </c:pt>
                <c:pt idx="1">
                  <c:v>Telšių apskritis</c:v>
                </c:pt>
                <c:pt idx="2">
                  <c:v>Mažeikių rajono savivaldybė</c:v>
                </c:pt>
                <c:pt idx="3">
                  <c:v>Plungės rajono savivaldybė</c:v>
                </c:pt>
                <c:pt idx="4">
                  <c:v>Rietavo rajono savivaldybė</c:v>
                </c:pt>
                <c:pt idx="5">
                  <c:v>Telšių rajono savivaldybė</c:v>
                </c:pt>
              </c:strCache>
            </c:strRef>
          </c:cat>
          <c:val>
            <c:numRef>
              <c:f>Lapas4!$D$31:$D$36</c:f>
              <c:numCache>
                <c:formatCode>General</c:formatCode>
                <c:ptCount val="6"/>
                <c:pt idx="0">
                  <c:v>129</c:v>
                </c:pt>
                <c:pt idx="1">
                  <c:v>120</c:v>
                </c:pt>
                <c:pt idx="2">
                  <c:v>102</c:v>
                </c:pt>
                <c:pt idx="3">
                  <c:v>125</c:v>
                </c:pt>
                <c:pt idx="4">
                  <c:v>132</c:v>
                </c:pt>
                <c:pt idx="5">
                  <c:v>138</c:v>
                </c:pt>
              </c:numCache>
            </c:numRef>
          </c:val>
        </c:ser>
        <c:dLbls>
          <c:showLegendKey val="0"/>
          <c:showVal val="0"/>
          <c:showCatName val="0"/>
          <c:showSerName val="0"/>
          <c:showPercent val="0"/>
          <c:showBubbleSize val="0"/>
        </c:dLbls>
        <c:gapWidth val="75"/>
        <c:shape val="box"/>
        <c:axId val="29911680"/>
        <c:axId val="29929856"/>
        <c:axId val="0"/>
      </c:bar3DChart>
      <c:catAx>
        <c:axId val="29911680"/>
        <c:scaling>
          <c:orientation val="minMax"/>
        </c:scaling>
        <c:delete val="0"/>
        <c:axPos val="b"/>
        <c:majorTickMark val="none"/>
        <c:minorTickMark val="none"/>
        <c:tickLblPos val="nextTo"/>
        <c:txPr>
          <a:bodyPr/>
          <a:lstStyle/>
          <a:p>
            <a:pPr>
              <a:defRPr sz="1000">
                <a:latin typeface="Times New Roman" panose="02020603050405020304" pitchFamily="18" charset="0"/>
                <a:cs typeface="Times New Roman" panose="02020603050405020304" pitchFamily="18" charset="0"/>
              </a:defRPr>
            </a:pPr>
            <a:endParaRPr lang="en-US"/>
          </a:p>
        </c:txPr>
        <c:crossAx val="29929856"/>
        <c:crosses val="autoZero"/>
        <c:auto val="1"/>
        <c:lblAlgn val="ctr"/>
        <c:lblOffset val="100"/>
        <c:noMultiLvlLbl val="0"/>
      </c:catAx>
      <c:valAx>
        <c:axId val="29929856"/>
        <c:scaling>
          <c:orientation val="minMax"/>
        </c:scaling>
        <c:delete val="0"/>
        <c:axPos val="l"/>
        <c:majorGridlines/>
        <c:numFmt formatCode="General" sourceLinked="1"/>
        <c:majorTickMark val="none"/>
        <c:minorTickMark val="none"/>
        <c:tickLblPos val="nextTo"/>
        <c:spPr>
          <a:ln w="9525">
            <a:noFill/>
          </a:ln>
        </c:spPr>
        <c:crossAx val="29911680"/>
        <c:crosses val="autoZero"/>
        <c:crossBetween val="between"/>
      </c:valAx>
    </c:plotArea>
    <c:legend>
      <c:legendPos val="b"/>
      <c:overlay val="0"/>
      <c:txPr>
        <a:bodyPr/>
        <a:lstStyle/>
        <a:p>
          <a:pPr>
            <a:defRPr b="1">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spPr>
        <a:solidFill>
          <a:schemeClr val="accent2"/>
        </a:solidFill>
      </c:spPr>
    </c:floor>
    <c:sideWall>
      <c:thickness val="0"/>
      <c:spPr>
        <a:gradFill>
          <a:gsLst>
            <a:gs pos="0">
              <a:srgbClr val="FBEAC7"/>
            </a:gs>
            <a:gs pos="17999">
              <a:srgbClr val="FEE7F2"/>
            </a:gs>
            <a:gs pos="36000">
              <a:srgbClr val="FAC77D"/>
            </a:gs>
            <a:gs pos="61000">
              <a:srgbClr val="FBA97D"/>
            </a:gs>
            <a:gs pos="82001">
              <a:srgbClr val="FBD49C"/>
            </a:gs>
            <a:gs pos="100000">
              <a:srgbClr val="FEE7F2"/>
            </a:gs>
          </a:gsLst>
          <a:lin ang="5400000" scaled="0"/>
        </a:gradFill>
        <a:ln>
          <a:solidFill>
            <a:schemeClr val="bg1"/>
          </a:solidFill>
        </a:ln>
      </c:spPr>
    </c:sideWall>
    <c:backWall>
      <c:thickness val="0"/>
      <c:spPr>
        <a:gradFill>
          <a:gsLst>
            <a:gs pos="0">
              <a:srgbClr val="FBEAC7"/>
            </a:gs>
            <a:gs pos="17999">
              <a:srgbClr val="FEE7F2"/>
            </a:gs>
            <a:gs pos="36000">
              <a:srgbClr val="FAC77D"/>
            </a:gs>
            <a:gs pos="61000">
              <a:srgbClr val="FBA97D"/>
            </a:gs>
            <a:gs pos="82001">
              <a:srgbClr val="FBD49C"/>
            </a:gs>
            <a:gs pos="100000">
              <a:srgbClr val="FEE7F2"/>
            </a:gs>
          </a:gsLst>
          <a:lin ang="5400000" scaled="0"/>
        </a:gradFill>
        <a:ln>
          <a:solidFill>
            <a:schemeClr val="bg1"/>
          </a:solidFill>
        </a:ln>
      </c:spPr>
    </c:backWall>
    <c:plotArea>
      <c:layout/>
      <c:bar3DChart>
        <c:barDir val="col"/>
        <c:grouping val="clustered"/>
        <c:varyColors val="0"/>
        <c:ser>
          <c:idx val="0"/>
          <c:order val="0"/>
          <c:tx>
            <c:strRef>
              <c:f>Lapas5!$A$6</c:f>
              <c:strCache>
                <c:ptCount val="1"/>
                <c:pt idx="0">
                  <c:v>darbingo amžiaus gyventojai</c:v>
                </c:pt>
              </c:strCache>
            </c:strRef>
          </c:tx>
          <c:spPr>
            <a:solidFill>
              <a:schemeClr val="accent2"/>
            </a:solidFill>
            <a:ln>
              <a:solidFill>
                <a:schemeClr val="bg1"/>
              </a:solidFill>
            </a:ln>
          </c:spPr>
          <c:invertIfNegative val="0"/>
          <c:dLbls>
            <c:dLbl>
              <c:idx val="0"/>
              <c:layout>
                <c:manualLayout>
                  <c:x val="1.6556027324631166E-3"/>
                  <c:y val="0.16666681370711015"/>
                </c:manualLayout>
              </c:layout>
              <c:showLegendKey val="0"/>
              <c:showVal val="1"/>
              <c:showCatName val="0"/>
              <c:showSerName val="0"/>
              <c:showPercent val="0"/>
              <c:showBubbleSize val="0"/>
            </c:dLbl>
            <c:dLbl>
              <c:idx val="1"/>
              <c:layout>
                <c:manualLayout>
                  <c:x val="-2.244510755020438E-3"/>
                  <c:y val="0.17592565635177956"/>
                </c:manualLayout>
              </c:layout>
              <c:showLegendKey val="0"/>
              <c:showVal val="1"/>
              <c:showCatName val="0"/>
              <c:showSerName val="0"/>
              <c:showPercent val="0"/>
              <c:showBubbleSize val="0"/>
            </c:dLbl>
            <c:dLbl>
              <c:idx val="2"/>
              <c:layout>
                <c:manualLayout>
                  <c:x val="1.6556027324631166E-3"/>
                  <c:y val="0.17682083857164907"/>
                </c:manualLayout>
              </c:layout>
              <c:showLegendKey val="0"/>
              <c:showVal val="1"/>
              <c:showCatName val="0"/>
              <c:showSerName val="0"/>
              <c:showPercent val="0"/>
              <c:showBubbleSize val="0"/>
            </c:dLbl>
            <c:dLbl>
              <c:idx val="3"/>
              <c:layout>
                <c:manualLayout>
                  <c:x val="1.655602732463035E-3"/>
                  <c:y val="0.17592595043266651"/>
                </c:manualLayout>
              </c:layout>
              <c:showLegendKey val="0"/>
              <c:showVal val="1"/>
              <c:showCatName val="0"/>
              <c:showSerName val="0"/>
              <c:showPercent val="0"/>
              <c:showBubbleSize val="0"/>
            </c:dLbl>
            <c:dLbl>
              <c:idx val="4"/>
              <c:layout>
                <c:manualLayout>
                  <c:x val="3.88153484153379E-3"/>
                  <c:y val="0.17592595043266651"/>
                </c:manualLayout>
              </c:layout>
              <c:showLegendKey val="0"/>
              <c:showVal val="1"/>
              <c:showCatName val="0"/>
              <c:showSerName val="0"/>
              <c:showPercent val="0"/>
              <c:showBubbleSize val="0"/>
            </c:dLbl>
            <c:txPr>
              <a:bodyPr/>
              <a:lstStyle/>
              <a:p>
                <a:pPr>
                  <a:defRPr b="1">
                    <a:solidFill>
                      <a:schemeClr val="bg1"/>
                    </a:solidFill>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Lapas5!$B$5:$F$5</c:f>
              <c:strCache>
                <c:ptCount val="5"/>
                <c:pt idx="0">
                  <c:v>2012 m.</c:v>
                </c:pt>
                <c:pt idx="1">
                  <c:v>2013 m.</c:v>
                </c:pt>
                <c:pt idx="2">
                  <c:v>2014 m.</c:v>
                </c:pt>
                <c:pt idx="3">
                  <c:v>2015 m.</c:v>
                </c:pt>
                <c:pt idx="4">
                  <c:v>2016 m.</c:v>
                </c:pt>
              </c:strCache>
            </c:strRef>
          </c:cat>
          <c:val>
            <c:numRef>
              <c:f>Lapas5!$B$6:$F$6</c:f>
              <c:numCache>
                <c:formatCode>General</c:formatCode>
                <c:ptCount val="5"/>
                <c:pt idx="0">
                  <c:v>27784</c:v>
                </c:pt>
                <c:pt idx="1">
                  <c:v>27327</c:v>
                </c:pt>
                <c:pt idx="2">
                  <c:v>26856</c:v>
                </c:pt>
                <c:pt idx="3">
                  <c:v>26466</c:v>
                </c:pt>
                <c:pt idx="4">
                  <c:v>25990</c:v>
                </c:pt>
              </c:numCache>
            </c:numRef>
          </c:val>
        </c:ser>
        <c:dLbls>
          <c:showLegendKey val="0"/>
          <c:showVal val="0"/>
          <c:showCatName val="0"/>
          <c:showSerName val="0"/>
          <c:showPercent val="0"/>
          <c:showBubbleSize val="0"/>
        </c:dLbls>
        <c:gapWidth val="150"/>
        <c:shape val="box"/>
        <c:axId val="35853056"/>
        <c:axId val="35854592"/>
        <c:axId val="0"/>
      </c:bar3DChart>
      <c:catAx>
        <c:axId val="35853056"/>
        <c:scaling>
          <c:orientation val="minMax"/>
        </c:scaling>
        <c:delete val="0"/>
        <c:axPos val="b"/>
        <c:majorTickMark val="out"/>
        <c:minorTickMark val="none"/>
        <c:tickLblPos val="nextTo"/>
        <c:txPr>
          <a:bodyPr/>
          <a:lstStyle/>
          <a:p>
            <a:pPr>
              <a:defRPr b="1">
                <a:latin typeface="Times New Roman" panose="02020603050405020304" pitchFamily="18" charset="0"/>
                <a:cs typeface="Times New Roman" panose="02020603050405020304" pitchFamily="18" charset="0"/>
              </a:defRPr>
            </a:pPr>
            <a:endParaRPr lang="en-US"/>
          </a:p>
        </c:txPr>
        <c:crossAx val="35854592"/>
        <c:crosses val="autoZero"/>
        <c:auto val="1"/>
        <c:lblAlgn val="ctr"/>
        <c:lblOffset val="100"/>
        <c:noMultiLvlLbl val="0"/>
      </c:catAx>
      <c:valAx>
        <c:axId val="35854592"/>
        <c:scaling>
          <c:orientation val="minMax"/>
        </c:scaling>
        <c:delete val="0"/>
        <c:axPos val="l"/>
        <c:majorGridlines/>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35853056"/>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spPr>
        <a:solidFill>
          <a:schemeClr val="accent2"/>
        </a:solidFill>
      </c:spPr>
    </c:floor>
    <c:sideWall>
      <c:thickness val="0"/>
      <c:spPr>
        <a:gradFill>
          <a:gsLst>
            <a:gs pos="0">
              <a:srgbClr val="FBEAC7"/>
            </a:gs>
            <a:gs pos="17999">
              <a:srgbClr val="FEE7F2"/>
            </a:gs>
            <a:gs pos="36000">
              <a:srgbClr val="FAC77D"/>
            </a:gs>
            <a:gs pos="61000">
              <a:srgbClr val="FBA97D"/>
            </a:gs>
            <a:gs pos="82001">
              <a:srgbClr val="FBD49C"/>
            </a:gs>
            <a:gs pos="100000">
              <a:srgbClr val="FEE7F2"/>
            </a:gs>
          </a:gsLst>
          <a:lin ang="16200000" scaled="0"/>
        </a:gradFill>
        <a:ln>
          <a:solidFill>
            <a:schemeClr val="tx2">
              <a:lumMod val="40000"/>
              <a:lumOff val="60000"/>
            </a:schemeClr>
          </a:solidFill>
        </a:ln>
      </c:spPr>
    </c:sideWall>
    <c:backWall>
      <c:thickness val="0"/>
      <c:spPr>
        <a:gradFill>
          <a:gsLst>
            <a:gs pos="0">
              <a:srgbClr val="FBEAC7"/>
            </a:gs>
            <a:gs pos="17999">
              <a:srgbClr val="FEE7F2"/>
            </a:gs>
            <a:gs pos="36000">
              <a:srgbClr val="FAC77D"/>
            </a:gs>
            <a:gs pos="61000">
              <a:srgbClr val="FBA97D"/>
            </a:gs>
            <a:gs pos="82001">
              <a:srgbClr val="FBD49C"/>
            </a:gs>
            <a:gs pos="100000">
              <a:srgbClr val="FEE7F2"/>
            </a:gs>
          </a:gsLst>
          <a:lin ang="16200000" scaled="0"/>
        </a:gradFill>
        <a:ln>
          <a:solidFill>
            <a:schemeClr val="tx2">
              <a:lumMod val="40000"/>
              <a:lumOff val="60000"/>
            </a:schemeClr>
          </a:solidFill>
        </a:ln>
      </c:spPr>
    </c:backWall>
    <c:plotArea>
      <c:layout/>
      <c:bar3DChart>
        <c:barDir val="col"/>
        <c:grouping val="stacked"/>
        <c:varyColors val="0"/>
        <c:ser>
          <c:idx val="0"/>
          <c:order val="0"/>
          <c:tx>
            <c:strRef>
              <c:f>Lapas2!$A$5</c:f>
              <c:strCache>
                <c:ptCount val="1"/>
                <c:pt idx="0">
                  <c:v>darbingo amžiaus gyventojai</c:v>
                </c:pt>
              </c:strCache>
            </c:strRef>
          </c:tx>
          <c:invertIfNegative val="0"/>
          <c:dLbls>
            <c:dLbl>
              <c:idx val="0"/>
              <c:layout>
                <c:manualLayout>
                  <c:x val="3.6680416527791167E-3"/>
                  <c:y val="0"/>
                </c:manualLayout>
              </c:layout>
              <c:showLegendKey val="0"/>
              <c:showVal val="1"/>
              <c:showCatName val="0"/>
              <c:showSerName val="0"/>
              <c:showPercent val="0"/>
              <c:showBubbleSize val="0"/>
            </c:dLbl>
            <c:dLbl>
              <c:idx val="1"/>
              <c:layout>
                <c:manualLayout>
                  <c:x val="1.1004124958337434E-2"/>
                  <c:y val="0"/>
                </c:manualLayout>
              </c:layout>
              <c:showLegendKey val="0"/>
              <c:showVal val="1"/>
              <c:showCatName val="0"/>
              <c:showSerName val="0"/>
              <c:showPercent val="0"/>
              <c:showBubbleSize val="0"/>
            </c:dLbl>
            <c:dLbl>
              <c:idx val="2"/>
              <c:layout>
                <c:manualLayout>
                  <c:x val="1.2838145784726968E-2"/>
                  <c:y val="-1.0346734115437097E-16"/>
                </c:manualLayout>
              </c:layout>
              <c:showLegendKey val="0"/>
              <c:showVal val="1"/>
              <c:showCatName val="0"/>
              <c:showSerName val="0"/>
              <c:showPercent val="0"/>
              <c:showBubbleSize val="0"/>
            </c:dLbl>
            <c:dLbl>
              <c:idx val="3"/>
              <c:layout>
                <c:manualLayout>
                  <c:x val="5.5020624791687006E-3"/>
                  <c:y val="0"/>
                </c:manualLayout>
              </c:layout>
              <c:showLegendKey val="0"/>
              <c:showVal val="1"/>
              <c:showCatName val="0"/>
              <c:showSerName val="0"/>
              <c:showPercent val="0"/>
              <c:showBubbleSize val="0"/>
            </c:dLbl>
            <c:dLbl>
              <c:idx val="4"/>
              <c:layout>
                <c:manualLayout>
                  <c:x val="5.502062479168633E-3"/>
                  <c:y val="0"/>
                </c:manualLayout>
              </c:layout>
              <c:showLegendKey val="0"/>
              <c:showVal val="1"/>
              <c:showCatName val="0"/>
              <c:showSerName val="0"/>
              <c:showPercent val="0"/>
              <c:showBubbleSize val="0"/>
            </c:dLbl>
            <c:txPr>
              <a:bodyPr/>
              <a:lstStyle/>
              <a:p>
                <a:pPr>
                  <a:defRPr b="1" i="0" baseline="0">
                    <a:solidFill>
                      <a:schemeClr val="bg1"/>
                    </a:solidFill>
                    <a:latin typeface="Times New Roman" panose="02020603050405020304" pitchFamily="18" charset="0"/>
                  </a:defRPr>
                </a:pPr>
                <a:endParaRPr lang="en-US"/>
              </a:p>
            </c:txPr>
            <c:showLegendKey val="0"/>
            <c:showVal val="1"/>
            <c:showCatName val="0"/>
            <c:showSerName val="0"/>
            <c:showPercent val="0"/>
            <c:showBubbleSize val="0"/>
            <c:showLeaderLines val="0"/>
          </c:dLbls>
          <c:cat>
            <c:strRef>
              <c:f>Lapas2!$B$4:$F$4</c:f>
              <c:strCache>
                <c:ptCount val="5"/>
                <c:pt idx="0">
                  <c:v>2012 m.</c:v>
                </c:pt>
                <c:pt idx="1">
                  <c:v>2013 m.</c:v>
                </c:pt>
                <c:pt idx="2">
                  <c:v>2014 m.</c:v>
                </c:pt>
                <c:pt idx="3">
                  <c:v>2015 m.</c:v>
                </c:pt>
                <c:pt idx="4">
                  <c:v>2016 m.</c:v>
                </c:pt>
              </c:strCache>
            </c:strRef>
          </c:cat>
          <c:val>
            <c:numRef>
              <c:f>Lapas2!$B$5:$F$5</c:f>
              <c:numCache>
                <c:formatCode>General</c:formatCode>
                <c:ptCount val="5"/>
                <c:pt idx="0">
                  <c:v>27784</c:v>
                </c:pt>
                <c:pt idx="1">
                  <c:v>27327</c:v>
                </c:pt>
                <c:pt idx="2">
                  <c:v>26856</c:v>
                </c:pt>
                <c:pt idx="3">
                  <c:v>26466</c:v>
                </c:pt>
                <c:pt idx="4">
                  <c:v>25990</c:v>
                </c:pt>
              </c:numCache>
            </c:numRef>
          </c:val>
        </c:ser>
        <c:ser>
          <c:idx val="1"/>
          <c:order val="1"/>
          <c:tx>
            <c:strRef>
              <c:f>Lapas2!$A$6</c:f>
              <c:strCache>
                <c:ptCount val="1"/>
                <c:pt idx="0">
                  <c:v> pensinio amžiaus gyventojų</c:v>
                </c:pt>
              </c:strCache>
            </c:strRef>
          </c:tx>
          <c:invertIfNegative val="0"/>
          <c:dLbls>
            <c:dLbl>
              <c:idx val="0"/>
              <c:layout>
                <c:manualLayout>
                  <c:x val="5.5020624791686833E-3"/>
                  <c:y val="0"/>
                </c:manualLayout>
              </c:layout>
              <c:showLegendKey val="0"/>
              <c:showVal val="1"/>
              <c:showCatName val="0"/>
              <c:showSerName val="0"/>
              <c:showPercent val="0"/>
              <c:showBubbleSize val="0"/>
            </c:dLbl>
            <c:dLbl>
              <c:idx val="1"/>
              <c:layout>
                <c:manualLayout>
                  <c:x val="9.1701041319478347E-3"/>
                  <c:y val="2.8218691750343237E-3"/>
                </c:manualLayout>
              </c:layout>
              <c:showLegendKey val="0"/>
              <c:showVal val="1"/>
              <c:showCatName val="0"/>
              <c:showSerName val="0"/>
              <c:showPercent val="0"/>
              <c:showBubbleSize val="0"/>
            </c:dLbl>
            <c:dLbl>
              <c:idx val="2"/>
              <c:layout>
                <c:manualLayout>
                  <c:x val="7.3360833055582672E-3"/>
                  <c:y val="-5.1733670577185486E-17"/>
                </c:manualLayout>
              </c:layout>
              <c:showLegendKey val="0"/>
              <c:showVal val="1"/>
              <c:showCatName val="0"/>
              <c:showSerName val="0"/>
              <c:showPercent val="0"/>
              <c:showBubbleSize val="0"/>
            </c:dLbl>
            <c:dLbl>
              <c:idx val="3"/>
              <c:layout>
                <c:manualLayout>
                  <c:x val="1.1004124958337401E-2"/>
                  <c:y val="-1.0346734115437097E-16"/>
                </c:manualLayout>
              </c:layout>
              <c:showLegendKey val="0"/>
              <c:showVal val="1"/>
              <c:showCatName val="0"/>
              <c:showSerName val="0"/>
              <c:showPercent val="0"/>
              <c:showBubbleSize val="0"/>
            </c:dLbl>
            <c:dLbl>
              <c:idx val="4"/>
              <c:layout>
                <c:manualLayout>
                  <c:x val="7.3360833055582672E-3"/>
                  <c:y val="5.1733670577185486E-17"/>
                </c:manualLayout>
              </c:layout>
              <c:showLegendKey val="0"/>
              <c:showVal val="1"/>
              <c:showCatName val="0"/>
              <c:showSerName val="0"/>
              <c:showPercent val="0"/>
              <c:showBubbleSize val="0"/>
            </c:dLbl>
            <c:txPr>
              <a:bodyPr/>
              <a:lstStyle/>
              <a:p>
                <a:pPr>
                  <a:defRPr b="1" i="0" baseline="0">
                    <a:solidFill>
                      <a:schemeClr val="bg1"/>
                    </a:solidFill>
                    <a:latin typeface="Times New Roman" panose="02020603050405020304" pitchFamily="18" charset="0"/>
                  </a:defRPr>
                </a:pPr>
                <a:endParaRPr lang="en-US"/>
              </a:p>
            </c:txPr>
            <c:showLegendKey val="0"/>
            <c:showVal val="1"/>
            <c:showCatName val="0"/>
            <c:showSerName val="0"/>
            <c:showPercent val="0"/>
            <c:showBubbleSize val="0"/>
            <c:showLeaderLines val="0"/>
          </c:dLbls>
          <c:cat>
            <c:strRef>
              <c:f>Lapas2!$B$4:$F$4</c:f>
              <c:strCache>
                <c:ptCount val="5"/>
                <c:pt idx="0">
                  <c:v>2012 m.</c:v>
                </c:pt>
                <c:pt idx="1">
                  <c:v>2013 m.</c:v>
                </c:pt>
                <c:pt idx="2">
                  <c:v>2014 m.</c:v>
                </c:pt>
                <c:pt idx="3">
                  <c:v>2015 m.</c:v>
                </c:pt>
                <c:pt idx="4">
                  <c:v>2016 m.</c:v>
                </c:pt>
              </c:strCache>
            </c:strRef>
          </c:cat>
          <c:val>
            <c:numRef>
              <c:f>Lapas2!$B$6:$F$6</c:f>
              <c:numCache>
                <c:formatCode>General</c:formatCode>
                <c:ptCount val="5"/>
                <c:pt idx="0">
                  <c:v>10764</c:v>
                </c:pt>
                <c:pt idx="1">
                  <c:v>10660</c:v>
                </c:pt>
                <c:pt idx="2">
                  <c:v>10479</c:v>
                </c:pt>
                <c:pt idx="3">
                  <c:v>10389</c:v>
                </c:pt>
                <c:pt idx="4">
                  <c:v>10222</c:v>
                </c:pt>
              </c:numCache>
            </c:numRef>
          </c:val>
        </c:ser>
        <c:ser>
          <c:idx val="2"/>
          <c:order val="2"/>
          <c:tx>
            <c:strRef>
              <c:f>Lapas2!$A$7</c:f>
              <c:strCache>
                <c:ptCount val="1"/>
                <c:pt idx="0">
                  <c:v> suaugusių asmenų su negalia</c:v>
                </c:pt>
              </c:strCache>
            </c:strRef>
          </c:tx>
          <c:invertIfNegative val="0"/>
          <c:dLbls>
            <c:txPr>
              <a:bodyPr/>
              <a:lstStyle/>
              <a:p>
                <a:pPr>
                  <a:defRPr b="1" i="0" baseline="0">
                    <a:solidFill>
                      <a:schemeClr val="bg1"/>
                    </a:solidFill>
                    <a:latin typeface="Times New Roman" panose="02020603050405020304" pitchFamily="18" charset="0"/>
                  </a:defRPr>
                </a:pPr>
                <a:endParaRPr lang="en-US"/>
              </a:p>
            </c:txPr>
            <c:showLegendKey val="0"/>
            <c:showVal val="1"/>
            <c:showCatName val="0"/>
            <c:showSerName val="0"/>
            <c:showPercent val="0"/>
            <c:showBubbleSize val="0"/>
            <c:showLeaderLines val="0"/>
          </c:dLbls>
          <c:cat>
            <c:strRef>
              <c:f>Lapas2!$B$4:$F$4</c:f>
              <c:strCache>
                <c:ptCount val="5"/>
                <c:pt idx="0">
                  <c:v>2012 m.</c:v>
                </c:pt>
                <c:pt idx="1">
                  <c:v>2013 m.</c:v>
                </c:pt>
                <c:pt idx="2">
                  <c:v>2014 m.</c:v>
                </c:pt>
                <c:pt idx="3">
                  <c:v>2015 m.</c:v>
                </c:pt>
                <c:pt idx="4">
                  <c:v>2016 m.</c:v>
                </c:pt>
              </c:strCache>
            </c:strRef>
          </c:cat>
          <c:val>
            <c:numRef>
              <c:f>Lapas2!$B$7:$F$7</c:f>
              <c:numCache>
                <c:formatCode>General</c:formatCode>
                <c:ptCount val="5"/>
                <c:pt idx="0">
                  <c:v>3567</c:v>
                </c:pt>
                <c:pt idx="1">
                  <c:v>4025</c:v>
                </c:pt>
                <c:pt idx="2">
                  <c:v>4027</c:v>
                </c:pt>
                <c:pt idx="3">
                  <c:v>4049</c:v>
                </c:pt>
                <c:pt idx="4">
                  <c:v>3984</c:v>
                </c:pt>
              </c:numCache>
            </c:numRef>
          </c:val>
        </c:ser>
        <c:ser>
          <c:idx val="3"/>
          <c:order val="3"/>
          <c:tx>
            <c:strRef>
              <c:f>Lapas2!$A$8</c:f>
              <c:strCache>
                <c:ptCount val="1"/>
                <c:pt idx="0">
                  <c:v> vaikų  (iki 15 metų)</c:v>
                </c:pt>
              </c:strCache>
            </c:strRef>
          </c:tx>
          <c:invertIfNegative val="0"/>
          <c:dLbls>
            <c:txPr>
              <a:bodyPr/>
              <a:lstStyle/>
              <a:p>
                <a:pPr>
                  <a:defRPr b="1" i="0" baseline="0">
                    <a:solidFill>
                      <a:schemeClr val="bg1"/>
                    </a:solidFill>
                    <a:latin typeface="Times New Roman" panose="02020603050405020304" pitchFamily="18" charset="0"/>
                  </a:defRPr>
                </a:pPr>
                <a:endParaRPr lang="en-US"/>
              </a:p>
            </c:txPr>
            <c:showLegendKey val="0"/>
            <c:showVal val="1"/>
            <c:showCatName val="0"/>
            <c:showSerName val="0"/>
            <c:showPercent val="0"/>
            <c:showBubbleSize val="0"/>
            <c:showLeaderLines val="0"/>
          </c:dLbls>
          <c:cat>
            <c:strRef>
              <c:f>Lapas2!$B$4:$F$4</c:f>
              <c:strCache>
                <c:ptCount val="5"/>
                <c:pt idx="0">
                  <c:v>2012 m.</c:v>
                </c:pt>
                <c:pt idx="1">
                  <c:v>2013 m.</c:v>
                </c:pt>
                <c:pt idx="2">
                  <c:v>2014 m.</c:v>
                </c:pt>
                <c:pt idx="3">
                  <c:v>2015 m.</c:v>
                </c:pt>
                <c:pt idx="4">
                  <c:v>2016 m.</c:v>
                </c:pt>
              </c:strCache>
            </c:strRef>
          </c:cat>
          <c:val>
            <c:numRef>
              <c:f>Lapas2!$B$8:$F$8</c:f>
              <c:numCache>
                <c:formatCode>General</c:formatCode>
                <c:ptCount val="5"/>
                <c:pt idx="0">
                  <c:v>7725</c:v>
                </c:pt>
                <c:pt idx="1">
                  <c:v>7487</c:v>
                </c:pt>
                <c:pt idx="2">
                  <c:v>7275</c:v>
                </c:pt>
                <c:pt idx="3">
                  <c:v>7067</c:v>
                </c:pt>
                <c:pt idx="4">
                  <c:v>6847</c:v>
                </c:pt>
              </c:numCache>
            </c:numRef>
          </c:val>
        </c:ser>
        <c:ser>
          <c:idx val="4"/>
          <c:order val="4"/>
          <c:tx>
            <c:strRef>
              <c:f>Lapas2!$A$9</c:f>
              <c:strCache>
                <c:ptCount val="1"/>
                <c:pt idx="0">
                  <c:v> vaikų su negalia</c:v>
                </c:pt>
              </c:strCache>
            </c:strRef>
          </c:tx>
          <c:invertIfNegative val="0"/>
          <c:dLbls>
            <c:dLbl>
              <c:idx val="0"/>
              <c:layout>
                <c:manualLayout>
                  <c:x val="4.9829046153206137E-3"/>
                  <c:y val="-8.4656075251029698E-3"/>
                </c:manualLayout>
              </c:layout>
              <c:showLegendKey val="0"/>
              <c:showVal val="1"/>
              <c:showCatName val="0"/>
              <c:showSerName val="0"/>
              <c:showPercent val="0"/>
              <c:showBubbleSize val="0"/>
            </c:dLbl>
            <c:dLbl>
              <c:idx val="1"/>
              <c:layout>
                <c:manualLayout>
                  <c:x val="8.7374485102263266E-3"/>
                  <c:y val="-8.4656075251029698E-3"/>
                </c:manualLayout>
              </c:layout>
              <c:showLegendKey val="0"/>
              <c:showVal val="1"/>
              <c:showCatName val="0"/>
              <c:showSerName val="0"/>
              <c:showPercent val="0"/>
              <c:showBubbleSize val="0"/>
            </c:dLbl>
            <c:dLbl>
              <c:idx val="2"/>
              <c:layout>
                <c:manualLayout>
                  <c:x val="6.9899509822807498E-3"/>
                  <c:y val="-1.1287476700137295E-2"/>
                </c:manualLayout>
              </c:layout>
              <c:showLegendKey val="0"/>
              <c:showVal val="1"/>
              <c:showCatName val="0"/>
              <c:showSerName val="0"/>
              <c:showPercent val="0"/>
              <c:showBubbleSize val="0"/>
            </c:dLbl>
            <c:dLbl>
              <c:idx val="3"/>
              <c:layout>
                <c:manualLayout>
                  <c:x val="6.9899509822806856E-3"/>
                  <c:y val="-8.4656075251029958E-3"/>
                </c:manualLayout>
              </c:layout>
              <c:showLegendKey val="0"/>
              <c:showVal val="1"/>
              <c:showCatName val="0"/>
              <c:showSerName val="0"/>
              <c:showPercent val="0"/>
              <c:showBubbleSize val="0"/>
            </c:dLbl>
            <c:dLbl>
              <c:idx val="4"/>
              <c:layout>
                <c:manualLayout>
                  <c:x val="6.9899509822807498E-3"/>
                  <c:y val="-8.4656075251029698E-3"/>
                </c:manualLayout>
              </c:layout>
              <c:showLegendKey val="0"/>
              <c:showVal val="1"/>
              <c:showCatName val="0"/>
              <c:showSerName val="0"/>
              <c:showPercent val="0"/>
              <c:showBubbleSize val="0"/>
            </c:dLbl>
            <c:txPr>
              <a:bodyPr/>
              <a:lstStyle/>
              <a:p>
                <a:pPr>
                  <a:defRPr b="1" i="0" baseline="0">
                    <a:solidFill>
                      <a:schemeClr val="bg1"/>
                    </a:solidFill>
                    <a:latin typeface="Times New Roman" panose="02020603050405020304" pitchFamily="18" charset="0"/>
                  </a:defRPr>
                </a:pPr>
                <a:endParaRPr lang="en-US"/>
              </a:p>
            </c:txPr>
            <c:showLegendKey val="0"/>
            <c:showVal val="1"/>
            <c:showCatName val="0"/>
            <c:showSerName val="0"/>
            <c:showPercent val="0"/>
            <c:showBubbleSize val="0"/>
            <c:showLeaderLines val="0"/>
          </c:dLbls>
          <c:cat>
            <c:strRef>
              <c:f>Lapas2!$B$4:$F$4</c:f>
              <c:strCache>
                <c:ptCount val="5"/>
                <c:pt idx="0">
                  <c:v>2012 m.</c:v>
                </c:pt>
                <c:pt idx="1">
                  <c:v>2013 m.</c:v>
                </c:pt>
                <c:pt idx="2">
                  <c:v>2014 m.</c:v>
                </c:pt>
                <c:pt idx="3">
                  <c:v>2015 m.</c:v>
                </c:pt>
                <c:pt idx="4">
                  <c:v>2016 m.</c:v>
                </c:pt>
              </c:strCache>
            </c:strRef>
          </c:cat>
          <c:val>
            <c:numRef>
              <c:f>Lapas2!$B$9:$F$9</c:f>
              <c:numCache>
                <c:formatCode>General</c:formatCode>
                <c:ptCount val="5"/>
                <c:pt idx="0">
                  <c:v>444</c:v>
                </c:pt>
                <c:pt idx="1">
                  <c:v>417</c:v>
                </c:pt>
                <c:pt idx="2">
                  <c:v>412</c:v>
                </c:pt>
                <c:pt idx="3">
                  <c:v>409</c:v>
                </c:pt>
                <c:pt idx="4">
                  <c:v>393</c:v>
                </c:pt>
              </c:numCache>
            </c:numRef>
          </c:val>
        </c:ser>
        <c:dLbls>
          <c:showLegendKey val="0"/>
          <c:showVal val="0"/>
          <c:showCatName val="0"/>
          <c:showSerName val="0"/>
          <c:showPercent val="0"/>
          <c:showBubbleSize val="0"/>
        </c:dLbls>
        <c:gapWidth val="150"/>
        <c:shape val="box"/>
        <c:axId val="42994688"/>
        <c:axId val="43004672"/>
        <c:axId val="0"/>
      </c:bar3DChart>
      <c:catAx>
        <c:axId val="42994688"/>
        <c:scaling>
          <c:orientation val="minMax"/>
        </c:scaling>
        <c:delete val="0"/>
        <c:axPos val="b"/>
        <c:majorTickMark val="out"/>
        <c:minorTickMark val="none"/>
        <c:tickLblPos val="nextTo"/>
        <c:txPr>
          <a:bodyPr/>
          <a:lstStyle/>
          <a:p>
            <a:pPr>
              <a:defRPr baseline="0">
                <a:latin typeface="Times New Roman" panose="02020603050405020304" pitchFamily="18" charset="0"/>
              </a:defRPr>
            </a:pPr>
            <a:endParaRPr lang="en-US"/>
          </a:p>
        </c:txPr>
        <c:crossAx val="43004672"/>
        <c:crosses val="autoZero"/>
        <c:auto val="1"/>
        <c:lblAlgn val="ctr"/>
        <c:lblOffset val="100"/>
        <c:noMultiLvlLbl val="0"/>
      </c:catAx>
      <c:valAx>
        <c:axId val="43004672"/>
        <c:scaling>
          <c:orientation val="minMax"/>
        </c:scaling>
        <c:delete val="0"/>
        <c:axPos val="l"/>
        <c:majorGridlines>
          <c:spPr>
            <a:effectLst>
              <a:outerShdw blurRad="50800" dist="50800" dir="5400000" algn="ctr" rotWithShape="0">
                <a:schemeClr val="accent1"/>
              </a:outerShdw>
            </a:effectLst>
          </c:spPr>
        </c:majorGridlines>
        <c:numFmt formatCode="General" sourceLinked="1"/>
        <c:majorTickMark val="out"/>
        <c:minorTickMark val="none"/>
        <c:tickLblPos val="nextTo"/>
        <c:txPr>
          <a:bodyPr/>
          <a:lstStyle/>
          <a:p>
            <a:pPr>
              <a:defRPr baseline="0">
                <a:latin typeface="Times New Roman" panose="02020603050405020304" pitchFamily="18" charset="0"/>
              </a:defRPr>
            </a:pPr>
            <a:endParaRPr lang="en-US"/>
          </a:p>
        </c:txPr>
        <c:crossAx val="42994688"/>
        <c:crosses val="autoZero"/>
        <c:crossBetween val="between"/>
      </c:valAx>
    </c:plotArea>
    <c:legend>
      <c:legendPos val="r"/>
      <c:layout>
        <c:manualLayout>
          <c:xMode val="edge"/>
          <c:yMode val="edge"/>
          <c:x val="0.70975898366941648"/>
          <c:y val="0.27648740835313268"/>
          <c:w val="0.27501604407195368"/>
          <c:h val="0.57965303452034778"/>
        </c:manualLayout>
      </c:layout>
      <c:overlay val="0"/>
      <c:txPr>
        <a:bodyPr/>
        <a:lstStyle/>
        <a:p>
          <a:pPr>
            <a:defRPr sz="1200" baseline="0">
              <a:latin typeface="Times New Roman" panose="02020603050405020304" pitchFamily="18" charset="0"/>
            </a:defRPr>
          </a:pPr>
          <a:endParaRPr lang="en-US"/>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spPr>
        <a:solidFill>
          <a:schemeClr val="accent2"/>
        </a:solidFill>
      </c:spPr>
    </c:floor>
    <c:sideWall>
      <c:thickness val="0"/>
      <c:spPr>
        <a:gradFill>
          <a:gsLst>
            <a:gs pos="0">
              <a:srgbClr val="FBEAC7"/>
            </a:gs>
            <a:gs pos="17999">
              <a:srgbClr val="FEE7F2"/>
            </a:gs>
            <a:gs pos="36000">
              <a:srgbClr val="FAC77D"/>
            </a:gs>
            <a:gs pos="61000">
              <a:srgbClr val="FBA97D"/>
            </a:gs>
            <a:gs pos="82001">
              <a:srgbClr val="FBD49C"/>
            </a:gs>
            <a:gs pos="100000">
              <a:srgbClr val="FEE7F2"/>
            </a:gs>
          </a:gsLst>
          <a:lin ang="5400000" scaled="0"/>
        </a:gradFill>
      </c:spPr>
    </c:sideWall>
    <c:backWall>
      <c:thickness val="0"/>
      <c:spPr>
        <a:gradFill>
          <a:gsLst>
            <a:gs pos="0">
              <a:srgbClr val="FBEAC7"/>
            </a:gs>
            <a:gs pos="17999">
              <a:srgbClr val="FEE7F2"/>
            </a:gs>
            <a:gs pos="36000">
              <a:srgbClr val="FAC77D"/>
            </a:gs>
            <a:gs pos="61000">
              <a:srgbClr val="FBA97D"/>
            </a:gs>
            <a:gs pos="82001">
              <a:srgbClr val="FBD49C"/>
            </a:gs>
            <a:gs pos="100000">
              <a:srgbClr val="FEE7F2"/>
            </a:gs>
          </a:gsLst>
          <a:lin ang="5400000" scaled="0"/>
        </a:gradFill>
      </c:spPr>
    </c:backWall>
    <c:plotArea>
      <c:layout/>
      <c:bar3DChart>
        <c:barDir val="col"/>
        <c:grouping val="clustered"/>
        <c:varyColors val="0"/>
        <c:ser>
          <c:idx val="0"/>
          <c:order val="0"/>
          <c:tx>
            <c:strRef>
              <c:f>Lapas3!$B$30</c:f>
              <c:strCache>
                <c:ptCount val="1"/>
                <c:pt idx="0">
                  <c:v>Telšių rajono savivaldybė</c:v>
                </c:pt>
              </c:strCache>
            </c:strRef>
          </c:tx>
          <c:spPr>
            <a:solidFill>
              <a:schemeClr val="accent1"/>
            </a:solidFill>
            <a:ln>
              <a:solidFill>
                <a:schemeClr val="bg1"/>
              </a:solidFill>
            </a:ln>
          </c:spPr>
          <c:invertIfNegative val="0"/>
          <c:dLbls>
            <c:dLbl>
              <c:idx val="0"/>
              <c:layout>
                <c:manualLayout>
                  <c:x val="0"/>
                  <c:y val="0.32049782149195033"/>
                </c:manualLayout>
              </c:layout>
              <c:showLegendKey val="0"/>
              <c:showVal val="1"/>
              <c:showCatName val="0"/>
              <c:showSerName val="0"/>
              <c:showPercent val="0"/>
              <c:showBubbleSize val="0"/>
            </c:dLbl>
            <c:dLbl>
              <c:idx val="1"/>
              <c:layout>
                <c:manualLayout>
                  <c:x val="0"/>
                  <c:y val="0.27693501080372412"/>
                </c:manualLayout>
              </c:layout>
              <c:showLegendKey val="0"/>
              <c:showVal val="1"/>
              <c:showCatName val="0"/>
              <c:showSerName val="0"/>
              <c:showPercent val="0"/>
              <c:showBubbleSize val="0"/>
            </c:dLbl>
            <c:dLbl>
              <c:idx val="2"/>
              <c:layout>
                <c:manualLayout>
                  <c:x val="2.2075055187637969E-3"/>
                  <c:y val="0.16802798408315836"/>
                </c:manualLayout>
              </c:layout>
              <c:showLegendKey val="0"/>
              <c:showVal val="1"/>
              <c:showCatName val="0"/>
              <c:showSerName val="0"/>
              <c:showPercent val="0"/>
              <c:showBubbleSize val="0"/>
            </c:dLbl>
            <c:dLbl>
              <c:idx val="3"/>
              <c:layout>
                <c:manualLayout>
                  <c:x val="-1.7381933218612574E-7"/>
                  <c:y val="0.10890702672056564"/>
                </c:manualLayout>
              </c:layout>
              <c:showLegendKey val="0"/>
              <c:showVal val="1"/>
              <c:showCatName val="0"/>
              <c:showSerName val="0"/>
              <c:showPercent val="0"/>
              <c:showBubbleSize val="0"/>
            </c:dLbl>
            <c:dLbl>
              <c:idx val="4"/>
              <c:layout>
                <c:manualLayout>
                  <c:x val="6.6225165562913907E-3"/>
                  <c:y val="8.4013992041579208E-2"/>
                </c:manualLayout>
              </c:layout>
              <c:showLegendKey val="0"/>
              <c:showVal val="1"/>
              <c:showCatName val="0"/>
              <c:showSerName val="0"/>
              <c:showPercent val="0"/>
              <c:showBubbleSize val="0"/>
            </c:dLbl>
            <c:txPr>
              <a:bodyPr/>
              <a:lstStyle/>
              <a:p>
                <a:pPr>
                  <a:defRPr b="1">
                    <a:solidFill>
                      <a:schemeClr val="bg1"/>
                    </a:solidFill>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Lapas3!$A$31:$A$35</c:f>
              <c:strCache>
                <c:ptCount val="5"/>
                <c:pt idx="0">
                  <c:v>2012 m.</c:v>
                </c:pt>
                <c:pt idx="1">
                  <c:v>2013 m.</c:v>
                </c:pt>
                <c:pt idx="2">
                  <c:v>2014 m.</c:v>
                </c:pt>
                <c:pt idx="3">
                  <c:v>2015 m.</c:v>
                </c:pt>
                <c:pt idx="4">
                  <c:v>2016 m.</c:v>
                </c:pt>
              </c:strCache>
            </c:strRef>
          </c:cat>
          <c:val>
            <c:numRef>
              <c:f>Lapas3!$B$31:$B$35</c:f>
              <c:numCache>
                <c:formatCode>General</c:formatCode>
                <c:ptCount val="5"/>
                <c:pt idx="0">
                  <c:v>13.3</c:v>
                </c:pt>
                <c:pt idx="1">
                  <c:v>12.2</c:v>
                </c:pt>
                <c:pt idx="2">
                  <c:v>9.8000000000000007</c:v>
                </c:pt>
                <c:pt idx="3">
                  <c:v>8</c:v>
                </c:pt>
                <c:pt idx="4">
                  <c:v>7.4</c:v>
                </c:pt>
              </c:numCache>
            </c:numRef>
          </c:val>
        </c:ser>
        <c:ser>
          <c:idx val="1"/>
          <c:order val="1"/>
          <c:tx>
            <c:strRef>
              <c:f>Lapas3!$C$30</c:f>
              <c:strCache>
                <c:ptCount val="1"/>
                <c:pt idx="0">
                  <c:v>Lietuvos Respublika</c:v>
                </c:pt>
              </c:strCache>
            </c:strRef>
          </c:tx>
          <c:spPr>
            <a:ln>
              <a:solidFill>
                <a:schemeClr val="bg1"/>
              </a:solidFill>
            </a:ln>
          </c:spPr>
          <c:invertIfNegative val="0"/>
          <c:dLbls>
            <c:dLbl>
              <c:idx val="0"/>
              <c:layout>
                <c:manualLayout>
                  <c:x val="-2.2075055187637969E-3"/>
                  <c:y val="0.18669776009239825"/>
                </c:manualLayout>
              </c:layout>
              <c:showLegendKey val="0"/>
              <c:showVal val="1"/>
              <c:showCatName val="0"/>
              <c:showSerName val="0"/>
              <c:showPercent val="0"/>
              <c:showBubbleSize val="0"/>
            </c:dLbl>
            <c:dLbl>
              <c:idx val="1"/>
              <c:layout>
                <c:manualLayout>
                  <c:x val="2.2075055187637566E-3"/>
                  <c:y val="0.14935820807391847"/>
                </c:manualLayout>
              </c:layout>
              <c:showLegendKey val="0"/>
              <c:showVal val="1"/>
              <c:showCatName val="0"/>
              <c:showSerName val="0"/>
              <c:showPercent val="0"/>
              <c:showBubbleSize val="0"/>
            </c:dLbl>
            <c:dLbl>
              <c:idx val="2"/>
              <c:layout>
                <c:manualLayout>
                  <c:x val="0"/>
                  <c:y val="9.0237250711325698E-2"/>
                </c:manualLayout>
              </c:layout>
              <c:showLegendKey val="0"/>
              <c:showVal val="1"/>
              <c:showCatName val="0"/>
              <c:showSerName val="0"/>
              <c:showPercent val="0"/>
              <c:showBubbleSize val="0"/>
            </c:dLbl>
            <c:dLbl>
              <c:idx val="3"/>
              <c:layout>
                <c:manualLayout>
                  <c:x val="8.0940933984762867E-17"/>
                  <c:y val="6.5344216032339378E-2"/>
                </c:manualLayout>
              </c:layout>
              <c:showLegendKey val="0"/>
              <c:showVal val="1"/>
              <c:showCatName val="0"/>
              <c:showSerName val="0"/>
              <c:showPercent val="0"/>
              <c:showBubbleSize val="0"/>
            </c:dLbl>
            <c:dLbl>
              <c:idx val="4"/>
              <c:layout>
                <c:manualLayout>
                  <c:x val="-1.6188186796952573E-16"/>
                  <c:y val="4.9786069357972806E-2"/>
                </c:manualLayout>
              </c:layout>
              <c:showLegendKey val="0"/>
              <c:showVal val="1"/>
              <c:showCatName val="0"/>
              <c:showSerName val="0"/>
              <c:showPercent val="0"/>
              <c:showBubbleSize val="0"/>
            </c:dLbl>
            <c:txPr>
              <a:bodyPr/>
              <a:lstStyle/>
              <a:p>
                <a:pPr>
                  <a:defRPr b="1">
                    <a:solidFill>
                      <a:schemeClr val="bg1"/>
                    </a:solidFill>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Lapas3!$A$31:$A$35</c:f>
              <c:strCache>
                <c:ptCount val="5"/>
                <c:pt idx="0">
                  <c:v>2012 m.</c:v>
                </c:pt>
                <c:pt idx="1">
                  <c:v>2013 m.</c:v>
                </c:pt>
                <c:pt idx="2">
                  <c:v>2014 m.</c:v>
                </c:pt>
                <c:pt idx="3">
                  <c:v>2015 m.</c:v>
                </c:pt>
                <c:pt idx="4">
                  <c:v>2016 m.</c:v>
                </c:pt>
              </c:strCache>
            </c:strRef>
          </c:cat>
          <c:val>
            <c:numRef>
              <c:f>Lapas3!$C$31:$C$35</c:f>
              <c:numCache>
                <c:formatCode>General</c:formatCode>
                <c:ptCount val="5"/>
                <c:pt idx="0">
                  <c:v>11.7</c:v>
                </c:pt>
                <c:pt idx="1">
                  <c:v>10.9</c:v>
                </c:pt>
                <c:pt idx="2">
                  <c:v>9.5</c:v>
                </c:pt>
                <c:pt idx="3">
                  <c:v>8.6999999999999993</c:v>
                </c:pt>
                <c:pt idx="4">
                  <c:v>8.1</c:v>
                </c:pt>
              </c:numCache>
            </c:numRef>
          </c:val>
        </c:ser>
        <c:ser>
          <c:idx val="2"/>
          <c:order val="2"/>
          <c:tx>
            <c:strRef>
              <c:f>Lapas3!$D$30</c:f>
              <c:strCache>
                <c:ptCount val="1"/>
                <c:pt idx="0">
                  <c:v>Telšių apskritis</c:v>
                </c:pt>
              </c:strCache>
            </c:strRef>
          </c:tx>
          <c:spPr>
            <a:ln>
              <a:solidFill>
                <a:schemeClr val="bg1"/>
              </a:solidFill>
            </a:ln>
          </c:spPr>
          <c:invertIfNegative val="0"/>
          <c:dLbls>
            <c:dLbl>
              <c:idx val="0"/>
              <c:layout>
                <c:manualLayout>
                  <c:x val="6.6225165562913907E-3"/>
                  <c:y val="0"/>
                </c:manualLayout>
              </c:layout>
              <c:showLegendKey val="0"/>
              <c:showVal val="1"/>
              <c:showCatName val="0"/>
              <c:showSerName val="0"/>
              <c:showPercent val="0"/>
              <c:showBubbleSize val="0"/>
            </c:dLbl>
            <c:dLbl>
              <c:idx val="1"/>
              <c:layout>
                <c:manualLayout>
                  <c:x val="1.1037527593818985E-2"/>
                  <c:y val="-2.852293940357534E-17"/>
                </c:manualLayout>
              </c:layout>
              <c:showLegendKey val="0"/>
              <c:showVal val="1"/>
              <c:showCatName val="0"/>
              <c:showSerName val="0"/>
              <c:showPercent val="0"/>
              <c:showBubbleSize val="0"/>
            </c:dLbl>
            <c:dLbl>
              <c:idx val="2"/>
              <c:layout>
                <c:manualLayout>
                  <c:x val="1.7660044150110375E-2"/>
                  <c:y val="-6.2232586697466364E-3"/>
                </c:manualLayout>
              </c:layout>
              <c:showLegendKey val="0"/>
              <c:showVal val="1"/>
              <c:showCatName val="0"/>
              <c:showSerName val="0"/>
              <c:showPercent val="0"/>
              <c:showBubbleSize val="0"/>
            </c:dLbl>
            <c:dLbl>
              <c:idx val="3"/>
              <c:layout>
                <c:manualLayout>
                  <c:x val="1.3245033112582863E-2"/>
                  <c:y val="0"/>
                </c:manualLayout>
              </c:layout>
              <c:showLegendKey val="0"/>
              <c:showVal val="1"/>
              <c:showCatName val="0"/>
              <c:showSerName val="0"/>
              <c:showPercent val="0"/>
              <c:showBubbleSize val="0"/>
            </c:dLbl>
            <c:dLbl>
              <c:idx val="4"/>
              <c:layout>
                <c:manualLayout>
                  <c:x val="1.1037527593818822E-2"/>
                  <c:y val="0"/>
                </c:manualLayout>
              </c:layout>
              <c:showLegendKey val="0"/>
              <c:showVal val="1"/>
              <c:showCatName val="0"/>
              <c:showSerName val="0"/>
              <c:showPercent val="0"/>
              <c:showBubbleSize val="0"/>
            </c:dLbl>
            <c:spPr>
              <a:ln>
                <a:noFill/>
              </a:ln>
            </c:spPr>
            <c:txPr>
              <a:bodyPr/>
              <a:lstStyle/>
              <a:p>
                <a:pPr>
                  <a:defRPr b="1">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Lapas3!$A$31:$A$35</c:f>
              <c:strCache>
                <c:ptCount val="5"/>
                <c:pt idx="0">
                  <c:v>2012 m.</c:v>
                </c:pt>
                <c:pt idx="1">
                  <c:v>2013 m.</c:v>
                </c:pt>
                <c:pt idx="2">
                  <c:v>2014 m.</c:v>
                </c:pt>
                <c:pt idx="3">
                  <c:v>2015 m.</c:v>
                </c:pt>
                <c:pt idx="4">
                  <c:v>2016 m.</c:v>
                </c:pt>
              </c:strCache>
            </c:strRef>
          </c:cat>
          <c:val>
            <c:numRef>
              <c:f>Lapas3!$D$31:$D$35</c:f>
              <c:numCache>
                <c:formatCode>General</c:formatCode>
                <c:ptCount val="5"/>
                <c:pt idx="0">
                  <c:v>14.4</c:v>
                </c:pt>
                <c:pt idx="1">
                  <c:v>13.3</c:v>
                </c:pt>
                <c:pt idx="2">
                  <c:v>11.1</c:v>
                </c:pt>
                <c:pt idx="3">
                  <c:v>9.6999999999999993</c:v>
                </c:pt>
                <c:pt idx="4">
                  <c:v>8.6999999999999993</c:v>
                </c:pt>
              </c:numCache>
            </c:numRef>
          </c:val>
        </c:ser>
        <c:dLbls>
          <c:showLegendKey val="0"/>
          <c:showVal val="1"/>
          <c:showCatName val="0"/>
          <c:showSerName val="0"/>
          <c:showPercent val="0"/>
          <c:showBubbleSize val="0"/>
        </c:dLbls>
        <c:gapWidth val="75"/>
        <c:shape val="box"/>
        <c:axId val="43056512"/>
        <c:axId val="43074688"/>
        <c:axId val="0"/>
      </c:bar3DChart>
      <c:catAx>
        <c:axId val="43056512"/>
        <c:scaling>
          <c:orientation val="minMax"/>
        </c:scaling>
        <c:delete val="0"/>
        <c:axPos val="b"/>
        <c:majorTickMark val="none"/>
        <c:minorTickMark val="none"/>
        <c:tickLblPos val="nextTo"/>
        <c:txPr>
          <a:bodyPr/>
          <a:lstStyle/>
          <a:p>
            <a:pPr>
              <a:defRPr sz="1050" b="1">
                <a:latin typeface="Times New Roman" panose="02020603050405020304" pitchFamily="18" charset="0"/>
                <a:cs typeface="Times New Roman" panose="02020603050405020304" pitchFamily="18" charset="0"/>
              </a:defRPr>
            </a:pPr>
            <a:endParaRPr lang="en-US"/>
          </a:p>
        </c:txPr>
        <c:crossAx val="43074688"/>
        <c:crosses val="autoZero"/>
        <c:auto val="1"/>
        <c:lblAlgn val="ctr"/>
        <c:lblOffset val="100"/>
        <c:noMultiLvlLbl val="0"/>
      </c:catAx>
      <c:valAx>
        <c:axId val="43074688"/>
        <c:scaling>
          <c:orientation val="minMax"/>
        </c:scaling>
        <c:delete val="0"/>
        <c:axPos val="l"/>
        <c:numFmt formatCode="General" sourceLinked="1"/>
        <c:majorTickMark val="none"/>
        <c:minorTickMark val="none"/>
        <c:tickLblPos val="nextTo"/>
        <c:crossAx val="43056512"/>
        <c:crosses val="autoZero"/>
        <c:crossBetween val="between"/>
      </c:valAx>
    </c:plotArea>
    <c:legend>
      <c:legendPos val="b"/>
      <c:overlay val="0"/>
      <c:txPr>
        <a:bodyPr/>
        <a:lstStyle/>
        <a:p>
          <a:pPr>
            <a:defRPr sz="1050">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latin typeface="Times New Roman" panose="02020603050405020304" pitchFamily="18" charset="0"/>
                <a:cs typeface="Times New Roman" panose="02020603050405020304" pitchFamily="18" charset="0"/>
              </a:defRPr>
            </a:pPr>
            <a:r>
              <a:rPr lang="en-US" sz="1400">
                <a:latin typeface="Times New Roman" panose="02020603050405020304" pitchFamily="18" charset="0"/>
                <a:cs typeface="Times New Roman" panose="02020603050405020304" pitchFamily="18" charset="0"/>
              </a:rPr>
              <a:t>Procentinis</a:t>
            </a:r>
            <a:r>
              <a:rPr lang="lt-LT" sz="1400">
                <a:latin typeface="Times New Roman" panose="02020603050405020304" pitchFamily="18" charset="0"/>
                <a:cs typeface="Times New Roman" panose="02020603050405020304" pitchFamily="18" charset="0"/>
              </a:rPr>
              <a:t> socialinių pašalpų</a:t>
            </a:r>
            <a:r>
              <a:rPr lang="lt-LT" sz="1400" baseline="0">
                <a:latin typeface="Times New Roman" panose="02020603050405020304" pitchFamily="18" charset="0"/>
                <a:cs typeface="Times New Roman" panose="02020603050405020304" pitchFamily="18" charset="0"/>
              </a:rPr>
              <a:t> gavėjų skaičius palyginus su bendru gyventojų skaičiumi</a:t>
            </a:r>
            <a:r>
              <a:rPr lang="en-US" sz="1400">
                <a:latin typeface="Times New Roman" panose="02020603050405020304" pitchFamily="18" charset="0"/>
                <a:cs typeface="Times New Roman" panose="02020603050405020304" pitchFamily="18" charset="0"/>
              </a:rPr>
              <a:t> </a:t>
            </a:r>
          </a:p>
        </c:rich>
      </c:tx>
      <c:overlay val="0"/>
    </c:title>
    <c:autoTitleDeleted val="0"/>
    <c:plotArea>
      <c:layout/>
      <c:lineChart>
        <c:grouping val="stacked"/>
        <c:varyColors val="0"/>
        <c:ser>
          <c:idx val="0"/>
          <c:order val="0"/>
          <c:tx>
            <c:strRef>
              <c:f>Lapas8!$B$3</c:f>
              <c:strCache>
                <c:ptCount val="1"/>
                <c:pt idx="0">
                  <c:v>Telšių rajone </c:v>
                </c:pt>
              </c:strCache>
            </c:strRef>
          </c:tx>
          <c:dLbls>
            <c:dLbl>
              <c:idx val="0"/>
              <c:layout>
                <c:manualLayout>
                  <c:x val="-7.5471698113207548E-3"/>
                  <c:y val="-5.055291420633086E-2"/>
                </c:manualLayout>
              </c:layout>
              <c:showLegendKey val="0"/>
              <c:showVal val="1"/>
              <c:showCatName val="0"/>
              <c:showSerName val="0"/>
              <c:showPercent val="0"/>
              <c:showBubbleSize val="0"/>
            </c:dLbl>
            <c:dLbl>
              <c:idx val="1"/>
              <c:layout>
                <c:manualLayout>
                  <c:x val="-1.0062893081761006E-2"/>
                  <c:y val="-5.8978399907386E-2"/>
                </c:manualLayout>
              </c:layout>
              <c:showLegendKey val="0"/>
              <c:showVal val="1"/>
              <c:showCatName val="0"/>
              <c:showSerName val="0"/>
              <c:showPercent val="0"/>
              <c:showBubbleSize val="0"/>
            </c:dLbl>
            <c:dLbl>
              <c:idx val="2"/>
              <c:layout>
                <c:manualLayout>
                  <c:x val="-7.5471698113207548E-3"/>
                  <c:y val="-5.055291420633086E-2"/>
                </c:manualLayout>
              </c:layout>
              <c:showLegendKey val="0"/>
              <c:showVal val="1"/>
              <c:showCatName val="0"/>
              <c:showSerName val="0"/>
              <c:showPercent val="0"/>
              <c:showBubbleSize val="0"/>
            </c:dLbl>
            <c:txPr>
              <a:bodyPr/>
              <a:lstStyle/>
              <a:p>
                <a:pPr>
                  <a:defRPr b="1">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Lapas8!$A$4:$A$7</c:f>
              <c:strCache>
                <c:ptCount val="4"/>
                <c:pt idx="0">
                  <c:v>2013 m.</c:v>
                </c:pt>
                <c:pt idx="1">
                  <c:v>2014 m.</c:v>
                </c:pt>
                <c:pt idx="2">
                  <c:v>2015 m.</c:v>
                </c:pt>
                <c:pt idx="3">
                  <c:v>2016 m.</c:v>
                </c:pt>
              </c:strCache>
            </c:strRef>
          </c:cat>
          <c:val>
            <c:numRef>
              <c:f>Lapas8!$B$4:$B$7</c:f>
              <c:numCache>
                <c:formatCode>General</c:formatCode>
                <c:ptCount val="4"/>
                <c:pt idx="0">
                  <c:v>6.4</c:v>
                </c:pt>
                <c:pt idx="1">
                  <c:v>4.8</c:v>
                </c:pt>
                <c:pt idx="2">
                  <c:v>3.8</c:v>
                </c:pt>
                <c:pt idx="3">
                  <c:v>3.2</c:v>
                </c:pt>
              </c:numCache>
            </c:numRef>
          </c:val>
          <c:smooth val="0"/>
        </c:ser>
        <c:ser>
          <c:idx val="1"/>
          <c:order val="1"/>
          <c:tx>
            <c:strRef>
              <c:f>Lapas8!$C$3</c:f>
              <c:strCache>
                <c:ptCount val="1"/>
                <c:pt idx="0">
                  <c:v>Mažeikių rajone</c:v>
                </c:pt>
              </c:strCache>
            </c:strRef>
          </c:tx>
          <c:dLbls>
            <c:dLbl>
              <c:idx val="2"/>
              <c:layout>
                <c:manualLayout>
                  <c:x val="-2.5157232704402514E-3"/>
                  <c:y val="-2.527645710316535E-2"/>
                </c:manualLayout>
              </c:layout>
              <c:showLegendKey val="0"/>
              <c:showVal val="1"/>
              <c:showCatName val="0"/>
              <c:showSerName val="0"/>
              <c:showPercent val="0"/>
              <c:showBubbleSize val="0"/>
            </c:dLbl>
            <c:txPr>
              <a:bodyPr/>
              <a:lstStyle/>
              <a:p>
                <a:pPr>
                  <a:defRPr b="1">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Lapas8!$A$4:$A$7</c:f>
              <c:strCache>
                <c:ptCount val="4"/>
                <c:pt idx="0">
                  <c:v>2013 m.</c:v>
                </c:pt>
                <c:pt idx="1">
                  <c:v>2014 m.</c:v>
                </c:pt>
                <c:pt idx="2">
                  <c:v>2015 m.</c:v>
                </c:pt>
                <c:pt idx="3">
                  <c:v>2016 m.</c:v>
                </c:pt>
              </c:strCache>
            </c:strRef>
          </c:cat>
          <c:val>
            <c:numRef>
              <c:f>Lapas8!$C$4:$C$7</c:f>
              <c:numCache>
                <c:formatCode>General</c:formatCode>
                <c:ptCount val="4"/>
                <c:pt idx="0">
                  <c:v>10.3</c:v>
                </c:pt>
                <c:pt idx="1">
                  <c:v>7.3</c:v>
                </c:pt>
                <c:pt idx="2">
                  <c:v>5.6</c:v>
                </c:pt>
                <c:pt idx="3">
                  <c:v>4.7</c:v>
                </c:pt>
              </c:numCache>
            </c:numRef>
          </c:val>
          <c:smooth val="0"/>
        </c:ser>
        <c:ser>
          <c:idx val="2"/>
          <c:order val="2"/>
          <c:tx>
            <c:strRef>
              <c:f>Lapas8!$D$3</c:f>
              <c:strCache>
                <c:ptCount val="1"/>
                <c:pt idx="0">
                  <c:v>Plungės rajone</c:v>
                </c:pt>
              </c:strCache>
            </c:strRef>
          </c:tx>
          <c:dLbls>
            <c:dLbl>
              <c:idx val="1"/>
              <c:layout>
                <c:manualLayout>
                  <c:x val="0"/>
                  <c:y val="-1.2638228551582715E-2"/>
                </c:manualLayout>
              </c:layout>
              <c:showLegendKey val="0"/>
              <c:showVal val="1"/>
              <c:showCatName val="0"/>
              <c:showSerName val="0"/>
              <c:showPercent val="0"/>
              <c:showBubbleSize val="0"/>
            </c:dLbl>
            <c:dLbl>
              <c:idx val="2"/>
              <c:layout>
                <c:manualLayout>
                  <c:x val="-5.0314465408805029E-3"/>
                  <c:y val="-5.476565705685843E-2"/>
                </c:manualLayout>
              </c:layout>
              <c:showLegendKey val="0"/>
              <c:showVal val="1"/>
              <c:showCatName val="0"/>
              <c:showSerName val="0"/>
              <c:showPercent val="0"/>
              <c:showBubbleSize val="0"/>
            </c:dLbl>
            <c:txPr>
              <a:bodyPr/>
              <a:lstStyle/>
              <a:p>
                <a:pPr>
                  <a:defRPr b="1">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Lapas8!$A$4:$A$7</c:f>
              <c:strCache>
                <c:ptCount val="4"/>
                <c:pt idx="0">
                  <c:v>2013 m.</c:v>
                </c:pt>
                <c:pt idx="1">
                  <c:v>2014 m.</c:v>
                </c:pt>
                <c:pt idx="2">
                  <c:v>2015 m.</c:v>
                </c:pt>
                <c:pt idx="3">
                  <c:v>2016 m.</c:v>
                </c:pt>
              </c:strCache>
            </c:strRef>
          </c:cat>
          <c:val>
            <c:numRef>
              <c:f>Lapas8!$D$4:$D$7</c:f>
              <c:numCache>
                <c:formatCode>General</c:formatCode>
                <c:ptCount val="4"/>
                <c:pt idx="0">
                  <c:v>6.7</c:v>
                </c:pt>
                <c:pt idx="1">
                  <c:v>4.9000000000000004</c:v>
                </c:pt>
                <c:pt idx="2">
                  <c:v>3.6</c:v>
                </c:pt>
                <c:pt idx="3">
                  <c:v>2.9</c:v>
                </c:pt>
              </c:numCache>
            </c:numRef>
          </c:val>
          <c:smooth val="0"/>
        </c:ser>
        <c:dLbls>
          <c:showLegendKey val="0"/>
          <c:showVal val="1"/>
          <c:showCatName val="0"/>
          <c:showSerName val="0"/>
          <c:showPercent val="0"/>
          <c:showBubbleSize val="0"/>
        </c:dLbls>
        <c:marker val="1"/>
        <c:smooth val="0"/>
        <c:axId val="43105664"/>
        <c:axId val="43119744"/>
      </c:lineChart>
      <c:catAx>
        <c:axId val="43105664"/>
        <c:scaling>
          <c:orientation val="minMax"/>
        </c:scaling>
        <c:delete val="0"/>
        <c:axPos val="b"/>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43119744"/>
        <c:crosses val="autoZero"/>
        <c:auto val="1"/>
        <c:lblAlgn val="ctr"/>
        <c:lblOffset val="100"/>
        <c:noMultiLvlLbl val="0"/>
      </c:catAx>
      <c:valAx>
        <c:axId val="43119744"/>
        <c:scaling>
          <c:orientation val="minMax"/>
        </c:scaling>
        <c:delete val="0"/>
        <c:axPos val="l"/>
        <c:majorGridlines/>
        <c:numFmt formatCode="General" sourceLinked="1"/>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43105664"/>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en-US"/>
        </a:p>
      </c:txPr>
    </c:legend>
    <c:plotVisOnly val="1"/>
    <c:dispBlanksAs val="zero"/>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latin typeface="Times New Roman" panose="02020603050405020304" pitchFamily="18" charset="0"/>
                <a:cs typeface="Times New Roman" panose="02020603050405020304" pitchFamily="18" charset="0"/>
              </a:rPr>
              <a:t>Asmen</a:t>
            </a:r>
            <a:r>
              <a:rPr lang="lt-LT" sz="1400">
                <a:latin typeface="Times New Roman" panose="02020603050405020304" pitchFamily="18" charset="0"/>
                <a:cs typeface="Times New Roman" panose="02020603050405020304" pitchFamily="18" charset="0"/>
              </a:rPr>
              <a:t>ų,</a:t>
            </a:r>
            <a:r>
              <a:rPr lang="lt-LT" sz="1400" baseline="0">
                <a:latin typeface="Times New Roman" panose="02020603050405020304" pitchFamily="18" charset="0"/>
                <a:cs typeface="Times New Roman" panose="02020603050405020304" pitchFamily="18" charset="0"/>
              </a:rPr>
              <a:t> kuriems suteiktos socialinės paslaugos nakvynės namuose, skaičius</a:t>
            </a:r>
            <a:endParaRPr lang="en-US" sz="1400">
              <a:latin typeface="Times New Roman" panose="02020603050405020304" pitchFamily="18" charset="0"/>
              <a:cs typeface="Times New Roman" panose="02020603050405020304" pitchFamily="18" charset="0"/>
            </a:endParaRPr>
          </a:p>
        </c:rich>
      </c:tx>
      <c:overlay val="0"/>
    </c:title>
    <c:autoTitleDeleted val="0"/>
    <c:plotArea>
      <c:layout/>
      <c:lineChart>
        <c:grouping val="stacked"/>
        <c:varyColors val="0"/>
        <c:ser>
          <c:idx val="0"/>
          <c:order val="0"/>
          <c:dLbls>
            <c:dLbl>
              <c:idx val="1"/>
              <c:layout>
                <c:manualLayout>
                  <c:x val="-3.6111111111111108E-2"/>
                  <c:y val="-4.6296296296296294E-2"/>
                </c:manualLayout>
              </c:layout>
              <c:showLegendKey val="0"/>
              <c:showVal val="1"/>
              <c:showCatName val="0"/>
              <c:showSerName val="0"/>
              <c:showPercent val="0"/>
              <c:showBubbleSize val="0"/>
            </c:dLbl>
            <c:dLbl>
              <c:idx val="2"/>
              <c:layout>
                <c:manualLayout>
                  <c:x val="-4.4444444444444446E-2"/>
                  <c:y val="-4.1666666666666664E-2"/>
                </c:manualLayout>
              </c:layout>
              <c:showLegendKey val="0"/>
              <c:showVal val="1"/>
              <c:showCatName val="0"/>
              <c:showSerName val="0"/>
              <c:showPercent val="0"/>
              <c:showBubbleSize val="0"/>
            </c:dLbl>
            <c:dLbl>
              <c:idx val="3"/>
              <c:layout>
                <c:manualLayout>
                  <c:x val="-8.3333333333335362E-3"/>
                  <c:y val="-4.1666666666666664E-2"/>
                </c:manualLayout>
              </c:layout>
              <c:showLegendKey val="0"/>
              <c:showVal val="1"/>
              <c:showCatName val="0"/>
              <c:showSerName val="0"/>
              <c:showPercent val="0"/>
              <c:showBubbleSize val="0"/>
            </c:dLbl>
            <c:txPr>
              <a:bodyPr/>
              <a:lstStyle/>
              <a:p>
                <a:pPr>
                  <a:defRPr b="1">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dLbls>
          <c:cat>
            <c:strRef>
              <c:f>Lapas9!$B$16:$B$19</c:f>
              <c:strCache>
                <c:ptCount val="4"/>
                <c:pt idx="0">
                  <c:v>2013 m.</c:v>
                </c:pt>
                <c:pt idx="1">
                  <c:v>2014 m.</c:v>
                </c:pt>
                <c:pt idx="2">
                  <c:v>2015 m.</c:v>
                </c:pt>
                <c:pt idx="3">
                  <c:v>2016 m.</c:v>
                </c:pt>
              </c:strCache>
            </c:strRef>
          </c:cat>
          <c:val>
            <c:numRef>
              <c:f>Lapas9!$C$16:$C$19</c:f>
              <c:numCache>
                <c:formatCode>General</c:formatCode>
                <c:ptCount val="4"/>
                <c:pt idx="0">
                  <c:v>69</c:v>
                </c:pt>
                <c:pt idx="1">
                  <c:v>40</c:v>
                </c:pt>
                <c:pt idx="2">
                  <c:v>40</c:v>
                </c:pt>
                <c:pt idx="3">
                  <c:v>49</c:v>
                </c:pt>
              </c:numCache>
            </c:numRef>
          </c:val>
          <c:smooth val="0"/>
        </c:ser>
        <c:dLbls>
          <c:showLegendKey val="0"/>
          <c:showVal val="1"/>
          <c:showCatName val="0"/>
          <c:showSerName val="0"/>
          <c:showPercent val="0"/>
          <c:showBubbleSize val="0"/>
        </c:dLbls>
        <c:marker val="1"/>
        <c:smooth val="0"/>
        <c:axId val="43598208"/>
        <c:axId val="43600896"/>
      </c:lineChart>
      <c:catAx>
        <c:axId val="43598208"/>
        <c:scaling>
          <c:orientation val="minMax"/>
        </c:scaling>
        <c:delete val="0"/>
        <c:axPos val="b"/>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43600896"/>
        <c:crosses val="autoZero"/>
        <c:auto val="1"/>
        <c:lblAlgn val="ctr"/>
        <c:lblOffset val="100"/>
        <c:noMultiLvlLbl val="0"/>
      </c:catAx>
      <c:valAx>
        <c:axId val="43600896"/>
        <c:scaling>
          <c:orientation val="minMax"/>
        </c:scaling>
        <c:delete val="0"/>
        <c:axPos val="l"/>
        <c:majorGridlines/>
        <c:numFmt formatCode="General" sourceLinked="1"/>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43598208"/>
        <c:crosses val="autoZero"/>
        <c:crossBetween val="between"/>
      </c:valAx>
    </c:plotArea>
    <c:plotVisOnly val="1"/>
    <c:dispBlanksAs val="zero"/>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63b3018ca02a4c948233296fa29f794b" PartId="83d090c304f24541bcf783038b2dcafb"/>
  <Part Type="pastraipa" DocPartId="43ffe3f58a924c408b4a201c85c7443c" PartId="dd2d054a2de548039ff63318636ce17f"/>
  <Part Type="pastraipa" DocPartId="f22e51d04c65490cb6052f5b5a2695d9" PartId="fe3befd373ba481d91f8f37605b9a1d5"/>
  <Part Type="pastraipa" DocPartId="1ed38377f90a4587a7b3a6c7cd3f10be" PartId="91a7ca4b545b4c0ea3fe579111da4eed"/>
  <Part Type="pastraipa" DocPartId="98d034f58deb4362ab77a926ed3f5436" PartId="2ef59988fb8c49868bf8013358aae5e4"/>
  <Part Type="pastraipa" DocPartId="bfdd61082e824f7e95ce7ac51c28641a" PartId="0bbc2d5230864755a0735d6d5b3877e3"/>
  <Part Type="pastraipa" DocPartId="cf288c8ebabd418ca8e27dc877f1a5d7" PartId="8eb7f6698bd14d2d9475dcd49c1818de"/>
  <Part Type="lentele" DocPartId="776bd1efe39b47e582b43658aef623d0" PartId="339121706e6f4724bccdeef1f9368322">
    <Part Type="skirsnis" Title="TELŠIŲ RAJONO SAVIVALDYBĖS 2017 METŲ SOCIALINIŲ PASLAUGŲ PLANAS" DocPartId="27a13f61999b48bc899d0c056384fbfb" PartId="cce0e202ab10424c871ed54c8aa3730f"/>
  </Part>
  <Part Type="lentele" Title="TURINYS" DocPartId="0cd7f38cada8474a827bded1a3e4e291" PartId="4f3e8da3c73647879162a3038c984328">
    <Part Type="skyrius" Nr="1" Title="ĮVADAS" DocPartId="7c8ebdb1403840fb9c95a34ea40c2119" PartId="80ea5e79af0c4a99b2c5c6faa85fc58e">
      <Part Type="punktas" Nr="1" Abbr="1 p." DocPartId="7fb8bab9cd2f42dea26d50e22e5166e6" PartId="a7e96609b1d447b9986567ed62634da4"/>
      <Part Type="punktas" Nr="2" Abbr="2 p." DocPartId="0083dd1083a84971abfc841b9e3c0e84" PartId="ca5f4ae0634743c2855de949bdb22075"/>
      <Part Type="punktas" Nr="3" Abbr="3 p." DocPartId="f91c5d63142f4987a4b95e02e4cd0602" PartId="8848c603fd7240b2bfc216ef1fcf5cfd"/>
    </Part>
    <Part Type="skyrius" Nr="2" Title="BŪKLĖS ANALIZĖ" DocPartId="5c20f89a2c9e4ab8b26a2e2e97974e2b" PartId="3029108a47ba4f2285dd51cdb9e28ff1">
      <Part Type="punktas" Nr="4" Abbr="4 p." DocPartId="61fd6cca6f3a4d7ba01d81c6240b65c0" PartId="47009d4d0cbd4080b3c3971211c1a64f">
        <Part Type="papunktis" Nr="4.1" Abbr="4.1 pp." DocPartId="f744dfcc81c14585914b2c1503182553" PartId="868e66b31fe34b60abd11249aa188878"/>
      </Part>
    </Part>
  </Part>
  <Part Type="lentele" DocPartId="187c49deb55c468db8fcdf46af446d99" PartId="843601819f7d4f2d9764079dcd39733e">
    <Part Type="papunktis" Nr="4.2" Abbr="4.2 pp." DocPartId="561f909d73e34985bdc22f490aff9548" PartId="2092323e4341485594cb0d2aa705de4b">
      <Part Type="papunktis" Nr="4.2.1" Abbr="4.2.1 pp." DocPartId="e277866b675d45658695bfdce9989e81" PartId="9874fcd42bdc4ebe8f14ff12f93cb125">
        <Part Type="strPapunktis" Nr="1" Abbr="4.2.1 pp. 1 pp." DocPartId="35701ba590324306abd3b04bb6f56089" PartId="6db8e6bfc773435d802d45ab8d145b8f"/>
        <Part Type="strPapunktis" Nr="2" Abbr="4.2.1 pp. 2 pp." DocPartId="2858ec02b1be4db6a444eccd2ba9a3cc" PartId="aa5329d51891403bb6a6af9e095fee1d"/>
        <Part Type="strPapunktis" Nr="3" Abbr="4.2.1 pp. 3 pp." DocPartId="3ad9baf361ae4e53b4f1141643d1d684" PartId="164216a26e5845e8b4b00027c7c36d9b"/>
      </Part>
    </Part>
  </Part>
  <Part Type="lentele" DocPartId="8cccdedeb3284934a5164eb8189c79d8" PartId="0f3a0559154a4ce1ab8798f795687806"/>
  <Part Type="pastraipa" DocPartId="aeea4560b40b424a8f2d346caf6140e0" PartId="598ed99db33246808532859a0d44770b">
    <Part Type="poskyris" Title="Socialinės rizikos šeimų, kurioms suteiktos paslaugos ir kurių šeimų nariai turi negalią, statistika 2012─2016 m." DocPartId="af64ee643d4145ef9ad5fa2464793ad1" PartId="93562c37a9f34cab972abc837b72930e"/>
    <Part Type="poskyris" Title="Vaikų, netekusių tėvų globos, skaičiaus dinamika 2012─2016 m." DocPartId="5d97f81fc942481c9c2ab877789f251c" PartId="3edf3ff7427d476893646907be18fdfd"/>
    <Part Type="poskyris" Title="Suaugusių asmenų su negalia skaičiaus dinamika 2011─2016 m." DocPartId="0a802c48328d44b0a504c3712020360f" PartId="acc36c19d0044906b0bc85fd2df9e3c6">
      <Part Type="papunktis" Nr="4.2.2" Abbr="4.2.2 pp." DocPartId="f330944e95374e2483c5fd0d8117a4a8" PartId="bd7cb09f7d6c469088d5d81b0599ac49">
        <Part Type="papunktis" Nr="4.2.2.1" Abbr="4.2.2.1 pp." DocPartId="214a7745030940b497a9c236718a257f" PartId="69fc773a34ce4dfba2e450412643c576"/>
        <Part Type="papunktis" Nr="4.2.2.2" Abbr="4.2.2.2 pp." DocPartId="ab1f6f21784b4b6cad1a4f19f675f625" PartId="b8e2c67b1a2248839b9381738ac1ad3b"/>
      </Part>
    </Part>
    <Part Type="poskyris" Title="Dienos centruose suteiktų paslaugų, gavėjų ir surinktų lėšų statistika 2015─2016 m." DocPartId="72324ce9646b49bdaf7c544356d9222c" PartId="dc4bab6628e54734bde530428143ff6b"/>
    <Part Type="poskyris" Title="Suteiktų paslaugų ir už suteiktas paslaugas gautų pajamų 2015 ─ 2016 m. statistika" DocPartId="77dc76810343445589b6edfc8f13a1a5" PartId="08c13fc4c8c7407d81b64bea3cbedae7"/>
    <Part Type="poskyris" Title="SADM lėšomis finansuotų projektų ir skirtų lėšų statistika" DocPartId="9346037f8cc84ba9a6b8fb9f3d9de518" PartId="909b5cd3bc784f9587a907f912dd47ff">
      <Part Type="papunktis" Nr="4.2.2.3" Abbr="4.2.2.3 pp." DocPartId="0a9e32aa4c3e48b48d0ed3175f8b03e7" PartId="88ff1c5e0b5846bfa3191c77d473ebba"/>
      <Part Type="papunktis" Nr="4.2.2.4" Abbr="4.2.2.4 pp." DocPartId="d890b0904ac34126ae43faf757ec7a55" PartId="85c2c41afdd04af68cba159f6cf804f4"/>
      <Part Type="papunktis" Nr="4.2.2.7" Abbr="4.2.2.7 pp." Notes="Numeris ne iš eilės. Trūksta dalių? [DocDalys]" DocPartId="269e3bbae48d45bc886b1eee4ecfc914" PartId="d2cef125725e4e1aade4fd3f21d2cf9f"/>
    </Part>
    <Part Type="poskyris" Title="Telšių krizių centre suteiktų paslaugų ir gavėjų 2015─2016 m. statistika" DocPartId="16550a8e280c486c80861b0b5d50c56d" PartId="99e00b14262b42adb2b6a81a775ffec0">
      <Part Type="papunktis" Nr="4.2.2.8" Abbr="4.2.2.8 pp." DocPartId="5bd535cea6f040e3a715d249906e8ce1" PartId="d21b539a25194982909d4c216dfff3c0"/>
      <Part Type="papunktis" Nr="4.2.2.9" Abbr="4.2.2.9 pp." DocPartId="dadc7370a7f14cabb53bf631072b04ea" PartId="18b5d57fc5004676af64cde0a16e1d87"/>
    </Part>
    <Part Type="poskyris" Title="2017 m. Socialinės reabilitacijos paslaugų neįgaliesiems bendruomenėje projektuose planuojančių dalyvauti NVO statistika" DocPartId="f400fb660d0648bb947a5f5ae4f7c036" PartId="47ec3f017e1b44888bccb53c2452f759"/>
    <Part Type="poskyris" Title="Socialiniuose projektuose dalyvaujančių NVO statistika" DocPartId="33d0e9b5886a4e2cbcb5ffbfbe9771c9" PartId="0af727326ea24a5b9973a9cec04fe880">
      <Part Type="papunktis" Nr="4.2.3" Abbr="4.2.3 pp." DocPartId="ba5af42915044e3facb0b26242c364db" PartId="a233e81166ae4a5fac795c5534c3c24d"/>
    </Part>
    <Part Type="poskyris" Title="Telšių rajono gyventojų skaičius" DocPartId="e57758f51f4a47f183aa688148b9f461" PartId="2bbba341794544af86aa378f7f8946f8"/>
    <Part Type="poskyris" Title="2016 m. demografinio senatvės koeficiento (asmenų) – pagyvenusių (65 metų ir vyresnio amžiaus) žmonių skaičiaus, tenkantis šimtui vaikų iki 15 metų amžiaus – palyginimas" DocPartId="3cd6739767d74fb78ec195b8a0403fcc" PartId="3226d3a71a70453d86674ede982cc788"/>
    <Part Type="poskyris" Title="Darbingo amžiaus asmenų skaičius (kairėje) ir gyventojų skaičius pagal socialines grupes Telšių rajone (dešinėje)" DocPartId="47b139c91a354e87b3de73db49e7ea0f" PartId="5547e8fe905841f7882ceff5e56dbffe"/>
    <Part Type="poskyris" Title="Darbo biržos rodikliai." DocPartId="f623ed24d708448e812d585a04bb1d76" PartId="7b759b8b67394b1c9e2dbbbc703ecc58"/>
    <Part Type="poskyris" Title="Bedarbių procento nuo darbingo amžiaus gyventojų Telšių rajono savivaldybėje, Telšių apskrityje ir Lietuvos Respublikoje palyginimas" DocPartId="a451f533127a414a987149410c06f787" PartId="f9dc97cb7f064fcca527dbd58dd52301"/>
    <Part Type="poskyris" Title="Paramos maisto paketais gavėjų skaičius ir dalinimo dažnumai 2012─2016 m." DocPartId="2101e24fcef7456bb189e54939b883e1" PartId="71373c308c7c4c1b9e20095b6258e38e">
      <Part Type="punktas" Nr="5" Abbr="5 p." DocPartId="dc8135c7d4304eb9afe224a88a80be19" PartId="548f57769ab049dc9dc90074d00cbfa0"/>
    </Part>
    <Part Type="poskyris" Title="Įstaigos, kuriose 2016 m. buvo teikiamos socialinės paslaugos" DocPartId="ee480cca4fde4bdf9e7a07112bc9694f" PartId="a570aab9140e4ca6ba8a472119125d09">
      <Part Type="papunktis" Nr="5.1" Abbr="5.1 pp." Notes="Numeris ne iš eilės. Trūksta dalių? [DocDalys]" DocPartId="35481a6ac1a043b296ad8cace8f43823" PartId="dd078e08c1ba4d21ad528cc64a7565b6"/>
      <Part Type="punktas" Nr="6" Abbr="6 p." DocPartId="b7ac5db796ff4b559e579aeba909453d" PartId="b8937da303054b4f99e7a69a2cc93cdd"/>
    </Part>
    <Part Type="poskyris" Title="Galimybių teikti socialines paslaugas ir socialinių paslaugų poreikio įvertinimas 2016 m." DocPartId="8409fdb92d8545c798d71ccf8ab12a2d" PartId="e70c160972c2448391b6e725a6b05adc">
      <Part Type="papunktis" Nr="6.1" Abbr="6.1 pp." Notes="Numeris ne iš eilės. Trūksta dalių? [DocDalys]" DocPartId="b742d2137b82455c90ef98e2626923da" PartId="ba16cf2d028d4e28adf7d5f91e078bb3">
        <Part Type="papunktis" Nr="6.1.1" Abbr="6.1.1 pp." DocPartId="f9b7fdb424ef4e578603593fcbd6a140" PartId="9c1ff244977f49e2a641ddbce890ef4f"/>
      </Part>
    </Part>
    <Part Type="poskyris" Title="Sociokultūrinių paslaugų vaikų dienos centruose gavėjų dinamika 2014 – 2016 m." DocPartId="035d7fb29b644d3297d194e1c4eb326d" PartId="307431d193c0431abe843b63efc0efcd"/>
    <Part Type="poskyris" Title="Socialinės rizikos šeimų ir jose augančių vaikų bei tiesiogiai su socialinės rizikos šeimomis dirbančių darbuotojų statistika 2014─2016 m." DocPartId="0d20e41ccacc4c08a531eacbe27e38d6" PartId="186872b262524b6190917b710874a1c3"/>
    <Part Type="poskyris" Title="Paslaugų nutraukimo priežastys 2012─2016 m." DocPartId="d3aa23f032de4280829bd169d2bb1708" PartId="686057b2dd574fd2b13e770d46d9357c"/>
    <Part Type="poskyris" Title="Vaikų skaičius bei pasiskirstymas pagal nustatytą globą ir sveikatos sutrikimus" DocPartId="9797c1a030c2448ca831577fb4209487" PartId="9f4684c087f3423691b92bc2514cb981"/>
    <Part Type="poskyris" Title="Savarankiško gyvenimo namuose suteiktų paslaugų statistika 2014–2016 m." DocPartId="8e0904d939df4837bccaeaa827e1b930" PartId="df1529e68a844955a2289c25f18579e9">
      <Part Type="papunktis" Nr="6.1.2" Abbr="6.1.2 pp." DocPartId="e1d53eafc59148a8a917d0bc2c9d1e1e" PartId="c9e88cd349e14fa39e4346a4cb6e9951"/>
    </Part>
    <Part Type="poskyris" Title="Būsto pritaikymo statistiniai duomenys 2011─2016 m." DocPartId="b9d2c12a13e84226814cb5436f9698b0" PartId="7dae877ce20e4eaaab51da7ad770f4f3"/>
    <Part Type="poskyris" Title="Socialinių paslaugų gavėjų skaičius 2014─2016 m." DocPartId="2f6306bc36b94af2a7f690b1ff49f930" PartId="56a247c5efa3457d907c383458ab9acf"/>
    <Part Type="poskyris" Title="Dienos socialinės globos gavėjų statistika 2013–2016 m." DocPartId="c08b239e41334de8af52e6b6a7b936a1" PartId="cb1740b786494fef9b66a021e26ffb54"/>
    <Part Type="poskyris" Title="Paslaugų gavėjų statistika 2014─2016 m." DocPartId="1f0009701c5e41759122c00fa27620ec" PartId="89b5e1122dd34c258919ac83e312f118"/>
    <Part Type="poskyris" Title="Socialinės globos paslaugų gavėjų valstybiniuose socialinės globos namuose dinamika 2013 – 2016 metais" DocPartId="1d8d3d2d55bf4dfe8203143bc4176242" PartId="fd1fae47e7614f2d984a45f0366ae5e7">
      <Part Type="papunktis" Nr="6.1.3" Abbr="6.1.3 pp." DocPartId="63746f7fbd7b4bf2b1a218fad9c8f4f0" PartId="4a38cadb6f504f14800bb8289ce3e3b5"/>
      <Part Type="punktas" Nr="7" Abbr="7 p." DocPartId="6083e23de3ce4715be262594e519e526" PartId="3dfb89f7a0924396ab50386c342eceaf"/>
    </Part>
    <Part Type="poskyris" Title="Socialinių darbuotojų statistika" DocPartId="3350f72189944e9987f2aadbeae5f6bc" PartId="b89d802c30844545ae8e6eec82bcb4e2">
      <Part Type="papunktis" Nr="7.1" Abbr="7.1 pp." Notes="Numeris ne iš eilės. Trūksta dalių? [DocDalys]" DocPartId="4fdb1ef8188d4876a1171b8402ca2096" PartId="c0626f61f79848e5aea1e26f60055cc9"/>
      <Part Type="punktas" Nr="8" Abbr="8 p." DocPartId="b9adba71c7c14cac9bd19e428aaa89a0" PartId="37e751226e684b51911b029561c2f55b"/>
      <Part Type="punktas" Nr="9" Abbr="9 p." DocPartId="a4641a5645614f40a4347df379af5c13" PartId="19d438d0547f4b5ebfebe5b2096f16ff"/>
      <Part Type="punktas" Nr="10" Abbr="10 p." DocPartId="04300afcc45948c7919f86579115f8b6" PartId="c61e0e7476a64250ae167f76e9b2c2bd"/>
      <Part Type="punktas" Nr="11" Abbr="11 p." DocPartId="2cc2916121134c2ea7fd7e10b807febc" PartId="85694fd72e494c93ab1e203e106a23f8"/>
      <Part Type="punktas" Nr="12" Abbr="12 p." DocPartId="2fbd13a493b449eda449526b8426060e" PartId="116cf3bca6fe40b18a02e8aecf60936c">
        <Part Type="papunktis" Nr="12.1" Abbr="12.1 pp." DocPartId="1cf28abbcded45b2b3d9bf113fda247e" PartId="ce5128741e2147c9a44cd90b237404ff"/>
      </Part>
      <Part Type="punktas" Nr="13" Abbr="13 p." DocPartId="954aaf068ea64e9dac1d78c5da362238" PartId="436fe25f2d4845ed98c0116f34f9f6d4"/>
      <Part Type="punktas" Nr="14" Abbr="14 p." DocPartId="91e3a8a979d4491ab5e53ca3cd28e372" PartId="3c51de18f6f449279ba0872f71ee03f3"/>
      <Part Type="punktas" Nr="15" Abbr="15 p." DocPartId="d4666e6c60bc43cfaef087d5f5966d45" PartId="e0ca6e0c16f54cd79782c4856e32213d">
        <Part Type="papunktis" Nr="15.1" Abbr="15.1 pp." DocPartId="77a988e3615f4d558f695f83b6b48417" PartId="45e677ddf6454461a339def5d5467ed8"/>
      </Part>
      <Part Type="punktas" Nr="16" Abbr="16 p." DocPartId="9508a9b3f0914c33af6200833cfa8f71" PartId="c85e8b6de7c049b6bae56ff51229b084"/>
      <Part Type="punktas" Nr="17" Abbr="17 p." DocPartId="e1e308c2ad274679ad02d04ee0826176" PartId="1ec98242f3584cb398f4dd237fff4b59"/>
      <Part Type="punktas" Nr="18" Abbr="18 p." DocPartId="3774e36e35094e618eb858cc994ae1d9" PartId="de5f462625e74b648b09137e8ecd06bc"/>
    </Part>
    <Part Type="poskyris" Title="perspektyva ir numatomas pokytis." DocPartId="2411053b0e9c4f2bbf1bd1c233902e19" PartId="8eb32799c45644f889c54757aba13ffc">
      <Part Type="punktas" Nr="19" Abbr="19 p." DocPartId="2754c9fd2c6a4b9bbcb5f44234c72222" PartId="6f8d56c2c572434f89873f5d45205747"/>
      <Part Type="punktas" Nr="20" Abbr="20 p." DocPartId="a54af0a2293e408f99e4a72c7b24b0a5" PartId="ed974a64ab6e4901946c00c244bd7dbb"/>
    </Part>
    <Part Type="poskyris" Title="mastas" DocPartId="38abd327c7d640008faca4b27a3b2df4" PartId="7ba0edfea6754cdfb3ed5a7b34f685a9"/>
    <Part Type="signatura" DocPartId="3f4265bfb9db469688f50d017cb0dc0b" PartId="8804920e96fb409cb3e4e2aa47f88f99">
      <Part Type="priedas" Abbr="pr." Title="TELŠIŲ RAJONO SAVIVALDYBĖS 2016 METŲ SOCIALINIŲ PASLAUGŲ PLANO PRIEMONIŲ ĮGYVENDINIMO ATASKAITA" DocPartId="5e237d386afe46b891d73360af3524bf" PartId="e2e0015433a24e0f8f489d217a168b3f">
        <Part Type="skirsnis" Title="TELŠIŲ RAJONO SAVIVALDYBĖS TARYBOS SPRENDIMO „DĖL TELŠIŲ RAJONO SAVIVALDYBĖS 2017 METŲ SOCIALINIO PLANO PATVIRTINIMO“ PROJEKTO" DocPartId="a64710018d494483a744fb7141e7a8eb" PartId="71046d7ad4c74dc089c0c868fc263ba6"/>
        <Part Type="skirsnis" Title="AIŠKINAMASIS RAŠTAS" DocPartId="71d9c2d4a00040f3a230a8282404ac3f" PartId="c0490933fb744e1ebb6ba3ffeb8ea467">
          <Part Type="punktas" Nr="1" Abbr="pr. 1 p." DocPartId="956243d8b133444a98213ae61baeaada" PartId="9924034cdabc4b118cbc5795dcc67d12"/>
          <Part Type="punktas" Nr="2" Abbr="pr. 2 p." DocPartId="84cb62caad7f48c5988890901644349c" PartId="c6277a21eb0146d38c0a2bb50659c8c1"/>
          <Part Type="punktas" Nr="3" Abbr="pr. 3 p." DocPartId="1639c82e97c4453db2ba26f6615d123c" PartId="ae0f75458dc0416f999aab74e574d484"/>
          <Part Type="punktas" Nr="4" Abbr="pr. 4 p." DocPartId="f491a4e8384d413b8b2308ade8216f84" PartId="754f04f2f027476eae2919d34670e7be"/>
          <Part Type="punktas" Nr="5" Abbr="pr. 5 p." DocPartId="ec670a5ce9c94101880c8b2c97868a1c" PartId="4b58366d22ff4304b66f5280adc77d87"/>
          <Part Type="punktas" Nr="6" Abbr="pr. 6 p." DocPartId="c4816992cc6b4069b99cae4ba65d39dc" PartId="e1a02b0a515049e3a18c8608a2a9ff75"/>
          <Part Type="punktas" Nr="7" Abbr="pr. 7 p." DocPartId="14f5d9c49f9f43dd92177a2a027edfce" PartId="a62bd019f7f747d2a945bbfa0267fbaa"/>
          <Part Type="punktas" Nr="8" Abbr="pr. 8 p." DocPartId="7e21b9c2cefd4685b16f5551c6144215" PartId="b014be0862d54f79a7a22fa10c25c75a"/>
          <Part Type="punktas" Nr="9" Abbr="pr. 9 p." DocPartId="c2f5ac66fa6f4b1788758d830ef26757" PartId="4c9a0f3314ce4e6aa982b69909d247b1"/>
          <Part Type="punktas" Nr="10" Abbr="pr. 10 p." DocPartId="b0bda21da670409b8a949b786bda3956" PartId="02d1f9e3e73d49d8b0ac0d3eeb69d63f"/>
        </Part>
      </Part>
    </Part>
  </Part>
</Parts>
</file>

<file path=customXml/itemProps1.xml><?xml version="1.0" encoding="utf-8"?>
<ds:datastoreItem xmlns:ds="http://schemas.openxmlformats.org/officeDocument/2006/customXml" ds:itemID="{A490B435-54DE-4D12-8291-92CF8CE6D763}">
  <ds:schemaRefs>
    <ds:schemaRef ds:uri="http://schemas.openxmlformats.org/officeDocument/2006/bibliography"/>
  </ds:schemaRefs>
</ds:datastoreItem>
</file>

<file path=customXml/itemProps2.xml><?xml version="1.0" encoding="utf-8"?>
<ds:datastoreItem xmlns:ds="http://schemas.openxmlformats.org/officeDocument/2006/customXml" ds:itemID="{296B80DD-688E-4995-8C8F-24D25E50CC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15129</Words>
  <Characters>103790</Characters>
  <Application>Microsoft Office Word</Application>
  <DocSecurity>4</DocSecurity>
  <Lines>4512</Lines>
  <Paragraphs>2765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116154</CharactersWithSpaces>
  <SharedDoc>false</SharedDoc>
  <HyperlinkBase/>
  <HLinks>
    <vt:vector size="18" baseType="variant">
      <vt:variant>
        <vt:i4>4915242</vt:i4>
      </vt:variant>
      <vt:variant>
        <vt:i4>12</vt:i4>
      </vt:variant>
      <vt:variant>
        <vt:i4>0</vt:i4>
      </vt:variant>
      <vt:variant>
        <vt:i4>5</vt:i4>
      </vt:variant>
      <vt:variant>
        <vt:lpwstr>mailto:reda.raginskiene@telsiai.lt</vt:lpwstr>
      </vt:variant>
      <vt:variant>
        <vt:lpwstr/>
      </vt:variant>
      <vt:variant>
        <vt:i4>4980784</vt:i4>
      </vt:variant>
      <vt:variant>
        <vt:i4>9</vt:i4>
      </vt:variant>
      <vt:variant>
        <vt:i4>0</vt:i4>
      </vt:variant>
      <vt:variant>
        <vt:i4>5</vt:i4>
      </vt:variant>
      <vt:variant>
        <vt:lpwstr>mailto:roma.mikalciene@telsiai.lt</vt:lpwstr>
      </vt:variant>
      <vt:variant>
        <vt:lpwstr/>
      </vt:variant>
      <vt:variant>
        <vt:i4>3211337</vt:i4>
      </vt:variant>
      <vt:variant>
        <vt:i4>6</vt:i4>
      </vt:variant>
      <vt:variant>
        <vt:i4>0</vt:i4>
      </vt:variant>
      <vt:variant>
        <vt:i4>5</vt:i4>
      </vt:variant>
      <vt:variant>
        <vt:lpwstr>mailto:lendra.bukauskiene@telsiai.lt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2017-01-13T09:58:00Z</dcterms:created>
  <dc:creator>admin</dc:creator>
  <lastModifiedBy>adlibuser</lastModifiedBy>
  <lastPrinted>2017-01-10T15:35:00Z</lastPrinted>
  <dcterms:modified xsi:type="dcterms:W3CDTF">2017-01-13T09:58:00Z</dcterms:modified>
  <revision>2</revision>
  <dc:title>PROJEKTAS</dc:title>
</coreProperties>
</file>