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9229a22da574d1b8a5f1dd70ae2427a"/>
        <w:lock w:val="sdtLocked"/>
        <w:richText/>
      </w:sdtPr>
      <w:sdtContent>
        <w:p>
          <w:pPr>
            <w:tabs>
              <w:tab w:val="left" w:pos="3888"/>
            </w:tabs>
            <w:spacing w:line="360" w:lineRule="auto"/>
            <w:ind w:firstLine="6324"/>
            <w:jc w:val="right"/>
            <w:rPr>
              <w:rFonts w:eastAsia="Calibri"/>
              <w:b/>
              <w:bCs/>
              <w:color w:val="00000A"/>
              <w:szCs w:val="24"/>
            </w:rPr>
          </w:pPr>
          <w:r>
            <w:rPr>
              <w:rFonts w:eastAsia="Calibri"/>
              <w:b/>
              <w:bCs/>
              <w:color w:val="00000A"/>
              <w:szCs w:val="24"/>
            </w:rPr>
            <w:t xml:space="preserve">Projektas </w:t>
          </w:r>
        </w:p>
        <w:p>
          <w:pPr>
            <w:tabs>
              <w:tab w:val="left" w:pos="3888"/>
            </w:tabs>
            <w:spacing w:line="360" w:lineRule="auto"/>
            <w:ind w:left="5184" w:firstLine="2226"/>
            <w:jc w:val="center"/>
            <w:rPr>
              <w:rFonts w:eastAsia="Calibri"/>
              <w:b/>
              <w:bCs/>
              <w:color w:val="00000A"/>
              <w:szCs w:val="24"/>
            </w:rPr>
          </w:pPr>
        </w:p>
        <w:p>
          <w:pPr>
            <w:tabs>
              <w:tab w:val="left" w:pos="3888"/>
            </w:tabs>
            <w:spacing w:line="360" w:lineRule="auto"/>
            <w:jc w:val="center"/>
            <w:rPr>
              <w:rFonts w:eastAsia="Calibri"/>
              <w:b/>
              <w:bCs/>
              <w:color w:val="00000A"/>
              <w:szCs w:val="24"/>
            </w:rPr>
          </w:pPr>
        </w:p>
        <w:p>
          <w:pPr>
            <w:tabs>
              <w:tab w:val="left" w:pos="3888"/>
            </w:tabs>
            <w:jc w:val="center"/>
            <w:rPr>
              <w:rFonts w:eastAsia="Calibri"/>
              <w:b/>
              <w:bCs/>
              <w:color w:val="00000A"/>
              <w:szCs w:val="24"/>
            </w:rPr>
          </w:pPr>
          <w:r>
            <w:rPr>
              <w:rFonts w:eastAsia="Calibri"/>
              <w:b/>
              <w:bCs/>
              <w:color w:val="00000A"/>
              <w:szCs w:val="24"/>
            </w:rPr>
            <w:t xml:space="preserve">LIETUVOS RESPUBLIKOS </w:t>
          </w:r>
        </w:p>
        <w:p>
          <w:pPr>
            <w:tabs>
              <w:tab w:val="left" w:pos="3888"/>
            </w:tabs>
            <w:jc w:val="center"/>
            <w:rPr>
              <w:rFonts w:eastAsia="Calibri"/>
              <w:b/>
              <w:bCs/>
              <w:color w:val="00000A"/>
              <w:szCs w:val="24"/>
            </w:rPr>
          </w:pPr>
          <w:r>
            <w:rPr>
              <w:rFonts w:eastAsia="Calibri"/>
              <w:b/>
              <w:bCs/>
              <w:color w:val="00000A"/>
              <w:szCs w:val="24"/>
            </w:rPr>
            <w:t xml:space="preserve">SVEIKATOS PRIEŽIŪROS ĮSTAIGŲ ĮSTATYMO NR. I-1367 15 </w:t>
          </w:r>
        </w:p>
        <w:p>
          <w:pPr>
            <w:tabs>
              <w:tab w:val="left" w:pos="3888"/>
            </w:tabs>
            <w:jc w:val="center"/>
            <w:rPr>
              <w:rFonts w:eastAsia="Calibri"/>
              <w:b/>
              <w:bCs/>
              <w:color w:val="00000A"/>
              <w:szCs w:val="24"/>
            </w:rPr>
          </w:pPr>
          <w:r>
            <w:rPr>
              <w:rFonts w:eastAsia="Calibri"/>
              <w:b/>
              <w:bCs/>
              <w:color w:val="00000A"/>
              <w:szCs w:val="24"/>
            </w:rPr>
            <w:t xml:space="preserve">STRAIPSNIO PAKEITIMO </w:t>
          </w:r>
        </w:p>
        <w:p>
          <w:pPr>
            <w:tabs>
              <w:tab w:val="left" w:pos="3888"/>
            </w:tabs>
            <w:jc w:val="center"/>
            <w:rPr>
              <w:rFonts w:eastAsia="Calibri"/>
              <w:b/>
              <w:bCs/>
              <w:color w:val="00000A"/>
              <w:szCs w:val="24"/>
            </w:rPr>
          </w:pPr>
          <w:r>
            <w:rPr>
              <w:rFonts w:eastAsia="Calibri"/>
              <w:b/>
              <w:bCs/>
              <w:color w:val="00000A"/>
              <w:szCs w:val="24"/>
            </w:rPr>
            <w:t xml:space="preserve">ĮSTATYMAS </w:t>
          </w:r>
        </w:p>
        <w:p>
          <w:pPr>
            <w:tabs>
              <w:tab w:val="left" w:pos="3888"/>
            </w:tabs>
            <w:spacing w:line="360" w:lineRule="auto"/>
            <w:jc w:val="center"/>
            <w:rPr>
              <w:rFonts w:eastAsia="Calibri"/>
              <w:b/>
              <w:bCs/>
              <w:color w:val="00000A"/>
              <w:szCs w:val="24"/>
            </w:rPr>
          </w:pPr>
        </w:p>
        <w:p>
          <w:pPr>
            <w:tabs>
              <w:tab w:val="left" w:pos="3888"/>
            </w:tabs>
            <w:spacing w:line="360" w:lineRule="auto"/>
            <w:jc w:val="center"/>
            <w:rPr>
              <w:color w:val="00000A"/>
              <w:szCs w:val="24"/>
            </w:rPr>
          </w:pPr>
          <w:r>
            <w:rPr>
              <w:color w:val="00000A"/>
              <w:szCs w:val="24"/>
            </w:rPr>
            <w:t xml:space="preserve">2021 m.                      d. Nr.</w:t>
          </w:r>
        </w:p>
        <w:p>
          <w:pPr>
            <w:tabs>
              <w:tab w:val="left" w:pos="3888"/>
            </w:tabs>
            <w:spacing w:line="360" w:lineRule="auto"/>
            <w:jc w:val="center"/>
            <w:rPr>
              <w:color w:val="00000A"/>
              <w:szCs w:val="24"/>
            </w:rPr>
          </w:pPr>
          <w:r>
            <w:rPr>
              <w:color w:val="00000A"/>
              <w:szCs w:val="24"/>
            </w:rPr>
            <w:t>Vilnius</w:t>
          </w:r>
        </w:p>
        <w:p>
          <w:pPr>
            <w:tabs>
              <w:tab w:val="left" w:pos="3015"/>
              <w:tab w:val="left" w:pos="3888"/>
            </w:tabs>
            <w:spacing w:line="360" w:lineRule="auto"/>
            <w:ind w:firstLine="558"/>
            <w:jc w:val="both"/>
            <w:rPr>
              <w:rFonts w:eastAsia="Calibri"/>
              <w:b/>
              <w:bCs/>
              <w:color w:val="2F5496"/>
              <w:szCs w:val="24"/>
            </w:rPr>
          </w:pPr>
        </w:p>
        <w:sdt>
          <w:sdtPr>
            <w:alias w:val="1 str."/>
            <w:tag w:val="part_428aa320ac1f40b6b652eacd590e3507"/>
            <w:lock w:val="sdtLocked"/>
            <w:richText/>
          </w:sdtPr>
          <w:sdtContent>
            <w:p>
              <w:pPr>
                <w:tabs>
                  <w:tab w:val="left" w:pos="3888"/>
                </w:tabs>
                <w:ind w:firstLine="710"/>
                <w:rPr>
                  <w:rFonts w:eastAsia="Calibri"/>
                  <w:color w:val="00000A"/>
                  <w:szCs w:val="24"/>
                </w:rPr>
              </w:pPr>
              <w:sdt>
                <w:sdtPr>
                  <w:alias w:val="Numeris"/>
                  <w:tag w:val="nr_428aa320ac1f40b6b652eacd590e3507"/>
                  <w:lock w:val="sdtLocked"/>
                  <w:richText/>
                </w:sdtPr>
                <w:sdtContent>
                  <w:r>
                    <w:rPr>
                      <w:rFonts w:eastAsia="Calibri"/>
                      <w:b/>
                      <w:bCs/>
                      <w:color w:val="00000A"/>
                      <w:szCs w:val="24"/>
                    </w:rPr>
                    <w:t>1</w:t>
                  </w:r>
                </w:sdtContent>
              </w:sdt>
              <w:r>
                <w:rPr>
                  <w:rFonts w:eastAsia="Calibri"/>
                  <w:b/>
                  <w:bCs/>
                  <w:color w:val="00000A"/>
                  <w:szCs w:val="24"/>
                </w:rPr>
                <w:t xml:space="preserve"> straipsnis. </w:t>
              </w:r>
              <w:sdt>
                <w:sdtPr>
                  <w:alias w:val="Pavadinimas"/>
                  <w:tag w:val="title_428aa320ac1f40b6b652eacd590e3507"/>
                  <w:lock w:val="sdtLocked"/>
                  <w:richText/>
                </w:sdtPr>
                <w:sdtContent>
                  <w:r>
                    <w:rPr>
                      <w:rFonts w:eastAsia="Calibri"/>
                      <w:b/>
                      <w:bCs/>
                      <w:color w:val="00000A"/>
                      <w:szCs w:val="24"/>
                    </w:rPr>
                    <w:t>15 straipsnio pakeitimas</w:t>
                  </w:r>
                </w:sdtContent>
              </w:sdt>
            </w:p>
            <w:sdt>
              <w:sdtPr>
                <w:alias w:val="1 str. 1 d."/>
                <w:tag w:val="part_5c0308e780c84baa9dbea2d76d238af1"/>
                <w:lock w:val="sdtLocked"/>
                <w:richText/>
              </w:sdtPr>
              <w:sdtContent>
                <w:p>
                  <w:pPr>
                    <w:tabs>
                      <w:tab w:val="left" w:pos="720"/>
                      <w:tab w:val="left" w:pos="3888"/>
                    </w:tabs>
                    <w:ind w:firstLine="744"/>
                    <w:jc w:val="both"/>
                    <w:rPr>
                      <w:color w:val="00000A"/>
                      <w:szCs w:val="24"/>
                      <w:lang w:eastAsia="lt-LT"/>
                    </w:rPr>
                  </w:pPr>
                  <w:r>
                    <w:rPr>
                      <w:rFonts w:eastAsia="Calibri"/>
                      <w:color w:val="00000A"/>
                      <w:szCs w:val="24"/>
                    </w:rPr>
                    <w:t>Pakeisti 15</w:t>
                  </w:r>
                  <w:r>
                    <w:rPr>
                      <w:color w:val="00000A"/>
                      <w:szCs w:val="24"/>
                      <w:lang w:eastAsia="lt-LT"/>
                    </w:rPr>
                    <w:t xml:space="preserve"> straipsnio 1 dalį ir ją išdėstyti taip:</w:t>
                  </w:r>
                </w:p>
                <w:sdt>
                  <w:sdtPr>
                    <w:alias w:val="citata"/>
                    <w:tag w:val="part_2f0b1cccab85434b80195d1a1949c30b"/>
                    <w:lock w:val="sdtLocked"/>
                    <w:richText/>
                  </w:sdtPr>
                  <w:sdtContent>
                    <w:sdt>
                      <w:sdtPr>
                        <w:alias w:val="1 d."/>
                        <w:tag w:val="part_b88347b1cf754aab98631c162d71bc25"/>
                        <w:lock w:val="sdtLocked"/>
                        <w:richText/>
                      </w:sdtPr>
                      <w:sdtContent>
                        <w:p>
                          <w:pPr>
                            <w:ind w:firstLine="782"/>
                            <w:jc w:val="both"/>
                            <w:rPr>
                              <w:color w:val="000000"/>
                              <w:szCs w:val="24"/>
                            </w:rPr>
                          </w:pPr>
                          <w:r>
                            <w:rPr>
                              <w:rFonts w:eastAsia="Calibri"/>
                              <w:color w:val="00000A"/>
                              <w:szCs w:val="24"/>
                              <w:lang w:eastAsia="lt-LT"/>
                            </w:rPr>
                            <w:t>„</w:t>
                          </w:r>
                          <w:sdt>
                            <w:sdtPr>
                              <w:alias w:val="Numeris"/>
                              <w:tag w:val="nr_b88347b1cf754aab98631c162d71bc25"/>
                              <w:lock w:val="sdtLocked"/>
                              <w:richText/>
                            </w:sdtPr>
                            <w:sdtContent>
                              <w:r>
                                <w:rPr>
                                  <w:color w:val="000000"/>
                                  <w:szCs w:val="24"/>
                                </w:rPr>
                                <w:t>1</w:t>
                              </w:r>
                            </w:sdtContent>
                          </w:sdt>
                          <w:r>
                            <w:rPr>
                              <w:color w:val="000000"/>
                              <w:szCs w:val="24"/>
                            </w:rPr>
                            <w:t>. LNSS valstybės ir savivaldybių biudžetinių ir viešųjų įstaigų vadovai į darbą priimami viešo konkurso būdu. LNSS valstybės ir savivaldybių biudžetinių ir viešųjų įstaigų, išskyrus viešąsias</w:t>
                          </w:r>
                          <w:r>
                            <w:rPr>
                              <w:b/>
                              <w:bCs/>
                              <w:color w:val="000000"/>
                              <w:szCs w:val="24"/>
                            </w:rPr>
                            <w:t xml:space="preserve"> </w:t>
                          </w:r>
                          <w:r>
                            <w:rPr>
                              <w:color w:val="000000"/>
                              <w:szCs w:val="24"/>
                            </w:rPr>
                            <w:t>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 likus ne mažiau kaip 6 mėnesiams iki LNSS valstybės ir savivaldybių biudžetinės ir viešosios įstaigos vadovo kadencijos pabaigos.“</w:t>
                          </w:r>
                        </w:p>
                      </w:sdtContent>
                    </w:sdt>
                  </w:sdtContent>
                </w:sdt>
              </w:sdtContent>
            </w:sdt>
            <w:sdt>
              <w:sdtPr>
                <w:alias w:val="1 str. 2 d."/>
                <w:tag w:val="part_0aee41f0835a449f8500489a5cef34d7"/>
                <w:lock w:val="sdtLocked"/>
                <w:richText/>
              </w:sdtPr>
              <w:sdtContent>
                <w:p>
                  <w:pPr>
                    <w:ind w:firstLine="720"/>
                    <w:jc w:val="both"/>
                    <w:rPr>
                      <w:color w:val="000000"/>
                      <w:szCs w:val="24"/>
                      <w:lang w:val="en-US"/>
                    </w:rPr>
                  </w:pPr>
                  <w:r>
                    <w:rPr>
                      <w:color w:val="000000"/>
                      <w:szCs w:val="24"/>
                    </w:rPr>
                    <w:t>Pakeisti 15 straipsnio 2 dalį ir ją išdėstyti taip:</w:t>
                  </w:r>
                </w:p>
                <w:sdt>
                  <w:sdtPr>
                    <w:alias w:val="citata"/>
                    <w:tag w:val="part_797fb78be86a438cb1f8b1877bcea7e3"/>
                    <w:lock w:val="sdtLocked"/>
                    <w:richText/>
                  </w:sdtPr>
                  <w:sdtContent>
                    <w:sdt>
                      <w:sdtPr>
                        <w:alias w:val="2 d."/>
                        <w:tag w:val="part_ad9b24e87c4347b9ace5b4c842f4802c"/>
                        <w:lock w:val="sdtLocked"/>
                        <w:richText/>
                      </w:sdtPr>
                      <w:sdtContent>
                        <w:p>
                          <w:pPr>
                            <w:ind w:firstLine="720"/>
                            <w:jc w:val="both"/>
                            <w:rPr>
                              <w:color w:val="000000"/>
                              <w:szCs w:val="24"/>
                            </w:rPr>
                          </w:pPr>
                          <w:r>
                            <w:rPr>
                              <w:color w:val="000000"/>
                              <w:szCs w:val="24"/>
                            </w:rPr>
                            <w:t>„</w:t>
                          </w:r>
                          <w:sdt>
                            <w:sdtPr>
                              <w:alias w:val="Numeris"/>
                              <w:tag w:val="nr_ad9b24e87c4347b9ace5b4c842f4802c"/>
                              <w:lock w:val="sdtLocked"/>
                              <w:richText/>
                            </w:sdtPr>
                            <w:sdtContent>
                              <w:r>
                                <w:rPr>
                                  <w:color w:val="000000"/>
                                  <w:szCs w:val="24"/>
                                </w:rPr>
                                <w:t>2</w:t>
                              </w:r>
                            </w:sdtContent>
                          </w:sdt>
                          <w:r>
                            <w:rPr>
                              <w:color w:val="000000"/>
                              <w:szCs w:val="24"/>
                            </w:rPr>
                            <w:t xml:space="preserve">. Valstybės ir savivaldybių biudžetinių ir viešųjų įstaigų </w:t>
                          </w:r>
                          <w:r>
                            <w:rPr>
                              <w:szCs w:val="24"/>
                            </w:rPr>
                            <w:t xml:space="preserve">padalinių (įstaigos struktūrinių vienetų) </w:t>
                          </w:r>
                          <w:r>
                            <w:rPr>
                              <w:color w:val="000000"/>
                              <w:szCs w:val="24"/>
                            </w:rPr>
                            <w:t>ir filialų vadovai, į darbą priimami viešo konkurso būdu. Viešųjų įstaigų (įskaitant universitetų ligonines),</w:t>
                          </w:r>
                          <w:r>
                            <w:rPr>
                              <w:rFonts w:ascii="Calibri" w:eastAsia="Calibri" w:hAnsi="Calibri" w:cs="Calibri"/>
                              <w:color w:val="00000A"/>
                              <w:sz w:val="22"/>
                              <w:szCs w:val="22"/>
                            </w:rPr>
                            <w:t xml:space="preserve"> </w:t>
                          </w:r>
                          <w:r>
                            <w:rPr>
                              <w:color w:val="000000"/>
                              <w:szCs w:val="24"/>
                            </w:rPr>
                            <w:t>išskyrus viešąsias įstaigas, kuriose dirba dešimt ar mažiau sveikatos priežiūros specialistų, turinčių medicinos praktikos licenciją, padalinių (įstaigos struktūrinių vienetų) ir filialų vadovai į darbą priimami viešo konkurso būdu penkeriems metams. Viešą konkursą organizuoja ir jo nuostatus tvirtina atitinkamos įstaigos vadovas likus ne mažiau kaip 6 mėnesiams iki įstaigos padalinio (įstaigos struktūrinio vieneto) ar filialo vadovo kadencijos pabaigos. Įstaigos vadovas turi teisę organizuoti padalinių ir filialų vadovų atestaciją.“</w:t>
                          </w:r>
                        </w:p>
                        <w:p>
                          <w:pPr>
                            <w:ind w:firstLine="720"/>
                            <w:jc w:val="both"/>
                            <w:rPr>
                              <w:color w:val="000000"/>
                              <w:szCs w:val="24"/>
                            </w:rPr>
                          </w:pPr>
                        </w:p>
                        <w:p>
                          <w:pPr>
                            <w:jc w:val="both"/>
                            <w:rPr>
                              <w:b/>
                              <w:bCs/>
                              <w:color w:val="00000A"/>
                              <w:szCs w:val="24"/>
                              <w:lang w:eastAsia="lt-LT"/>
                            </w:rPr>
                          </w:pPr>
                        </w:p>
                      </w:sdtContent>
                    </w:sdt>
                  </w:sdtContent>
                </w:sdt>
              </w:sdtContent>
            </w:sdt>
          </w:sdtContent>
        </w:sdt>
        <w:sdt>
          <w:sdtPr>
            <w:alias w:val="2 str."/>
            <w:tag w:val="part_087a6bcd26a34d98aeb3262ae97ec2f4"/>
            <w:lock w:val="sdtLocked"/>
            <w:richText/>
          </w:sdtPr>
          <w:sdtContent>
            <w:p>
              <w:pPr>
                <w:ind w:firstLine="744"/>
                <w:jc w:val="both"/>
                <w:rPr>
                  <w:color w:val="000000"/>
                  <w:szCs w:val="24"/>
                  <w:lang w:eastAsia="lt-LT"/>
                </w:rPr>
              </w:pPr>
              <w:sdt>
                <w:sdtPr>
                  <w:alias w:val="Numeris"/>
                  <w:tag w:val="nr_087a6bcd26a34d98aeb3262ae97ec2f4"/>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087a6bcd26a34d98aeb3262ae97ec2f4"/>
                  <w:lock w:val="sdtLocked"/>
                  <w:richText/>
                </w:sdtPr>
                <w:sdtContent>
                  <w:r>
                    <w:rPr>
                      <w:b/>
                      <w:bCs/>
                      <w:color w:val="000000"/>
                      <w:szCs w:val="24"/>
                      <w:lang w:eastAsia="lt-LT"/>
                    </w:rPr>
                    <w:t>Įstatymo įsigaliojimas ir įgyvendinimas</w:t>
                  </w:r>
                </w:sdtContent>
              </w:sdt>
            </w:p>
            <w:sdt>
              <w:sdtPr>
                <w:alias w:val="2 str. 1 d."/>
                <w:tag w:val="part_9f8a15e685044e1dbdf611bf0bb2b02f"/>
                <w:lock w:val="sdtLocked"/>
                <w:richText/>
              </w:sdtPr>
              <w:sdtContent>
                <w:p>
                  <w:pPr>
                    <w:ind w:left="1080" w:hanging="360"/>
                    <w:jc w:val="both"/>
                    <w:rPr>
                      <w:color w:val="000000"/>
                      <w:szCs w:val="24"/>
                      <w:lang w:eastAsia="lt-LT"/>
                    </w:rPr>
                  </w:pPr>
                  <w:sdt>
                    <w:sdtPr>
                      <w:alias w:val="Numeris"/>
                      <w:tag w:val="nr_9f8a15e685044e1dbdf611bf0bb2b02f"/>
                      <w:lock w:val="sdtLocked"/>
                      <w:richText/>
                    </w:sdtPr>
                    <w:sdtContent>
                      <w:r>
                        <w:rPr>
                          <w:color w:val="000000"/>
                          <w:szCs w:val="24"/>
                          <w:lang w:eastAsia="lt-LT"/>
                        </w:rPr>
                        <w:t>1</w:t>
                      </w:r>
                    </w:sdtContent>
                  </w:sdt>
                  <w:r>
                    <w:rPr>
                      <w:color w:val="000000"/>
                      <w:szCs w:val="24"/>
                      <w:lang w:eastAsia="lt-LT"/>
                    </w:rPr>
                    <w:t>.</w:t>
                    <w:tab/>
                  </w:r>
                  <w:r>
                    <w:rPr>
                      <w:color w:val="00000A"/>
                      <w:szCs w:val="24"/>
                      <w:lang w:eastAsia="lt-LT"/>
                    </w:rPr>
                    <w:t>Šis įstatymas įsigalioja 2022 m. sausio 1 d.</w:t>
                  </w:r>
                </w:p>
              </w:sdtContent>
            </w:sdt>
            <w:sdt>
              <w:sdtPr>
                <w:alias w:val="2 str. 2 d."/>
                <w:tag w:val="part_8c8a1481c793463dafe4551b662be7a3"/>
                <w:lock w:val="sdtLocked"/>
                <w:richText/>
              </w:sdtPr>
              <w:sdtContent>
                <w:p>
                  <w:pPr>
                    <w:ind w:firstLine="720"/>
                    <w:jc w:val="both"/>
                    <w:rPr>
                      <w:color w:val="000000"/>
                      <w:szCs w:val="24"/>
                      <w:lang w:eastAsia="lt-LT"/>
                    </w:rPr>
                  </w:pPr>
                  <w:sdt>
                    <w:sdtPr>
                      <w:alias w:val="Numeris"/>
                      <w:tag w:val="nr_8c8a1481c793463dafe4551b662be7a3"/>
                      <w:lock w:val="sdtLocked"/>
                      <w:richText/>
                    </w:sdtPr>
                    <w:sdtContent>
                      <w:r>
                        <w:rPr>
                          <w:color w:val="000000"/>
                          <w:szCs w:val="24"/>
                          <w:lang w:eastAsia="lt-LT"/>
                        </w:rPr>
                        <w:t>2</w:t>
                      </w:r>
                    </w:sdtContent>
                  </w:sdt>
                  <w:r>
                    <w:rPr>
                      <w:color w:val="000000"/>
                      <w:szCs w:val="24"/>
                      <w:lang w:eastAsia="lt-LT"/>
                    </w:rPr>
                    <w:t>.</w:t>
                    <w:tab/>
                  </w:r>
                  <w:r>
                    <w:rPr>
                      <w:rFonts w:eastAsia="Calibri"/>
                      <w:color w:val="000000"/>
                      <w:szCs w:val="24"/>
                    </w:rPr>
                    <w:t>Lietuvos Respublikos sveikatos apsaugos ministras iki 2021 m. gruodžio 1 d. priima šio įstatymo įgyvendinamuosius teisės aktus.</w:t>
                  </w:r>
                </w:p>
                <w:p>
                  <w:pPr>
                    <w:tabs>
                      <w:tab w:val="left" w:pos="0"/>
                      <w:tab w:val="left" w:pos="1832"/>
                      <w:tab w:val="left" w:pos="2748"/>
                      <w:tab w:val="left" w:pos="3664"/>
                      <w:tab w:val="left" w:pos="388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A"/>
                      <w:szCs w:val="24"/>
                      <w:lang w:eastAsia="lt-LT"/>
                    </w:rPr>
                  </w:pPr>
                </w:p>
                <w:p>
                  <w:pPr>
                    <w:tabs>
                      <w:tab w:val="left" w:pos="0"/>
                      <w:tab w:val="left" w:pos="1832"/>
                      <w:tab w:val="left" w:pos="2748"/>
                      <w:tab w:val="left" w:pos="3664"/>
                      <w:tab w:val="left" w:pos="388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A"/>
                      <w:szCs w:val="24"/>
                      <w:lang w:eastAsia="lt-LT"/>
                    </w:rPr>
                  </w:pPr>
                </w:p>
              </w:sdtContent>
            </w:sdt>
          </w:sdtContent>
        </w:sdt>
        <w:sdt>
          <w:sdtPr>
            <w:alias w:val="3 str."/>
            <w:tag w:val="part_6244c288a39b4ed3b65cff22af84daf2"/>
            <w:lock w:val="sdtLocked"/>
            <w:richText/>
          </w:sdtPr>
          <w:sdtContent>
            <w:p>
              <w:pPr>
                <w:tabs>
                  <w:tab w:val="left" w:pos="0"/>
                  <w:tab w:val="left" w:pos="1832"/>
                  <w:tab w:val="left" w:pos="2748"/>
                  <w:tab w:val="left" w:pos="3664"/>
                  <w:tab w:val="left" w:pos="388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A"/>
                  <w:szCs w:val="24"/>
                  <w:lang w:eastAsia="lt-LT"/>
                </w:rPr>
              </w:pPr>
              <w:sdt>
                <w:sdtPr>
                  <w:alias w:val="Numeris"/>
                  <w:tag w:val="nr_6244c288a39b4ed3b65cff22af84daf2"/>
                  <w:lock w:val="sdtLocked"/>
                  <w:richText/>
                </w:sdtPr>
                <w:sdtContent>
                  <w:r>
                    <w:rPr>
                      <w:b/>
                      <w:color w:val="00000A"/>
                      <w:szCs w:val="24"/>
                      <w:lang w:eastAsia="lt-LT"/>
                    </w:rPr>
                    <w:t>3</w:t>
                  </w:r>
                </w:sdtContent>
              </w:sdt>
              <w:r>
                <w:rPr>
                  <w:b/>
                  <w:color w:val="00000A"/>
                  <w:szCs w:val="24"/>
                  <w:lang w:eastAsia="lt-LT"/>
                </w:rPr>
                <w:t xml:space="preserve"> straipsnis. </w:t>
              </w:r>
              <w:sdt>
                <w:sdtPr>
                  <w:alias w:val="Pavadinimas"/>
                  <w:tag w:val="title_6244c288a39b4ed3b65cff22af84daf2"/>
                  <w:lock w:val="sdtLocked"/>
                  <w:richText/>
                </w:sdtPr>
                <w:sdtContent>
                  <w:r>
                    <w:rPr>
                      <w:b/>
                      <w:color w:val="00000A"/>
                      <w:szCs w:val="24"/>
                      <w:lang w:eastAsia="lt-LT"/>
                    </w:rPr>
                    <w:t>Įstatymo taikymas</w:t>
                  </w:r>
                </w:sdtContent>
              </w:sdt>
            </w:p>
            <w:sdt>
              <w:sdtPr>
                <w:alias w:val="3 str. 1 d."/>
                <w:tag w:val="part_8ca2ef9a7ae343c9826069c629c8316f"/>
                <w:lock w:val="sdtLocked"/>
                <w:richText/>
              </w:sdtPr>
              <w:sdtContent>
                <w:p>
                  <w:pPr>
                    <w:ind w:firstLine="720"/>
                    <w:jc w:val="both"/>
                    <w:rPr>
                      <w:rFonts w:eastAsia="Calibri"/>
                      <w:color w:val="000000"/>
                      <w:szCs w:val="24"/>
                    </w:rPr>
                  </w:pPr>
                  <w:sdt>
                    <w:sdtPr>
                      <w:alias w:val="Numeris"/>
                      <w:tag w:val="nr_8ca2ef9a7ae343c9826069c629c8316f"/>
                      <w:lock w:val="sdtLocked"/>
                      <w:richText/>
                    </w:sdtPr>
                    <w:sdtContent>
                      <w:r>
                        <w:rPr>
                          <w:color w:val="00000A"/>
                          <w:szCs w:val="24"/>
                          <w:lang w:val="en-GB" w:eastAsia="lt-LT"/>
                        </w:rPr>
                        <w:t>1</w:t>
                      </w:r>
                    </w:sdtContent>
                  </w:sdt>
                  <w:r>
                    <w:rPr>
                      <w:color w:val="00000A"/>
                      <w:szCs w:val="24"/>
                      <w:lang w:val="en-GB" w:eastAsia="lt-LT"/>
                    </w:rPr>
                    <w:t xml:space="preserve">. </w:t>
                  </w:r>
                  <w:r>
                    <w:rPr>
                      <w:rFonts w:eastAsia="Calibri"/>
                      <w:color w:val="000000"/>
                      <w:szCs w:val="24"/>
                    </w:rPr>
                    <w:t xml:space="preserve"> Iki šio įstatymo įsigaliojimo į </w:t>
                  </w:r>
                  <w:r>
                    <w:rPr>
                      <w:color w:val="000000"/>
                      <w:szCs w:val="24"/>
                    </w:rPr>
                    <w:t xml:space="preserve">LNSS valstybės ir savivaldybių biudžetinių </w:t>
                  </w:r>
                  <w:r>
                    <w:rPr>
                      <w:rFonts w:eastAsia="Calibri"/>
                      <w:color w:val="000000"/>
                      <w:szCs w:val="24"/>
                    </w:rPr>
                    <w:t>įstaigų vadovų pareigas tam tikram nustatytam terminui paskirti asmenys toliau eina atitinkamos įstaigos vadovo pareigas iki šio termino pabaigos.</w:t>
                  </w:r>
                </w:p>
              </w:sdtContent>
            </w:sdt>
            <w:sdt>
              <w:sdtPr>
                <w:alias w:val="3 str. 2 d."/>
                <w:tag w:val="part_d2aad158cf9047e9a6b4a4dbdf64eb68"/>
                <w:lock w:val="sdtLocked"/>
                <w:richText/>
              </w:sdtPr>
              <w:sdtContent>
                <w:p>
                  <w:pPr>
                    <w:ind w:firstLine="720"/>
                    <w:jc w:val="both"/>
                    <w:rPr>
                      <w:color w:val="00000A"/>
                      <w:szCs w:val="24"/>
                      <w:lang w:val="en-GB" w:eastAsia="lt-LT"/>
                    </w:rPr>
                  </w:pPr>
                  <w:sdt>
                    <w:sdtPr>
                      <w:alias w:val="Numeris"/>
                      <w:tag w:val="nr_d2aad158cf9047e9a6b4a4dbdf64eb68"/>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LNSS valstybės ir savivaldybių biudžetinių įstaigų vadovai</w:t>
                  </w:r>
                  <w:r>
                    <w:rPr>
                      <w:rFonts w:eastAsia="Calibri"/>
                      <w:color w:val="000000"/>
                      <w:szCs w:val="24"/>
                    </w:rPr>
                    <w:t xml:space="preserve">, kurie iki šio įstatymo įsigaliojimo buvo paskirti į įstaigos vadovo pareigas neterminuotai ir šio įstatymo įsigaliojimo dieną įstaigos vadovo pareigas ėjo penkerius metus ar trumpiau, toliau eina įstaigos vadovo pareigas penkerius metus nuo šio įstatymo įsigaliojimo dienos. Jeigu </w:t>
                  </w:r>
                  <w:r>
                    <w:rPr>
                      <w:color w:val="000000"/>
                      <w:szCs w:val="24"/>
                    </w:rPr>
                    <w:t>LNSS valstybės ir savivaldybių biudžetinės</w:t>
                  </w:r>
                  <w:r>
                    <w:rPr>
                      <w:rFonts w:eastAsia="Calibri"/>
                      <w:color w:val="000000"/>
                      <w:szCs w:val="24"/>
                    </w:rPr>
                    <w:t xml:space="preserve"> įstaigos vadovas nesutinka dirbti pakeistomis darbo sąlygomis, jis atleidžiamas iš įstaigos vadovo pareigų vadovaujantis Lietuvos Respublikos darbo kodekso nuostatomis dėl darbo sutarties nutraukimo darbdavio iniciatyva be darbuotojo kaltės.</w:t>
                  </w:r>
                  <w:r>
                    <w:rPr>
                      <w:color w:val="00000A"/>
                      <w:szCs w:val="24"/>
                      <w:lang w:val="en-GB" w:eastAsia="lt-LT"/>
                    </w:rPr>
                    <w:t xml:space="preserve"> </w:t>
                  </w:r>
                </w:p>
              </w:sdtContent>
            </w:sdt>
            <w:sdt>
              <w:sdtPr>
                <w:alias w:val="3 str. 3 d."/>
                <w:tag w:val="part_0d7839908ff24cf0900828abe09064dd"/>
                <w:lock w:val="sdtLocked"/>
                <w:richText/>
              </w:sdtPr>
              <w:sdtContent>
                <w:p>
                  <w:pPr>
                    <w:ind w:firstLine="720"/>
                    <w:jc w:val="both"/>
                    <w:rPr>
                      <w:color w:val="00000A"/>
                      <w:szCs w:val="24"/>
                      <w:lang w:val="en-GB" w:eastAsia="lt-LT"/>
                    </w:rPr>
                  </w:pPr>
                  <w:sdt>
                    <w:sdtPr>
                      <w:alias w:val="Numeris"/>
                      <w:tag w:val="nr_0d7839908ff24cf0900828abe09064dd"/>
                      <w:lock w:val="sdtLocked"/>
                      <w:richText/>
                    </w:sdtPr>
                    <w:sdtContent>
                      <w:r>
                        <w:rPr>
                          <w:color w:val="00000A"/>
                          <w:szCs w:val="24"/>
                          <w:lang w:val="en-GB" w:eastAsia="lt-LT"/>
                        </w:rPr>
                        <w:t>3</w:t>
                      </w:r>
                    </w:sdtContent>
                  </w:sdt>
                  <w:r>
                    <w:rPr>
                      <w:color w:val="00000A"/>
                      <w:szCs w:val="24"/>
                      <w:lang w:val="en-GB" w:eastAsia="lt-LT"/>
                    </w:rPr>
                    <w:t xml:space="preserve">. </w:t>
                  </w:r>
                  <w:r>
                    <w:rPr>
                      <w:color w:val="000000"/>
                      <w:szCs w:val="24"/>
                    </w:rPr>
                    <w:t xml:space="preserve">LNSS valstybės ir savivaldybių biudžetinių įstaigų </w:t>
                  </w:r>
                  <w:r>
                    <w:rPr>
                      <w:color w:val="00000A"/>
                      <w:szCs w:val="24"/>
                      <w:lang w:val="en-GB" w:eastAsia="lt-LT"/>
                    </w:rPr>
                    <w:t>vadovų, kurie iki šio įstatymo įsigaliojimo dienos buvo paskirti į įstaigos vadovo pareigas neterminuotai ir šio įstatymo įsigaliojimo dieną įstaigos vadovo pareigas ėjo ilgiau kaip penkerius metus, vieši konkursai įstaigos vadovo pareigoms užimti turi būti įvykdyti ne vėliau kaip iki 2022 m. gruodžio 31 d.</w:t>
                  </w:r>
                </w:p>
              </w:sdtContent>
            </w:sdt>
            <w:sdt>
              <w:sdtPr>
                <w:alias w:val="3 str. 4 d."/>
                <w:tag w:val="part_cafe84def8254891a0ccffa1d794f27a"/>
                <w:lock w:val="sdtLocked"/>
                <w:richText/>
              </w:sdtPr>
              <w:sdtContent>
                <w:p>
                  <w:pPr>
                    <w:ind w:firstLine="720"/>
                    <w:jc w:val="both"/>
                    <w:rPr>
                      <w:color w:val="00000A"/>
                      <w:szCs w:val="24"/>
                      <w:lang w:val="en-GB" w:eastAsia="lt-LT"/>
                    </w:rPr>
                  </w:pPr>
                  <w:sdt>
                    <w:sdtPr>
                      <w:alias w:val="Numeris"/>
                      <w:tag w:val="nr_cafe84def8254891a0ccffa1d794f27a"/>
                      <w:lock w:val="sdtLocked"/>
                      <w:richText/>
                    </w:sdtPr>
                    <w:sdtContent>
                      <w:r>
                        <w:rPr>
                          <w:color w:val="00000A"/>
                          <w:szCs w:val="24"/>
                          <w:lang w:val="en-GB" w:eastAsia="lt-LT"/>
                        </w:rPr>
                        <w:t>4</w:t>
                      </w:r>
                    </w:sdtContent>
                  </w:sdt>
                  <w:r>
                    <w:rPr>
                      <w:color w:val="00000A"/>
                      <w:szCs w:val="24"/>
                      <w:lang w:val="en-GB" w:eastAsia="lt-LT"/>
                    </w:rPr>
                    <w:t>. Iki šio įstatymo įsigaliojimo dienos į LNSS valstybės ir savivaldybių vie</w:t>
                  </w:r>
                  <w:r>
                    <w:rPr>
                      <w:color w:val="00000A"/>
                      <w:szCs w:val="24"/>
                      <w:lang w:eastAsia="lt-LT"/>
                    </w:rPr>
                    <w:t>šųjų</w:t>
                  </w:r>
                  <w:r>
                    <w:rPr>
                      <w:color w:val="00000A"/>
                      <w:szCs w:val="24"/>
                      <w:lang w:val="en-GB" w:eastAsia="lt-LT"/>
                    </w:rPr>
                    <w:t xml:space="preserve"> įstaigų (įskaitant universiteto ligonines) padalinių (įstaigos struktūrinių vienetų) ir filialų vadovų pareigas tam tikram nustatytam terminui paskirti asmenys toliau eina atitinkamas įstaigos padalinių (įstaigos struktūrinių vienetų) ir filialų vadovo pareigas iki šio termino pabaigos.</w:t>
                  </w:r>
                </w:p>
              </w:sdtContent>
            </w:sdt>
            <w:sdt>
              <w:sdtPr>
                <w:alias w:val="3 str. 5 d."/>
                <w:tag w:val="part_b40e30b6822e45edb9a904014d462c91"/>
                <w:lock w:val="sdtLocked"/>
                <w:richText/>
              </w:sdtPr>
              <w:sdtContent>
                <w:p>
                  <w:pPr>
                    <w:ind w:firstLine="720"/>
                    <w:jc w:val="both"/>
                    <w:rPr>
                      <w:szCs w:val="24"/>
                      <w:lang w:val="en-GB" w:eastAsia="lt-LT"/>
                    </w:rPr>
                  </w:pPr>
                  <w:sdt>
                    <w:sdtPr>
                      <w:alias w:val="Numeris"/>
                      <w:tag w:val="nr_b40e30b6822e45edb9a904014d462c91"/>
                      <w:lock w:val="sdtLocked"/>
                      <w:richText/>
                    </w:sdtPr>
                    <w:sdtContent>
                      <w:r>
                        <w:rPr>
                          <w:color w:val="00000A"/>
                          <w:szCs w:val="24"/>
                          <w:lang w:val="en-US" w:eastAsia="lt-LT"/>
                        </w:rPr>
                        <w:t>5</w:t>
                      </w:r>
                    </w:sdtContent>
                  </w:sdt>
                  <w:r>
                    <w:rPr>
                      <w:color w:val="00000A"/>
                      <w:szCs w:val="24"/>
                      <w:lang w:val="en-US" w:eastAsia="lt-LT"/>
                    </w:rPr>
                    <w:t xml:space="preserve">. </w:t>
                  </w:r>
                  <w:r>
                    <w:rPr>
                      <w:color w:val="000000"/>
                      <w:szCs w:val="24"/>
                    </w:rPr>
                    <w:t xml:space="preserve">Valstybės ir savivaldybių viešųjų įstaigų </w:t>
                  </w:r>
                  <w:r>
                    <w:rPr>
                      <w:szCs w:val="24"/>
                    </w:rPr>
                    <w:t xml:space="preserve">struktūrinių vienetų (tarnybų, departamentų, skyrių ir pan.) vadovai, kurie iki šio įstatymo įsigaliojimo dienos buvo paskirti į įstaigos struktūrinio vieneto vadovo pareigas neterminuotai ir šio įstatymo įsigaliojimo dieną įstaigos struktūrinio vieneto vadovo pareigas ėjo penkerius metus ir trumpiau, toliau eina įstaigos struktūrinio vieneto vadovo </w:t>
                  </w:r>
                  <w:r>
                    <w:rPr>
                      <w:rFonts w:eastAsia="Calibri"/>
                      <w:szCs w:val="24"/>
                    </w:rPr>
                    <w:t xml:space="preserve">pareigas penkerius metus nuo šio įstatymo įsigaliojimo dienos. Jeigu </w:t>
                  </w:r>
                  <w:r>
                    <w:rPr>
                      <w:szCs w:val="24"/>
                    </w:rPr>
                    <w:t>valstybės ir savivaldybių viešosios</w:t>
                  </w:r>
                  <w:r>
                    <w:rPr>
                      <w:rFonts w:eastAsia="Calibri"/>
                      <w:szCs w:val="24"/>
                    </w:rPr>
                    <w:t xml:space="preserve"> įstaigos struktūrinio vieneto vadovas nesutinka dirbti pakeistomis darbo sąlygomis, jis atleidžiamas iš įstaigos struktūrinio vieneto vadovo pareigų vadovaujantis Lietuvos Respublikos darbo kodekso nuostatomis dėl darbo sutarties nutraukimo darbdavio iniciatyva be darbuotojo kaltės.</w:t>
                  </w:r>
                  <w:r>
                    <w:rPr>
                      <w:szCs w:val="24"/>
                      <w:lang w:val="en-GB" w:eastAsia="lt-LT"/>
                    </w:rPr>
                    <w:t xml:space="preserve"> </w:t>
                  </w:r>
                </w:p>
              </w:sdtContent>
            </w:sdt>
            <w:sdt>
              <w:sdtPr>
                <w:alias w:val="3 str. 6 d."/>
                <w:tag w:val="part_ed1824f5c382428d95710b0d6a0cbf63"/>
                <w:lock w:val="sdtLocked"/>
                <w:richText/>
              </w:sdtPr>
              <w:sdtContent>
                <w:p>
                  <w:pPr>
                    <w:ind w:firstLine="720"/>
                    <w:jc w:val="both"/>
                    <w:rPr>
                      <w:color w:val="00000A"/>
                      <w:szCs w:val="24"/>
                      <w:lang w:val="en-GB" w:eastAsia="lt-LT"/>
                    </w:rPr>
                  </w:pPr>
                  <w:sdt>
                    <w:sdtPr>
                      <w:alias w:val="Numeris"/>
                      <w:tag w:val="nr_ed1824f5c382428d95710b0d6a0cbf63"/>
                      <w:lock w:val="sdtLocked"/>
                      <w:richText/>
                    </w:sdtPr>
                    <w:sdtContent>
                      <w:r>
                        <w:rPr>
                          <w:szCs w:val="24"/>
                          <w:lang w:val="en-GB" w:eastAsia="lt-LT"/>
                        </w:rPr>
                        <w:t>6</w:t>
                      </w:r>
                    </w:sdtContent>
                  </w:sdt>
                  <w:r>
                    <w:rPr>
                      <w:szCs w:val="24"/>
                      <w:lang w:val="en-GB" w:eastAsia="lt-LT"/>
                    </w:rPr>
                    <w:t xml:space="preserve">. </w:t>
                  </w:r>
                  <w:r>
                    <w:rPr>
                      <w:szCs w:val="24"/>
                    </w:rPr>
                    <w:t xml:space="preserve">Valstybės ir savivaldybių viešųjų įstaigų struktūrinių vienetų </w:t>
                  </w:r>
                  <w:r>
                    <w:rPr>
                      <w:color w:val="000000"/>
                      <w:szCs w:val="24"/>
                    </w:rPr>
                    <w:t>vadovų</w:t>
                  </w:r>
                  <w:r>
                    <w:rPr>
                      <w:color w:val="00000A"/>
                      <w:szCs w:val="24"/>
                      <w:lang w:val="en-GB" w:eastAsia="lt-LT"/>
                    </w:rPr>
                    <w:t>, kurie iki šio įstatymo įsigaliojimo dienos buvo paskirti į įstaigos struktūrinio vieneto vadovo pareigas neterminuotai ir šio įstatymo įsigaliojimo dieną įstaigos struktūrinio vieneto vadovo pareigas ėjo ilgiau kaip penkerius metus, vieši konkursai įstaigos struktūrinio vieneto vadovo pareigoms užimti turi būti įvykdyti ne vėliau kaip iki 2023 m. liepos 1 d.</w:t>
                  </w:r>
                </w:p>
                <w:p>
                  <w:pPr>
                    <w:ind w:firstLine="720"/>
                    <w:jc w:val="both"/>
                    <w:rPr>
                      <w:color w:val="00000A"/>
                      <w:szCs w:val="24"/>
                      <w:lang w:val="en-GB" w:eastAsia="lt-LT"/>
                    </w:rPr>
                  </w:pPr>
                </w:p>
                <w:p>
                  <w:pPr>
                    <w:spacing w:line="360" w:lineRule="auto"/>
                    <w:ind w:firstLine="720"/>
                    <w:jc w:val="both"/>
                    <w:rPr>
                      <w:rFonts w:eastAsia="Calibri"/>
                      <w:color w:val="00000A"/>
                      <w:szCs w:val="24"/>
                      <w:lang w:eastAsia="lt-LT"/>
                    </w:rPr>
                  </w:pPr>
                </w:p>
                <w:p>
                  <w:pPr>
                    <w:spacing w:line="360" w:lineRule="auto"/>
                    <w:ind w:firstLine="720"/>
                    <w:jc w:val="both"/>
                    <w:rPr>
                      <w:color w:val="00000A"/>
                      <w:szCs w:val="24"/>
                      <w:lang w:val="en-US" w:eastAsia="lt-LT"/>
                    </w:rPr>
                  </w:pPr>
                </w:p>
              </w:sdtContent>
            </w:sdt>
          </w:sdtContent>
        </w:sdt>
        <w:sdt>
          <w:sdtPr>
            <w:alias w:val="signatura"/>
            <w:tag w:val="part_b24a778a6aeb402cb73475c1d93e6817"/>
            <w:lock w:val="sdtLocked"/>
            <w:richText/>
          </w:sdtPr>
          <w:sdtContent>
            <w:p>
              <w:pPr>
                <w:tabs>
                  <w:tab w:val="left" w:pos="3888"/>
                </w:tabs>
                <w:spacing w:line="360" w:lineRule="auto"/>
                <w:ind w:firstLine="682"/>
                <w:rPr>
                  <w:rFonts w:eastAsia="Calibri"/>
                  <w:i/>
                  <w:iCs/>
                  <w:color w:val="00000A"/>
                  <w:szCs w:val="24"/>
                </w:rPr>
              </w:pPr>
              <w:r>
                <w:rPr>
                  <w:rFonts w:eastAsia="Calibri"/>
                  <w:i/>
                  <w:iCs/>
                  <w:color w:val="00000A"/>
                  <w:szCs w:val="24"/>
                </w:rPr>
                <w:t xml:space="preserve">Skelbiu šį Lietuvos Respublikos Seimo priimtą įstatymą. </w:t>
              </w:r>
            </w:p>
            <w:p>
              <w:pPr>
                <w:tabs>
                  <w:tab w:val="left" w:pos="3888"/>
                </w:tabs>
                <w:spacing w:line="360" w:lineRule="auto"/>
                <w:rPr>
                  <w:rFonts w:eastAsia="Calibri"/>
                  <w:i/>
                  <w:iCs/>
                  <w:color w:val="00000A"/>
                  <w:szCs w:val="24"/>
                </w:rPr>
              </w:pPr>
            </w:p>
            <w:p>
              <w:pPr>
                <w:tabs>
                  <w:tab w:val="left" w:pos="3888"/>
                </w:tabs>
                <w:spacing w:line="360" w:lineRule="auto"/>
                <w:rPr>
                  <w:rFonts w:eastAsia="Calibri"/>
                  <w:color w:val="00000A"/>
                  <w:szCs w:val="24"/>
                </w:rPr>
              </w:pPr>
              <w:r>
                <w:rPr>
                  <w:rFonts w:eastAsia="Calibri"/>
                  <w:color w:val="00000A"/>
                  <w:szCs w:val="24"/>
                </w:rPr>
                <w:t>Respublikos Prezidentas</w:t>
              </w:r>
            </w:p>
            <w:p>
              <w:pPr>
                <w:tabs>
                  <w:tab w:val="left" w:pos="3888"/>
                </w:tabs>
                <w:spacing w:line="360" w:lineRule="auto"/>
                <w:rPr>
                  <w:rFonts w:eastAsia="Calibri"/>
                  <w:color w:val="00000A"/>
                  <w:szCs w:val="24"/>
                </w:rPr>
              </w:pPr>
            </w:p>
            <w:p>
              <w:pPr>
                <w:tabs>
                  <w:tab w:val="left" w:pos="3888"/>
                </w:tabs>
                <w:spacing w:line="276" w:lineRule="auto"/>
                <w:rPr>
                  <w:rFonts w:eastAsia="Calibri"/>
                  <w:color w:val="00000A"/>
                  <w:szCs w:val="24"/>
                </w:rPr>
              </w:pPr>
              <w:r>
                <w:rPr>
                  <w:rFonts w:eastAsia="Calibri"/>
                  <w:color w:val="00000A"/>
                  <w:szCs w:val="24"/>
                </w:rPr>
                <w:t xml:space="preserve">Teikia </w:t>
              </w:r>
            </w:p>
            <w:p>
              <w:pPr>
                <w:tabs>
                  <w:tab w:val="left" w:pos="3888"/>
                </w:tabs>
                <w:spacing w:line="276" w:lineRule="auto"/>
                <w:rPr>
                  <w:rFonts w:eastAsia="Calibri"/>
                  <w:color w:val="00000A"/>
                  <w:szCs w:val="24"/>
                </w:rPr>
              </w:pPr>
              <w:r>
                <w:rPr>
                  <w:rFonts w:eastAsia="Calibri"/>
                  <w:color w:val="00000A"/>
                  <w:szCs w:val="24"/>
                </w:rPr>
                <w:t>Seimo nariai:</w:t>
                <w:tab/>
                <w:t>Aurelijus Veryga</w:t>
              </w:r>
            </w:p>
            <w:p>
              <w:pPr>
                <w:tabs>
                  <w:tab w:val="left" w:pos="3888"/>
                </w:tabs>
                <w:spacing w:line="276" w:lineRule="auto"/>
                <w:ind w:firstLine="3888"/>
                <w:rPr>
                  <w:rFonts w:eastAsia="Calibri"/>
                  <w:color w:val="00000A"/>
                  <w:szCs w:val="24"/>
                </w:rPr>
              </w:pPr>
              <w:r>
                <w:rPr>
                  <w:rFonts w:eastAsia="Calibri"/>
                  <w:color w:val="00000A"/>
                  <w:szCs w:val="24"/>
                </w:rPr>
                <w:t>Asta Kubilienė</w:t>
              </w:r>
            </w:p>
            <w:p>
              <w:pPr>
                <w:tabs>
                  <w:tab w:val="left" w:pos="3888"/>
                </w:tabs>
                <w:spacing w:line="276" w:lineRule="auto"/>
                <w:ind w:firstLine="3888"/>
                <w:rPr>
                  <w:rFonts w:eastAsia="Calibri"/>
                  <w:color w:val="00000A"/>
                  <w:szCs w:val="24"/>
                </w:rPr>
              </w:pPr>
              <w:r>
                <w:rPr>
                  <w:rFonts w:eastAsia="Calibri"/>
                  <w:color w:val="00000A"/>
                  <w:szCs w:val="24"/>
                </w:rPr>
                <w:t>Rimantė Šalaševičiūtė</w:t>
              </w:r>
            </w:p>
            <w:p>
              <w:pPr>
                <w:tabs>
                  <w:tab w:val="left" w:pos="3888"/>
                </w:tabs>
                <w:spacing w:line="360" w:lineRule="auto"/>
                <w:rPr>
                  <w:rFonts w:eastAsia="Calibri"/>
                  <w:color w:val="00000A"/>
                  <w:szCs w:val="24"/>
                </w:rPr>
              </w:pPr>
            </w:p>
            <w:p>
              <w:pPr>
                <w:tabs>
                  <w:tab w:val="left" w:pos="3888"/>
                </w:tabs>
                <w:spacing w:line="360" w:lineRule="auto"/>
                <w:rPr>
                  <w:rFonts w:eastAsia="Calibri"/>
                  <w:color w:val="00000A"/>
                  <w:szCs w:val="24"/>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3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633516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3aa7885d9d4104a093d7a7e4dd71d2" PartId="e9229a22da574d1b8a5f1dd70ae2427a">
    <Part Type="straipsnis" Nr="1" Abbr="1 str." Title="15 straipsnio pakeitimas" DocPartId="3418208857334469ac54b3d0c96f0d4f" PartId="428aa320ac1f40b6b652eacd590e3507">
      <Part Type="strDalis" Nr="1" Abbr="1 str. 1 d." DocPartId="ae48ebb9b1de465aa57fc6c90772543f" PartId="5c0308e780c84baa9dbea2d76d238af1">
        <Part Type="citata" DocPartId="65564741859d4a63ac28245b839b50c3" PartId="2f0b1cccab85434b80195d1a1949c30b">
          <Part Type="strDalis" Nr="1" Abbr="1 d." DocPartId="886851e8a04f4cef96643cd774a9a27a" PartId="b88347b1cf754aab98631c162d71bc25"/>
        </Part>
      </Part>
      <Part Type="strDalis" Nr="2" Abbr="1 str. 2 d." DocPartId="57e22a01f11e4eddb539dec4facfbdec" PartId="0aee41f0835a449f8500489a5cef34d7">
        <Part Type="citata" DocPartId="262a76f3b07746d0a428019bde90a29f" PartId="797fb78be86a438cb1f8b1877bcea7e3">
          <Part Type="strDalis" Nr="2" Abbr="2 d." DocPartId="1d8e4b6eb5be48da988d8ca75fb91834" PartId="ad9b24e87c4347b9ace5b4c842f4802c"/>
        </Part>
      </Part>
    </Part>
    <Part Type="straipsnis" Nr="2" Abbr="2 str." Title="Įstatymo įsigaliojimas ir įgyvendinimas" DocPartId="b4aae41c19c84b918563db441ab5c841" PartId="087a6bcd26a34d98aeb3262ae97ec2f4">
      <Part Type="strDalis" Nr="1" Abbr="2 str. 1 d." DocPartId="6c25fd21fe8d4900b7c9fdf03882773a" PartId="9f8a15e685044e1dbdf611bf0bb2b02f"/>
      <Part Type="strDalis" Nr="2" Abbr="2 str. 2 d." DocPartId="d5c91e8c895a40a683339b9e4a0cfe20" PartId="8c8a1481c793463dafe4551b662be7a3"/>
    </Part>
    <Part Type="straipsnis" Nr="3" Abbr="3 str." Title="Įstatymo taikymas" DocPartId="337592e4bb0f4803aef0f332973de699" PartId="6244c288a39b4ed3b65cff22af84daf2">
      <Part Type="strDalis" Nr="1" Abbr="3 str. 1 d." DocPartId="12c79acc58824f82855f31046c3b7f1c" PartId="8ca2ef9a7ae343c9826069c629c8316f"/>
      <Part Type="strDalis" Nr="2" Abbr="3 str. 2 d." DocPartId="ca971cbb35434b5e859f3a2b18cad6be" PartId="d2aad158cf9047e9a6b4a4dbdf64eb68"/>
      <Part Type="strDalis" Nr="3" Abbr="3 str. 3 d." DocPartId="cf4070d328cc451bb187e9b21c277ab8" PartId="0d7839908ff24cf0900828abe09064dd"/>
      <Part Type="strDalis" Nr="4" Abbr="3 str. 4 d." DocPartId="33d51a4a937b44db9cd4dba48b2126cf" PartId="cafe84def8254891a0ccffa1d794f27a"/>
      <Part Type="strDalis" Nr="5" Abbr="3 str. 5 d." DocPartId="77b21a19f3f64b869e8ccbc63f60cb07" PartId="b40e30b6822e45edb9a904014d462c91"/>
      <Part Type="strDalis" Nr="6" Abbr="3 str. 6 d." DocPartId="80d5bc781b2e4c8ebe56ea45b0f8f33c" PartId="ed1824f5c382428d95710b0d6a0cbf63"/>
    </Part>
    <Part Type="signatura" DocPartId="4c2b26ec02734c02bacb3bafe7bae162" PartId="b24a778a6aeb402cb73475c1d93e6817"/>
  </Part>
</Parts>
</file>

<file path=customXml/itemProps1.xml><?xml version="1.0" encoding="utf-8"?>
<ds:datastoreItem xmlns:ds="http://schemas.openxmlformats.org/officeDocument/2006/customXml" ds:itemID="{A2C21764-9254-4DAB-B740-0FBEC24A72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636</Words>
  <Characters>4297</Characters>
  <Application>Microsoft Office Word</Application>
  <DocSecurity>4</DocSecurity>
  <Lines>84</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2021-02-23T07:34:00Z</dcterms:created>
  <dc:creator>JASELIŪNIENĖ Nomeda</dc:creator>
  <lastModifiedBy>adlibuser</lastModifiedBy>
  <dcterms:modified xsi:type="dcterms:W3CDTF">2021-02-23T07:34:00Z</dcterms:modified>
  <revision>2</revision>
</coreProperties>
</file>