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19bd656ee66482d8c05ec5e836c4c16"/>
        <w:lock w:val="sdtLocked"/>
        <w:richText/>
      </w:sdtPr>
      <w:sdtContent>
        <w:p>
          <w:pPr>
            <w:tabs>
              <w:tab w:val="center" w:pos="4819"/>
              <w:tab w:val="right" w:pos="9638"/>
            </w:tabs>
            <w:spacing w:line="276" w:lineRule="auto"/>
            <w:jc w:val="center"/>
            <w:rPr>
              <w:rFonts w:eastAsia="Calibri"/>
              <w:b/>
              <w:szCs w:val="24"/>
            </w:rPr>
          </w:pPr>
          <w:r>
            <w:rPr>
              <w:rFonts w:eastAsia="Calibri"/>
              <w:b/>
              <w:szCs w:val="24"/>
            </w:rPr>
            <w:tab/>
            <w:tab/>
          </w:r>
        </w:p>
        <w:p>
          <w:pPr>
            <w:tabs>
              <w:tab w:val="center" w:pos="4819"/>
              <w:tab w:val="right" w:pos="9638"/>
            </w:tabs>
            <w:spacing w:line="276" w:lineRule="auto"/>
            <w:jc w:val="both"/>
            <w:rPr>
              <w:rFonts w:ascii="Calibri" w:eastAsia="Calibri" w:hAnsi="Calibri"/>
              <w:sz w:val="22"/>
              <w:szCs w:val="22"/>
            </w:rPr>
          </w:pPr>
        </w:p>
        <w:p>
          <w:pPr>
            <w:spacing w:line="360" w:lineRule="auto"/>
            <w:jc w:val="right"/>
            <w:rPr>
              <w:b/>
              <w:bCs/>
              <w:szCs w:val="24"/>
              <w:lang w:eastAsia="lt-LT"/>
            </w:rPr>
          </w:pPr>
          <w:r>
            <w:rPr>
              <w:b/>
              <w:bCs/>
              <w:szCs w:val="24"/>
              <w:lang w:eastAsia="lt-LT"/>
            </w:rPr>
            <w:t>Projektas</w:t>
          </w:r>
        </w:p>
        <w:p>
          <w:pPr>
            <w:spacing w:line="360" w:lineRule="auto"/>
            <w:jc w:val="center"/>
            <w:rPr>
              <w:b/>
              <w:bCs/>
              <w:szCs w:val="24"/>
              <w:lang w:eastAsia="lt-LT"/>
            </w:rPr>
          </w:pPr>
        </w:p>
        <w:p>
          <w:pPr>
            <w:spacing w:line="360" w:lineRule="auto"/>
            <w:jc w:val="center"/>
            <w:rPr>
              <w:b/>
              <w:bCs/>
              <w:szCs w:val="24"/>
              <w:lang w:eastAsia="lt-LT"/>
            </w:rPr>
          </w:pPr>
          <w:r>
            <w:rPr>
              <w:b/>
              <w:bCs/>
              <w:szCs w:val="24"/>
              <w:lang w:eastAsia="lt-LT"/>
            </w:rPr>
            <w:t xml:space="preserve">LIETUVOS RESPUBLIKOS </w:t>
          </w:r>
        </w:p>
        <w:p>
          <w:pPr>
            <w:spacing w:line="360" w:lineRule="auto"/>
            <w:jc w:val="center"/>
            <w:rPr>
              <w:b/>
              <w:bCs/>
              <w:szCs w:val="24"/>
              <w:lang w:eastAsia="lt-LT"/>
            </w:rPr>
          </w:pPr>
          <w:r>
            <w:rPr>
              <w:b/>
              <w:bCs/>
              <w:szCs w:val="24"/>
              <w:lang w:eastAsia="lt-LT"/>
            </w:rPr>
            <w:t xml:space="preserve">ARCHITEKTŲ RŪMŲ ĮSTATYMO </w:t>
          </w:r>
          <w:r>
            <w:rPr>
              <w:rFonts w:eastAsia="Calibri"/>
              <w:b/>
              <w:color w:val="000000"/>
              <w:szCs w:val="24"/>
            </w:rPr>
            <w:t>NR. X-914</w:t>
          </w:r>
          <w:r>
            <w:rPr>
              <w:rFonts w:eastAsia="Calibri"/>
              <w:color w:val="000000"/>
              <w:szCs w:val="24"/>
            </w:rPr>
            <w:t xml:space="preserve"> </w:t>
          </w:r>
        </w:p>
        <w:p>
          <w:pPr>
            <w:spacing w:line="360" w:lineRule="auto"/>
            <w:jc w:val="center"/>
            <w:rPr>
              <w:szCs w:val="24"/>
              <w:lang w:eastAsia="lt-LT"/>
            </w:rPr>
          </w:pPr>
          <w:r>
            <w:rPr>
              <w:b/>
              <w:bCs/>
              <w:szCs w:val="24"/>
              <w:lang w:eastAsia="lt-LT"/>
            </w:rPr>
            <w:t>1, 2, 3, 4 IR 11 STRAIPSNIŲ PAKEITIMO IR 18 STRAIPSNIO PRIPAŽINIMO NETEKUSIU GALIOS ĮSTATYMAS</w:t>
          </w:r>
        </w:p>
        <w:p>
          <w:pPr>
            <w:rPr>
              <w:sz w:val="8"/>
              <w:szCs w:val="8"/>
            </w:rPr>
          </w:pPr>
        </w:p>
        <w:p>
          <w:pPr>
            <w:spacing w:line="360" w:lineRule="auto"/>
            <w:jc w:val="center"/>
            <w:rPr>
              <w:szCs w:val="24"/>
              <w:lang w:eastAsia="lt-LT"/>
            </w:rPr>
          </w:pPr>
          <w:r>
            <w:rPr>
              <w:szCs w:val="24"/>
              <w:lang w:eastAsia="lt-LT"/>
            </w:rPr>
            <w:t xml:space="preserve">2016 m.                        d. Nr. </w:t>
            <w:br/>
            <w:t>Vilnius</w:t>
          </w:r>
        </w:p>
        <w:p>
          <w:pPr>
            <w:rPr>
              <w:sz w:val="8"/>
              <w:szCs w:val="8"/>
            </w:rPr>
          </w:pPr>
        </w:p>
        <w:sdt>
          <w:sdtPr>
            <w:alias w:val="1 str."/>
            <w:tag w:val="part_8664392600cc4a42b07cff90ec385fc4"/>
            <w:lock w:val="sdtLocked"/>
            <w:richText/>
          </w:sdtPr>
          <w:sdtContent>
            <w:p>
              <w:pPr>
                <w:spacing w:line="360" w:lineRule="auto"/>
                <w:ind w:firstLine="709"/>
                <w:jc w:val="both"/>
                <w:rPr>
                  <w:rFonts w:eastAsia="Calibri"/>
                  <w:b/>
                  <w:szCs w:val="24"/>
                </w:rPr>
              </w:pPr>
              <w:sdt>
                <w:sdtPr>
                  <w:alias w:val="Numeris"/>
                  <w:tag w:val="nr_8664392600cc4a42b07cff90ec385fc4"/>
                  <w:lock w:val="sdtLocked"/>
                  <w:richText/>
                </w:sdtPr>
                <w:sdtContent>
                  <w:r>
                    <w:rPr>
                      <w:rFonts w:eastAsia="Calibri"/>
                      <w:b/>
                      <w:szCs w:val="24"/>
                    </w:rPr>
                    <w:t>1</w:t>
                  </w:r>
                </w:sdtContent>
              </w:sdt>
              <w:r>
                <w:rPr>
                  <w:rFonts w:eastAsia="Calibri"/>
                  <w:b/>
                  <w:szCs w:val="24"/>
                </w:rPr>
                <w:t xml:space="preserve"> straipsnis. </w:t>
              </w:r>
              <w:sdt>
                <w:sdtPr>
                  <w:alias w:val="Pavadinimas"/>
                  <w:tag w:val="title_8664392600cc4a42b07cff90ec385fc4"/>
                  <w:lock w:val="sdtLocked"/>
                  <w:richText/>
                </w:sdtPr>
                <w:sdtContent>
                  <w:r>
                    <w:rPr>
                      <w:rFonts w:eastAsia="Calibri"/>
                      <w:b/>
                      <w:szCs w:val="24"/>
                    </w:rPr>
                    <w:t>1 straipsnio pakeitimas</w:t>
                  </w:r>
                </w:sdtContent>
              </w:sdt>
            </w:p>
            <w:sdt>
              <w:sdtPr>
                <w:alias w:val="1 str. 1 d."/>
                <w:tag w:val="part_d2ebabf2ab4e48a2adcdc8c90f5e361f"/>
                <w:lock w:val="sdtLocked"/>
                <w:richText/>
              </w:sdtPr>
              <w:sdtContent>
                <w:p>
                  <w:pPr>
                    <w:spacing w:line="360" w:lineRule="auto"/>
                    <w:ind w:firstLine="709"/>
                    <w:jc w:val="both"/>
                    <w:rPr>
                      <w:rFonts w:eastAsia="Calibri"/>
                      <w:szCs w:val="24"/>
                    </w:rPr>
                  </w:pPr>
                  <w:r>
                    <w:rPr>
                      <w:rFonts w:eastAsia="Calibri"/>
                      <w:szCs w:val="24"/>
                    </w:rPr>
                    <w:t>Pakeisti 1 straipsnio 2 dalį ir išdėstyti ją taip:</w:t>
                  </w:r>
                </w:p>
                <w:sdt>
                  <w:sdtPr>
                    <w:alias w:val="citata"/>
                    <w:tag w:val="part_e50583746bdf45b5bb297ff9ad91cd65"/>
                    <w:lock w:val="sdtLocked"/>
                    <w:richText/>
                  </w:sdtPr>
                  <w:sdtContent>
                    <w:sdt>
                      <w:sdtPr>
                        <w:alias w:val="2 d."/>
                        <w:tag w:val="part_dbf9749bae4f44848ee8dbcca2886534"/>
                        <w:lock w:val="sdtLocked"/>
                        <w:richText/>
                      </w:sdtPr>
                      <w:sdtContent>
                        <w:p>
                          <w:pPr>
                            <w:spacing w:line="360" w:lineRule="auto"/>
                            <w:ind w:firstLine="709"/>
                            <w:jc w:val="both"/>
                            <w:rPr>
                              <w:rFonts w:eastAsia="Calibri"/>
                              <w:szCs w:val="24"/>
                            </w:rPr>
                          </w:pPr>
                          <w:r>
                            <w:rPr>
                              <w:rFonts w:eastAsia="Calibri"/>
                              <w:szCs w:val="24"/>
                            </w:rPr>
                            <w:t>„</w:t>
                          </w:r>
                          <w:sdt>
                            <w:sdtPr>
                              <w:alias w:val="Numeris"/>
                              <w:tag w:val="nr_dbf9749bae4f44848ee8dbcca2886534"/>
                              <w:lock w:val="sdtLocked"/>
                              <w:richText/>
                            </w:sdtPr>
                            <w:sdtContent>
                              <w:r>
                                <w:rPr>
                                  <w:rFonts w:eastAsia="Calibri"/>
                                  <w:szCs w:val="24"/>
                                </w:rPr>
                                <w:t>2</w:t>
                              </w:r>
                            </w:sdtContent>
                          </w:sdt>
                          <w:r>
                            <w:rPr>
                              <w:rFonts w:eastAsia="Calibri"/>
                              <w:szCs w:val="24"/>
                            </w:rPr>
                            <w:t>. Rūmų steigimo tikslas – užtikrinti architektūrinės veiklos skaidrumą ir kokybę, rūpintis architektų atestavimo, kvalifikacijos pripažinimo, profesinės kvalifikacijos tobulinimo, profesinės etikos standartų laikymosi klausimais, vykdyti profesinės veiklos stebėseną, atstovauti architektams santykiuose su valstybės ir savivaldos institucijomis, kitais juridiniais ir fiziniais asmenimis bei tarptautiniu lygiu, dalyvauti ekspertu teismuose ir kitose institucijose architektų profesinės veiklos klausimais, tenkinti ir ginti su architektūra susijusius viešuosius interesus, spręsti kitus susijusius klausimus.“</w:t>
                          </w:r>
                        </w:p>
                        <w:p>
                          <w:pPr>
                            <w:spacing w:line="360" w:lineRule="auto"/>
                            <w:ind w:firstLine="709"/>
                            <w:jc w:val="both"/>
                            <w:rPr>
                              <w:rFonts w:eastAsia="Calibri"/>
                              <w:b/>
                              <w:szCs w:val="24"/>
                            </w:rPr>
                          </w:pPr>
                        </w:p>
                      </w:sdtContent>
                    </w:sdt>
                  </w:sdtContent>
                </w:sdt>
              </w:sdtContent>
            </w:sdt>
          </w:sdtContent>
        </w:sdt>
        <w:sdt>
          <w:sdtPr>
            <w:alias w:val="2 str."/>
            <w:tag w:val="part_750e2946480a4ae9b8bf4925b4220dc4"/>
            <w:lock w:val="sdtLocked"/>
            <w:richText/>
          </w:sdtPr>
          <w:sdtContent>
            <w:p>
              <w:pPr>
                <w:spacing w:line="360" w:lineRule="auto"/>
                <w:ind w:firstLine="709"/>
                <w:jc w:val="both"/>
                <w:rPr>
                  <w:rFonts w:eastAsia="Calibri"/>
                  <w:b/>
                  <w:szCs w:val="24"/>
                </w:rPr>
              </w:pPr>
              <w:sdt>
                <w:sdtPr>
                  <w:alias w:val="Numeris"/>
                  <w:tag w:val="nr_750e2946480a4ae9b8bf4925b4220dc4"/>
                  <w:lock w:val="sdtLocked"/>
                  <w:richText/>
                </w:sdtPr>
                <w:sdtContent>
                  <w:r>
                    <w:rPr>
                      <w:rFonts w:eastAsia="Calibri"/>
                      <w:b/>
                      <w:szCs w:val="24"/>
                    </w:rPr>
                    <w:t>2</w:t>
                  </w:r>
                </w:sdtContent>
              </w:sdt>
              <w:r>
                <w:rPr>
                  <w:rFonts w:eastAsia="Calibri"/>
                  <w:b/>
                  <w:szCs w:val="24"/>
                </w:rPr>
                <w:t xml:space="preserve"> straipsnis. </w:t>
              </w:r>
              <w:sdt>
                <w:sdtPr>
                  <w:alias w:val="Pavadinimas"/>
                  <w:tag w:val="title_750e2946480a4ae9b8bf4925b4220dc4"/>
                  <w:lock w:val="sdtLocked"/>
                  <w:richText/>
                </w:sdtPr>
                <w:sdtContent>
                  <w:r>
                    <w:rPr>
                      <w:rFonts w:eastAsia="Calibri"/>
                      <w:b/>
                      <w:szCs w:val="24"/>
                    </w:rPr>
                    <w:t>2 straipsnio pakeitimas</w:t>
                  </w:r>
                </w:sdtContent>
              </w:sdt>
            </w:p>
            <w:sdt>
              <w:sdtPr>
                <w:alias w:val="2 str. 1 d."/>
                <w:tag w:val="part_aae8add860554280883076d09304ea02"/>
                <w:lock w:val="sdtLocked"/>
                <w:richText/>
              </w:sdtPr>
              <w:sdtContent>
                <w:p>
                  <w:pPr>
                    <w:spacing w:line="360" w:lineRule="auto"/>
                    <w:ind w:firstLine="709"/>
                    <w:jc w:val="both"/>
                    <w:rPr>
                      <w:rFonts w:eastAsia="Calibri"/>
                      <w:szCs w:val="24"/>
                    </w:rPr>
                  </w:pPr>
                  <w:r>
                    <w:rPr>
                      <w:rFonts w:eastAsia="Calibri"/>
                      <w:szCs w:val="24"/>
                    </w:rPr>
                    <w:t>Pakeisti 2 straipsnio 1 dalį ir išdėstyti ją taip:</w:t>
                  </w:r>
                </w:p>
                <w:sdt>
                  <w:sdtPr>
                    <w:alias w:val="citata"/>
                    <w:tag w:val="part_f5d92ee0ba64436e8a17d918de03c515"/>
                    <w:lock w:val="sdtLocked"/>
                    <w:richText/>
                  </w:sdtPr>
                  <w:sdtContent>
                    <w:sdt>
                      <w:sdtPr>
                        <w:alias w:val="1 d."/>
                        <w:tag w:val="part_98fcf3dc2e6440728aeb50c9b6486ce6"/>
                        <w:lock w:val="sdtLocked"/>
                        <w:richText/>
                      </w:sdtPr>
                      <w:sdtContent>
                        <w:p>
                          <w:pPr>
                            <w:spacing w:line="360" w:lineRule="auto"/>
                            <w:ind w:firstLine="709"/>
                            <w:jc w:val="both"/>
                            <w:rPr>
                              <w:rFonts w:eastAsia="Calibri"/>
                              <w:szCs w:val="24"/>
                            </w:rPr>
                          </w:pPr>
                          <w:r>
                            <w:rPr>
                              <w:rFonts w:eastAsia="Calibri"/>
                              <w:szCs w:val="24"/>
                            </w:rPr>
                            <w:t>„</w:t>
                          </w:r>
                          <w:sdt>
                            <w:sdtPr>
                              <w:alias w:val="Numeris"/>
                              <w:tag w:val="nr_98fcf3dc2e6440728aeb50c9b6486ce6"/>
                              <w:lock w:val="sdtLocked"/>
                              <w:richText/>
                            </w:sdtPr>
                            <w:sdtContent>
                              <w:r>
                                <w:rPr>
                                  <w:rFonts w:eastAsia="Calibri"/>
                                  <w:szCs w:val="24"/>
                                </w:rPr>
                                <w:t>1</w:t>
                              </w:r>
                            </w:sdtContent>
                          </w:sdt>
                          <w:r>
                            <w:rPr>
                              <w:rFonts w:eastAsia="Calibri"/>
                              <w:szCs w:val="24"/>
                            </w:rPr>
                            <w:t>. Rūmai – pagal šį įstatymą ir Asociacijų įstatymą įsteigtas ribotos civilinės atsakomybės viešasis juridinis asmuo, vienijantis atestuotus architektus ir įgyvendinantis atestuotų architektų profesinę savivaldą, kurio tikslai nurodyti šio Įstatymo 1 straipsnio 2 dalyje. Rūmų, kaip juridinio asmens, teisinė forma yra asociacija.“</w:t>
                          </w:r>
                        </w:p>
                        <w:p>
                          <w:pPr>
                            <w:spacing w:line="360" w:lineRule="auto"/>
                            <w:ind w:firstLine="709"/>
                            <w:jc w:val="both"/>
                            <w:rPr>
                              <w:rFonts w:eastAsia="Calibri"/>
                              <w:b/>
                              <w:szCs w:val="24"/>
                            </w:rPr>
                          </w:pPr>
                        </w:p>
                      </w:sdtContent>
                    </w:sdt>
                  </w:sdtContent>
                </w:sdt>
              </w:sdtContent>
            </w:sdt>
          </w:sdtContent>
        </w:sdt>
        <w:sdt>
          <w:sdtPr>
            <w:alias w:val="3 str."/>
            <w:tag w:val="part_87206c19de664fd79aeb66c287c07b82"/>
            <w:lock w:val="sdtLocked"/>
            <w:richText/>
          </w:sdtPr>
          <w:sdtContent>
            <w:p>
              <w:pPr>
                <w:spacing w:line="360" w:lineRule="auto"/>
                <w:ind w:firstLine="709"/>
                <w:jc w:val="both"/>
                <w:rPr>
                  <w:rFonts w:eastAsia="Calibri"/>
                  <w:szCs w:val="24"/>
                </w:rPr>
              </w:pPr>
              <w:sdt>
                <w:sdtPr>
                  <w:alias w:val="Numeris"/>
                  <w:tag w:val="nr_87206c19de664fd79aeb66c287c07b82"/>
                  <w:lock w:val="sdtLocked"/>
                  <w:richText/>
                </w:sdtPr>
                <w:sdtContent>
                  <w:r>
                    <w:rPr>
                      <w:rFonts w:eastAsia="Calibri"/>
                      <w:b/>
                      <w:szCs w:val="24"/>
                    </w:rPr>
                    <w:t>3</w:t>
                  </w:r>
                </w:sdtContent>
              </w:sdt>
              <w:r>
                <w:rPr>
                  <w:rFonts w:eastAsia="Calibri"/>
                  <w:b/>
                  <w:szCs w:val="24"/>
                </w:rPr>
                <w:t xml:space="preserve"> straipsnis. </w:t>
              </w:r>
              <w:sdt>
                <w:sdtPr>
                  <w:alias w:val="Pavadinimas"/>
                  <w:tag w:val="title_87206c19de664fd79aeb66c287c07b82"/>
                  <w:lock w:val="sdtLocked"/>
                  <w:richText/>
                </w:sdtPr>
                <w:sdtContent>
                  <w:r>
                    <w:rPr>
                      <w:rFonts w:eastAsia="Calibri"/>
                      <w:b/>
                      <w:szCs w:val="24"/>
                    </w:rPr>
                    <w:t>3 straipsnio pakeitimas</w:t>
                  </w:r>
                </w:sdtContent>
              </w:sdt>
            </w:p>
            <w:sdt>
              <w:sdtPr>
                <w:alias w:val="3 str. 1 d."/>
                <w:tag w:val="part_bc955f84a7be47c2b90340221e02417c"/>
                <w:lock w:val="sdtLocked"/>
                <w:richText/>
              </w:sdtPr>
              <w:sdtContent>
                <w:p>
                  <w:pPr>
                    <w:spacing w:line="360" w:lineRule="auto"/>
                    <w:ind w:left="1069" w:hanging="360"/>
                    <w:jc w:val="both"/>
                    <w:rPr>
                      <w:rFonts w:eastAsia="Calibri"/>
                      <w:szCs w:val="24"/>
                    </w:rPr>
                  </w:pPr>
                  <w:sdt>
                    <w:sdtPr>
                      <w:alias w:val="Numeris"/>
                      <w:tag w:val="nr_bc955f84a7be47c2b90340221e02417c"/>
                      <w:lock w:val="sdtLocked"/>
                      <w:richText/>
                    </w:sdtPr>
                    <w:sdtContent>
                      <w:r>
                        <w:rPr>
                          <w:rFonts w:eastAsia="Calibri"/>
                          <w:szCs w:val="24"/>
                        </w:rPr>
                        <w:t>1</w:t>
                      </w:r>
                    </w:sdtContent>
                  </w:sdt>
                  <w:r>
                    <w:rPr>
                      <w:rFonts w:eastAsia="Calibri"/>
                      <w:szCs w:val="24"/>
                    </w:rPr>
                    <w:t>.</w:t>
                    <w:tab/>
                    <w:t>Pakeisti 3 straipsnio 2 dalies 12 punktą ir išdėstyti jį taip:</w:t>
                  </w:r>
                </w:p>
                <w:p>
                  <w:pPr>
                    <w:spacing w:line="360" w:lineRule="auto"/>
                    <w:ind w:firstLine="709"/>
                    <w:jc w:val="both"/>
                    <w:rPr>
                      <w:rFonts w:eastAsia="Calibri"/>
                      <w:szCs w:val="24"/>
                    </w:rPr>
                  </w:pPr>
                  <w:r>
                    <w:rPr>
                      <w:rFonts w:eastAsia="Calibri"/>
                      <w:szCs w:val="24"/>
                    </w:rPr>
                    <w:t>”12) teikti savo nariams teisines paslaugas, atstovauti juos santykiuose su valstybės ir savivaldos institucijomis, kitais juridiniais ir fiziniais asmenimis;“</w:t>
                  </w:r>
                </w:p>
              </w:sdtContent>
            </w:sdt>
            <w:sdt>
              <w:sdtPr>
                <w:alias w:val="3 str. 2 d."/>
                <w:tag w:val="part_7ff107cea6ef4f828fd9d2329b06d194"/>
                <w:lock w:val="sdtLocked"/>
                <w:richText/>
              </w:sdtPr>
              <w:sdtContent>
                <w:p>
                  <w:pPr>
                    <w:spacing w:line="360" w:lineRule="auto"/>
                    <w:ind w:firstLine="709"/>
                    <w:jc w:val="both"/>
                    <w:rPr>
                      <w:rFonts w:eastAsia="Calibri"/>
                      <w:szCs w:val="24"/>
                    </w:rPr>
                  </w:pPr>
                  <w:sdt>
                    <w:sdtPr>
                      <w:alias w:val="Numeris"/>
                      <w:tag w:val="nr_7ff107cea6ef4f828fd9d2329b06d194"/>
                      <w:lock w:val="sdtLocked"/>
                      <w:richText/>
                    </w:sdtPr>
                    <w:sdtContent>
                      <w:r>
                        <w:rPr>
                          <w:rFonts w:eastAsia="Calibri"/>
                          <w:szCs w:val="24"/>
                        </w:rPr>
                        <w:t>2</w:t>
                      </w:r>
                    </w:sdtContent>
                  </w:sdt>
                  <w:r>
                    <w:rPr>
                      <w:rFonts w:eastAsia="Calibri"/>
                      <w:szCs w:val="24"/>
                    </w:rPr>
                    <w:t>. Papildyti 3 straipsnio 2 dalį 13 ir 14 punktais:</w:t>
                  </w:r>
                </w:p>
                <w:sdt>
                  <w:sdtPr>
                    <w:alias w:val="citata"/>
                    <w:tag w:val="part_48556bdb7ca84d47a97bb12ea574484e"/>
                    <w:lock w:val="sdtLocked"/>
                    <w:richText/>
                  </w:sdtPr>
                  <w:sdtContent>
                    <w:sdt>
                      <w:sdtPr>
                        <w:alias w:val="13 p."/>
                        <w:tag w:val="part_fac6032963ec4ffa83595f1a4f871d64"/>
                        <w:lock w:val="sdtLocked"/>
                        <w:richText/>
                      </w:sdtPr>
                      <w:sdtContent>
                        <w:p>
                          <w:pPr>
                            <w:spacing w:line="360" w:lineRule="auto"/>
                            <w:ind w:firstLine="709"/>
                            <w:jc w:val="both"/>
                            <w:rPr>
                              <w:rFonts w:eastAsia="Calibri"/>
                              <w:szCs w:val="24"/>
                            </w:rPr>
                          </w:pPr>
                          <w:r>
                            <w:rPr>
                              <w:rFonts w:eastAsia="Calibri"/>
                              <w:szCs w:val="24"/>
                            </w:rPr>
                            <w:t>„</w:t>
                          </w:r>
                          <w:sdt>
                            <w:sdtPr>
                              <w:alias w:val="Numeris"/>
                              <w:tag w:val="nr_fac6032963ec4ffa83595f1a4f871d64"/>
                              <w:lock w:val="sdtLocked"/>
                              <w:richText/>
                            </w:sdtPr>
                            <w:sdtContent>
                              <w:r>
                                <w:rPr>
                                  <w:rFonts w:eastAsia="Calibri"/>
                                  <w:szCs w:val="24"/>
                                </w:rPr>
                                <w:t>13</w:t>
                              </w:r>
                            </w:sdtContent>
                          </w:sdt>
                          <w:r>
                            <w:rPr>
                              <w:rFonts w:eastAsia="Calibri"/>
                              <w:szCs w:val="24"/>
                            </w:rPr>
                            <w:t>) atstovauti savo narius įgyvendinant ir ginant jų autoriaus teises;</w:t>
                          </w:r>
                        </w:p>
                      </w:sdtContent>
                    </w:sdt>
                    <w:sdt>
                      <w:sdtPr>
                        <w:alias w:val="14 p."/>
                        <w:tag w:val="part_93b05d21d7154ef4a50ef5d91453a287"/>
                        <w:lock w:val="sdtLocked"/>
                        <w:richText/>
                      </w:sdtPr>
                      <w:sdtContent>
                        <w:p>
                          <w:pPr>
                            <w:spacing w:line="360" w:lineRule="auto"/>
                            <w:ind w:firstLine="709"/>
                            <w:jc w:val="both"/>
                            <w:rPr>
                              <w:rFonts w:eastAsia="Calibri"/>
                              <w:szCs w:val="24"/>
                            </w:rPr>
                          </w:pPr>
                          <w:sdt>
                            <w:sdtPr>
                              <w:alias w:val="Numeris"/>
                              <w:tag w:val="nr_93b05d21d7154ef4a50ef5d91453a287"/>
                              <w:lock w:val="sdtLocked"/>
                              <w:richText/>
                            </w:sdtPr>
                            <w:sdtContent>
                              <w:r>
                                <w:rPr>
                                  <w:rFonts w:eastAsia="Calibri"/>
                                  <w:szCs w:val="24"/>
                                </w:rPr>
                                <w:t>14</w:t>
                              </w:r>
                            </w:sdtContent>
                          </w:sdt>
                          <w:r>
                            <w:rPr>
                              <w:rFonts w:eastAsia="Calibri"/>
                              <w:szCs w:val="24"/>
                            </w:rPr>
                            <w:t>) ginčo atveju organizuoti savo narių sutaikinimo (mediacijos) procedūras;“</w:t>
                          </w:r>
                        </w:p>
                      </w:sdtContent>
                    </w:sdt>
                  </w:sdtContent>
                </w:sdt>
              </w:sdtContent>
            </w:sdt>
            <w:sdt>
              <w:sdtPr>
                <w:alias w:val="3 str. 3 d."/>
                <w:tag w:val="part_6481f21babfe41828b90c17227e52118"/>
                <w:lock w:val="sdtLocked"/>
                <w:richText/>
              </w:sdtPr>
              <w:sdtContent>
                <w:p>
                  <w:pPr>
                    <w:spacing w:line="360" w:lineRule="auto"/>
                    <w:ind w:firstLine="709"/>
                    <w:jc w:val="both"/>
                    <w:rPr>
                      <w:rFonts w:eastAsia="Calibri"/>
                      <w:szCs w:val="24"/>
                    </w:rPr>
                  </w:pPr>
                  <w:sdt>
                    <w:sdtPr>
                      <w:alias w:val="Numeris"/>
                      <w:tag w:val="nr_6481f21babfe41828b90c17227e52118"/>
                      <w:lock w:val="sdtLocked"/>
                      <w:richText/>
                    </w:sdtPr>
                    <w:sdtContent>
                      <w:r>
                        <w:rPr>
                          <w:rFonts w:eastAsia="Calibri"/>
                          <w:szCs w:val="24"/>
                        </w:rPr>
                        <w:t>3</w:t>
                      </w:r>
                    </w:sdtContent>
                  </w:sdt>
                  <w:r>
                    <w:rPr>
                      <w:rFonts w:eastAsia="Calibri"/>
                      <w:szCs w:val="24"/>
                    </w:rPr>
                    <w:t>. Buvusį 3 straipsnio 2 dalies 12 punktą laikyti 15 punktu.</w:t>
                  </w:r>
                </w:p>
              </w:sdtContent>
            </w:sdt>
            <w:sdt>
              <w:sdtPr>
                <w:alias w:val="3 str. 4 d."/>
                <w:tag w:val="part_7b19cde31f4b47c78c0b7100395f2585"/>
                <w:lock w:val="sdtLocked"/>
                <w:richText/>
              </w:sdtPr>
              <w:sdtContent>
                <w:p>
                  <w:pPr>
                    <w:spacing w:line="360" w:lineRule="auto"/>
                    <w:ind w:firstLine="709"/>
                    <w:jc w:val="both"/>
                    <w:rPr>
                      <w:rFonts w:eastAsia="Calibri"/>
                      <w:szCs w:val="24"/>
                    </w:rPr>
                  </w:pPr>
                  <w:sdt>
                    <w:sdtPr>
                      <w:alias w:val="Numeris"/>
                      <w:tag w:val="nr_7b19cde31f4b47c78c0b7100395f2585"/>
                      <w:lock w:val="sdtLocked"/>
                      <w:richText/>
                    </w:sdtPr>
                    <w:sdtContent>
                      <w:r>
                        <w:rPr>
                          <w:rFonts w:eastAsia="Calibri"/>
                          <w:szCs w:val="24"/>
                        </w:rPr>
                        <w:t>4</w:t>
                      </w:r>
                    </w:sdtContent>
                  </w:sdt>
                  <w:r>
                    <w:rPr>
                      <w:rFonts w:eastAsia="Calibri"/>
                      <w:szCs w:val="24"/>
                    </w:rPr>
                    <w:t>. Papildyti 3 straipsnį 3 dalimi:</w:t>
                  </w:r>
                </w:p>
                <w:sdt>
                  <w:sdtPr>
                    <w:alias w:val="citata"/>
                    <w:tag w:val="part_fc972bc66045492e8406309a9f121217"/>
                    <w:lock w:val="sdtLocked"/>
                    <w:richText/>
                  </w:sdtPr>
                  <w:sdtContent>
                    <w:sdt>
                      <w:sdtPr>
                        <w:alias w:val="3 d."/>
                        <w:tag w:val="part_e0dc0abae6254ed9a2aa58ed246d04d4"/>
                        <w:lock w:val="sdtLocked"/>
                        <w:richText/>
                      </w:sdtPr>
                      <w:sdtContent>
                        <w:p>
                          <w:pPr>
                            <w:spacing w:line="360" w:lineRule="auto"/>
                            <w:ind w:firstLine="709"/>
                            <w:jc w:val="both"/>
                            <w:rPr>
                              <w:rFonts w:eastAsia="Calibri"/>
                              <w:szCs w:val="24"/>
                            </w:rPr>
                          </w:pPr>
                          <w:r>
                            <w:rPr>
                              <w:rFonts w:eastAsia="Calibri"/>
                              <w:szCs w:val="24"/>
                            </w:rPr>
                            <w:t>„</w:t>
                          </w:r>
                          <w:sdt>
                            <w:sdtPr>
                              <w:alias w:val="Numeris"/>
                              <w:tag w:val="nr_e0dc0abae6254ed9a2aa58ed246d04d4"/>
                              <w:lock w:val="sdtLocked"/>
                              <w:richText/>
                            </w:sdtPr>
                            <w:sdtContent>
                              <w:r>
                                <w:rPr>
                                  <w:rFonts w:eastAsia="Calibri"/>
                                  <w:szCs w:val="24"/>
                                </w:rPr>
                                <w:t>3</w:t>
                              </w:r>
                            </w:sdtContent>
                          </w:sdt>
                          <w:r>
                            <w:rPr>
                              <w:rFonts w:eastAsia="Calibri"/>
                              <w:szCs w:val="24"/>
                            </w:rPr>
                            <w:t>. Rūmų nariams teikiamos paslaugos ir pagrindinės jų teikimo sąlygos nustatomos Rūmų statute, kurį tvirtina Rūmų susirinkimas.“</w:t>
                          </w:r>
                        </w:p>
                        <w:p>
                          <w:pPr>
                            <w:spacing w:line="360" w:lineRule="auto"/>
                            <w:jc w:val="both"/>
                            <w:rPr>
                              <w:rFonts w:eastAsia="Calibri"/>
                              <w:szCs w:val="24"/>
                            </w:rPr>
                          </w:pPr>
                        </w:p>
                      </w:sdtContent>
                    </w:sdt>
                  </w:sdtContent>
                </w:sdt>
              </w:sdtContent>
            </w:sdt>
          </w:sdtContent>
        </w:sdt>
        <w:sdt>
          <w:sdtPr>
            <w:alias w:val="4 str."/>
            <w:tag w:val="part_b8c83058f330477f914c8cd639ac1da8"/>
            <w:lock w:val="sdtLocked"/>
            <w:richText/>
          </w:sdtPr>
          <w:sdtContent>
            <w:p>
              <w:pPr>
                <w:spacing w:line="360" w:lineRule="auto"/>
                <w:ind w:firstLine="709"/>
                <w:jc w:val="both"/>
                <w:rPr>
                  <w:rFonts w:eastAsia="Calibri"/>
                  <w:szCs w:val="24"/>
                </w:rPr>
              </w:pPr>
              <w:sdt>
                <w:sdtPr>
                  <w:alias w:val="Numeris"/>
                  <w:tag w:val="nr_b8c83058f330477f914c8cd639ac1da8"/>
                  <w:lock w:val="sdtLocked"/>
                  <w:richText/>
                </w:sdtPr>
                <w:sdtContent>
                  <w:r>
                    <w:rPr>
                      <w:rFonts w:eastAsia="Calibri"/>
                      <w:b/>
                      <w:szCs w:val="24"/>
                    </w:rPr>
                    <w:t>4</w:t>
                  </w:r>
                </w:sdtContent>
              </w:sdt>
              <w:r>
                <w:rPr>
                  <w:rFonts w:eastAsia="Calibri"/>
                  <w:b/>
                  <w:szCs w:val="24"/>
                </w:rPr>
                <w:t xml:space="preserve"> straipsnis. </w:t>
              </w:r>
              <w:sdt>
                <w:sdtPr>
                  <w:alias w:val="Pavadinimas"/>
                  <w:tag w:val="title_b8c83058f330477f914c8cd639ac1da8"/>
                  <w:lock w:val="sdtLocked"/>
                  <w:richText/>
                </w:sdtPr>
                <w:sdtContent>
                  <w:r>
                    <w:rPr>
                      <w:rFonts w:eastAsia="Calibri"/>
                      <w:b/>
                      <w:szCs w:val="24"/>
                    </w:rPr>
                    <w:t>4 straipsnio pakeitimas</w:t>
                  </w:r>
                </w:sdtContent>
              </w:sdt>
            </w:p>
            <w:sdt>
              <w:sdtPr>
                <w:alias w:val="4 str. 1 d."/>
                <w:tag w:val="part_40fa43c2174946a7a72c39bd354dcdd7"/>
                <w:lock w:val="sdtLocked"/>
                <w:richText/>
              </w:sdtPr>
              <w:sdtContent>
                <w:p>
                  <w:pPr>
                    <w:spacing w:line="360" w:lineRule="auto"/>
                    <w:ind w:left="1069" w:hanging="360"/>
                    <w:jc w:val="both"/>
                    <w:rPr>
                      <w:rFonts w:eastAsia="Calibri"/>
                      <w:szCs w:val="24"/>
                    </w:rPr>
                  </w:pPr>
                  <w:sdt>
                    <w:sdtPr>
                      <w:alias w:val="Numeris"/>
                      <w:tag w:val="nr_40fa43c2174946a7a72c39bd354dcdd7"/>
                      <w:lock w:val="sdtLocked"/>
                      <w:richText/>
                    </w:sdtPr>
                    <w:sdtContent>
                      <w:r>
                        <w:rPr>
                          <w:rFonts w:eastAsia="Calibri"/>
                          <w:szCs w:val="24"/>
                        </w:rPr>
                        <w:t>1</w:t>
                      </w:r>
                    </w:sdtContent>
                  </w:sdt>
                  <w:r>
                    <w:rPr>
                      <w:rFonts w:eastAsia="Calibri"/>
                      <w:szCs w:val="24"/>
                    </w:rPr>
                    <w:t>.</w:t>
                    <w:tab/>
                    <w:t>Pakeisti 4 straipsnio 1 dalį ir išdėstyti ją taip:</w:t>
                  </w:r>
                </w:p>
                <w:p>
                  <w:pPr>
                    <w:spacing w:line="360" w:lineRule="auto"/>
                    <w:ind w:firstLine="709"/>
                    <w:jc w:val="both"/>
                    <w:rPr>
                      <w:rFonts w:eastAsia="Calibri"/>
                      <w:szCs w:val="24"/>
                    </w:rPr>
                  </w:pPr>
                  <w:r>
                    <w:rPr>
                      <w:rFonts w:eastAsia="Calibri"/>
                      <w:szCs w:val="24"/>
                    </w:rPr>
                    <w:t>”1. Rūmų nariais yra visi Lietuvoje atestuoti architektai, taip pat architektai, kurių teisė verstis atestuoto architekto veikla pripažinta Lietuvos Respublikoje.“</w:t>
                  </w:r>
                </w:p>
              </w:sdtContent>
            </w:sdt>
            <w:sdt>
              <w:sdtPr>
                <w:alias w:val="4 str. 2 d."/>
                <w:tag w:val="part_ec6a7fc607314de69c3d7d866ec9a739"/>
                <w:lock w:val="sdtLocked"/>
                <w:richText/>
              </w:sdtPr>
              <w:sdtContent>
                <w:p>
                  <w:pPr>
                    <w:spacing w:line="360" w:lineRule="auto"/>
                    <w:ind w:left="1069" w:hanging="360"/>
                    <w:jc w:val="both"/>
                    <w:rPr>
                      <w:rFonts w:eastAsia="Calibri"/>
                      <w:szCs w:val="24"/>
                    </w:rPr>
                  </w:pPr>
                  <w:sdt>
                    <w:sdtPr>
                      <w:alias w:val="Numeris"/>
                      <w:tag w:val="nr_ec6a7fc607314de69c3d7d866ec9a739"/>
                      <w:lock w:val="sdtLocked"/>
                      <w:richText/>
                    </w:sdtPr>
                    <w:sdtContent>
                      <w:r>
                        <w:rPr>
                          <w:rFonts w:eastAsia="Calibri"/>
                          <w:szCs w:val="24"/>
                        </w:rPr>
                        <w:t>2</w:t>
                      </w:r>
                    </w:sdtContent>
                  </w:sdt>
                  <w:r>
                    <w:rPr>
                      <w:rFonts w:eastAsia="Calibri"/>
                      <w:szCs w:val="24"/>
                    </w:rPr>
                    <w:t>.</w:t>
                    <w:tab/>
                    <w:t>Pripažinti netekusiomis galios 4 straipsnio 2 ir 3 dalis.</w:t>
                  </w:r>
                </w:p>
                <w:p>
                  <w:pPr>
                    <w:spacing w:line="360" w:lineRule="auto"/>
                    <w:jc w:val="both"/>
                    <w:rPr>
                      <w:rFonts w:eastAsia="Calibri"/>
                      <w:szCs w:val="24"/>
                    </w:rPr>
                  </w:pPr>
                </w:p>
                <w:p>
                  <w:pPr>
                    <w:spacing w:line="360" w:lineRule="auto"/>
                    <w:jc w:val="both"/>
                    <w:rPr>
                      <w:rFonts w:eastAsia="Calibri"/>
                      <w:szCs w:val="24"/>
                    </w:rPr>
                  </w:pPr>
                </w:p>
              </w:sdtContent>
            </w:sdt>
          </w:sdtContent>
        </w:sdt>
        <w:sdt>
          <w:sdtPr>
            <w:alias w:val="5 str."/>
            <w:tag w:val="part_26e62ba2379846ea94ecf4c3eb74f5e6"/>
            <w:lock w:val="sdtLocked"/>
            <w:richText/>
          </w:sdtPr>
          <w:sdtContent>
            <w:p>
              <w:pPr>
                <w:spacing w:line="360" w:lineRule="auto"/>
                <w:ind w:firstLine="709"/>
                <w:jc w:val="both"/>
                <w:rPr>
                  <w:rFonts w:eastAsia="Calibri"/>
                  <w:b/>
                  <w:szCs w:val="24"/>
                </w:rPr>
              </w:pPr>
              <w:sdt>
                <w:sdtPr>
                  <w:alias w:val="Numeris"/>
                  <w:tag w:val="nr_26e62ba2379846ea94ecf4c3eb74f5e6"/>
                  <w:lock w:val="sdtLocked"/>
                  <w:richText/>
                </w:sdtPr>
                <w:sdtContent>
                  <w:r>
                    <w:rPr>
                      <w:rFonts w:eastAsia="Calibri"/>
                      <w:b/>
                      <w:szCs w:val="24"/>
                    </w:rPr>
                    <w:t>5</w:t>
                  </w:r>
                </w:sdtContent>
              </w:sdt>
              <w:r>
                <w:rPr>
                  <w:rFonts w:eastAsia="Calibri"/>
                  <w:b/>
                  <w:szCs w:val="24"/>
                </w:rPr>
                <w:t xml:space="preserve"> straipsnis. </w:t>
              </w:r>
              <w:sdt>
                <w:sdtPr>
                  <w:alias w:val="Pavadinimas"/>
                  <w:tag w:val="title_26e62ba2379846ea94ecf4c3eb74f5e6"/>
                  <w:lock w:val="sdtLocked"/>
                  <w:richText/>
                </w:sdtPr>
                <w:sdtContent>
                  <w:r>
                    <w:rPr>
                      <w:rFonts w:eastAsia="Calibri"/>
                      <w:b/>
                      <w:szCs w:val="24"/>
                    </w:rPr>
                    <w:t>11 straipsnio pakeitimas</w:t>
                  </w:r>
                </w:sdtContent>
              </w:sdt>
            </w:p>
            <w:sdt>
              <w:sdtPr>
                <w:alias w:val="5 str. 1 d."/>
                <w:tag w:val="part_282131ce31954f778936fc1714b7c491"/>
                <w:lock w:val="sdtLocked"/>
                <w:richText/>
              </w:sdtPr>
              <w:sdtContent>
                <w:p>
                  <w:pPr>
                    <w:spacing w:line="360" w:lineRule="auto"/>
                    <w:ind w:firstLine="709"/>
                    <w:jc w:val="both"/>
                    <w:rPr>
                      <w:rFonts w:eastAsia="Calibri"/>
                      <w:szCs w:val="24"/>
                    </w:rPr>
                  </w:pPr>
                  <w:r>
                    <w:rPr>
                      <w:rFonts w:eastAsia="Calibri"/>
                      <w:szCs w:val="24"/>
                    </w:rPr>
                    <w:t>Pakeisti 11 straipsnį ir išdėstyti jį taip:</w:t>
                  </w:r>
                </w:p>
                <w:sdt>
                  <w:sdtPr>
                    <w:alias w:val="citata"/>
                    <w:tag w:val="part_534d49d35f6747b79951b1871211f2f9"/>
                    <w:lock w:val="sdtLocked"/>
                    <w:richText/>
                  </w:sdtPr>
                  <w:sdtContent>
                    <w:sdt>
                      <w:sdtPr>
                        <w:alias w:val="1 d."/>
                        <w:tag w:val="part_04f8c140cb564d06901fc2c236bcc8c5"/>
                        <w:lock w:val="sdtLocked"/>
                        <w:richText/>
                      </w:sdtPr>
                      <w:sdtContent>
                        <w:p>
                          <w:pPr>
                            <w:widowControl w:val="0"/>
                            <w:shd w:val="clear" w:color="auto" w:fill="FFFFFF"/>
                            <w:spacing w:line="360" w:lineRule="auto"/>
                            <w:ind w:firstLine="709"/>
                            <w:jc w:val="both"/>
                            <w:rPr>
                              <w:rFonts w:eastAsia="Calibri"/>
                              <w:szCs w:val="24"/>
                            </w:rPr>
                          </w:pPr>
                          <w:r>
                            <w:rPr>
                              <w:rFonts w:eastAsia="Calibri"/>
                              <w:bCs/>
                              <w:szCs w:val="24"/>
                            </w:rPr>
                            <w:t>„</w:t>
                          </w:r>
                          <w:sdt>
                            <w:sdtPr>
                              <w:alias w:val="Numeris"/>
                              <w:tag w:val="nr_04f8c140cb564d06901fc2c236bcc8c5"/>
                              <w:lock w:val="sdtLocked"/>
                              <w:richText/>
                            </w:sdtPr>
                            <w:sdtContent>
                              <w:r>
                                <w:rPr>
                                  <w:rFonts w:eastAsia="Calibri"/>
                                  <w:szCs w:val="24"/>
                                </w:rPr>
                                <w:t>1</w:t>
                              </w:r>
                            </w:sdtContent>
                          </w:sdt>
                          <w:r>
                            <w:rPr>
                              <w:rFonts w:eastAsia="Calibri"/>
                              <w:szCs w:val="24"/>
                            </w:rPr>
                            <w:t>. Architektų profesinio atestavimo komisija</w:t>
                          </w:r>
                          <w:r>
                            <w:rPr>
                              <w:rFonts w:eastAsia="Calibri"/>
                              <w:bCs/>
                              <w:szCs w:val="24"/>
                            </w:rPr>
                            <w:t xml:space="preserve"> (toliau – Komisija) </w:t>
                          </w:r>
                          <w:r>
                            <w:rPr>
                              <w:rFonts w:eastAsia="Calibri"/>
                              <w:szCs w:val="24"/>
                            </w:rPr>
                            <w:t>yra iš Rūmų narių atstovų ir Lietuvos Respublikos aplinkos ministerijos atstovų sudaryta komisija, teikianti išvadas Rūmams dėl architektų atestavimo, teisės pripažinimo, atestatų ir (ar) teisės pripažinimo dokumentų galiojimo sustabdymo arba jų galiojimo panaikinimo, įspėjimų atestatų ir (ar) teisės pripažinimo dokumentų turėtojams pareiškimo teisės aktų nustatyta tvarka.</w:t>
                          </w:r>
                        </w:p>
                      </w:sdtContent>
                    </w:sdt>
                    <w:sdt>
                      <w:sdtPr>
                        <w:alias w:val="2 d."/>
                        <w:tag w:val="part_598cfb4e095f4c4e8425a947fa34e10e"/>
                        <w:lock w:val="sdtLocked"/>
                        <w:richText/>
                      </w:sdtPr>
                      <w:sdtContent>
                        <w:p>
                          <w:pPr>
                            <w:widowControl w:val="0"/>
                            <w:shd w:val="clear" w:color="auto" w:fill="FFFFFF"/>
                            <w:tabs>
                              <w:tab w:val="left" w:pos="993"/>
                            </w:tabs>
                            <w:spacing w:line="360" w:lineRule="auto"/>
                            <w:ind w:firstLine="709"/>
                            <w:jc w:val="both"/>
                            <w:rPr>
                              <w:rFonts w:eastAsia="Calibri"/>
                              <w:szCs w:val="24"/>
                            </w:rPr>
                          </w:pPr>
                          <w:sdt>
                            <w:sdtPr>
                              <w:alias w:val="Numeris"/>
                              <w:tag w:val="nr_598cfb4e095f4c4e8425a947fa34e10e"/>
                              <w:lock w:val="sdtLocked"/>
                              <w:richText/>
                            </w:sdtPr>
                            <w:sdtContent>
                              <w:r>
                                <w:rPr>
                                  <w:rFonts w:eastAsia="Calibri"/>
                                  <w:szCs w:val="24"/>
                                </w:rPr>
                                <w:t>2</w:t>
                              </w:r>
                            </w:sdtContent>
                          </w:sdt>
                          <w:r>
                            <w:rPr>
                              <w:rFonts w:eastAsia="Calibri"/>
                              <w:szCs w:val="24"/>
                            </w:rPr>
                            <w:t>.</w:t>
                            <w:tab/>
                          </w:r>
                          <w:r>
                            <w:rPr>
                              <w:rFonts w:eastAsia="Calibri"/>
                              <w:szCs w:val="24"/>
                              <w:lang w:eastAsia="lt-LT"/>
                            </w:rPr>
                            <w:t xml:space="preserve">Komisiją sudaro devyni nariai (įskaitant Komisijos pirmininką), skiriami trejiems metams. Penkis Komisijos narius iš Rūmų narių susirinkime pasiūlytų atstovų skiria Rūmai, tris narius skiria Lietuvos Respublikos </w:t>
                          </w:r>
                          <w:r>
                            <w:rPr>
                              <w:rFonts w:eastAsia="Calibri"/>
                              <w:szCs w:val="24"/>
                            </w:rPr>
                            <w:t>aplinkos ministerija.</w:t>
                          </w:r>
                          <w:r>
                            <w:rPr>
                              <w:rFonts w:eastAsia="Calibri"/>
                              <w:szCs w:val="24"/>
                              <w:lang w:eastAsia="lt-LT"/>
                            </w:rPr>
                            <w:t xml:space="preserve"> Komisijos pirmininkas yra Rūmų pirmininkas. </w:t>
                          </w:r>
                        </w:p>
                      </w:sdtContent>
                    </w:sdt>
                    <w:sdt>
                      <w:sdtPr>
                        <w:alias w:val="3 d."/>
                        <w:tag w:val="part_7a05e17f3841402f9bc5bc770ac8713c"/>
                        <w:lock w:val="sdtLocked"/>
                        <w:richText/>
                      </w:sdtPr>
                      <w:sdtContent>
                        <w:p>
                          <w:pPr>
                            <w:tabs>
                              <w:tab w:val="left" w:pos="993"/>
                            </w:tabs>
                            <w:spacing w:line="360" w:lineRule="auto"/>
                            <w:ind w:left="1069" w:hanging="360"/>
                            <w:contextualSpacing/>
                            <w:jc w:val="both"/>
                            <w:rPr>
                              <w:rFonts w:eastAsia="Calibri"/>
                              <w:szCs w:val="24"/>
                            </w:rPr>
                          </w:pPr>
                          <w:sdt>
                            <w:sdtPr>
                              <w:alias w:val="Numeris"/>
                              <w:tag w:val="nr_7a05e17f3841402f9bc5bc770ac8713c"/>
                              <w:lock w:val="sdtLocked"/>
                              <w:richText/>
                            </w:sdtPr>
                            <w:sdtContent>
                              <w:r>
                                <w:rPr>
                                  <w:rFonts w:eastAsia="Calibri"/>
                                  <w:szCs w:val="24"/>
                                </w:rPr>
                                <w:t>3</w:t>
                              </w:r>
                            </w:sdtContent>
                          </w:sdt>
                          <w:r>
                            <w:rPr>
                              <w:rFonts w:eastAsia="Calibri"/>
                              <w:szCs w:val="24"/>
                            </w:rPr>
                            <w:t>.</w:t>
                            <w:tab/>
                            <w:t>Komisijos nuostatus tvirtina Rūmų taryba.</w:t>
                          </w:r>
                        </w:p>
                      </w:sdtContent>
                    </w:sdt>
                    <w:sdt>
                      <w:sdtPr>
                        <w:alias w:val="4 d."/>
                        <w:tag w:val="part_197bc16a0a3a4922afc5a3aac6d056a1"/>
                        <w:lock w:val="sdtLocked"/>
                        <w:richText/>
                      </w:sdtPr>
                      <w:sdtContent>
                        <w:p>
                          <w:pPr>
                            <w:tabs>
                              <w:tab w:val="left" w:pos="993"/>
                            </w:tabs>
                            <w:spacing w:line="360" w:lineRule="auto"/>
                            <w:ind w:firstLine="709"/>
                            <w:contextualSpacing/>
                            <w:jc w:val="both"/>
                            <w:rPr>
                              <w:rFonts w:eastAsia="Calibri"/>
                              <w:szCs w:val="24"/>
                            </w:rPr>
                          </w:pPr>
                          <w:sdt>
                            <w:sdtPr>
                              <w:alias w:val="Numeris"/>
                              <w:tag w:val="nr_197bc16a0a3a4922afc5a3aac6d056a1"/>
                              <w:lock w:val="sdtLocked"/>
                              <w:richText/>
                            </w:sdtPr>
                            <w:sdtContent>
                              <w:r>
                                <w:rPr>
                                  <w:rFonts w:eastAsia="Calibri"/>
                                  <w:szCs w:val="24"/>
                                </w:rPr>
                                <w:t>4</w:t>
                              </w:r>
                            </w:sdtContent>
                          </w:sdt>
                          <w:r>
                            <w:rPr>
                              <w:rFonts w:eastAsia="Calibri"/>
                              <w:szCs w:val="24"/>
                            </w:rPr>
                            <w:t>.</w:t>
                            <w:tab/>
                            <w:t xml:space="preserve">Rūmų priimti sprendimai dėl atestavimo ir (ar) teisės pripažinimo, kvalifikacijos atestato ir (ar) teisės pripažinimo dokumento galiojimo sustabdymo ar galiojimo panaikinimo, įspėjimo atestato ir (ar) teisės pripažinimo dokumento turėtojui pareiškimo teisėtumo gali būti skundžiami teismui per trisdešimt dienų nuo sprendimo nuorašo pateikimo architektui dienos. </w:t>
                          </w:r>
                        </w:p>
                      </w:sdtContent>
                    </w:sdt>
                    <w:sdt>
                      <w:sdtPr>
                        <w:alias w:val="5 d."/>
                        <w:tag w:val="part_551a510dc8454a19b7301582c8fdd1ab"/>
                        <w:lock w:val="sdtLocked"/>
                        <w:richText/>
                      </w:sdtPr>
                      <w:sdtContent>
                        <w:p>
                          <w:pPr>
                            <w:tabs>
                              <w:tab w:val="left" w:pos="993"/>
                            </w:tabs>
                            <w:spacing w:line="360" w:lineRule="auto"/>
                            <w:ind w:firstLine="709"/>
                            <w:contextualSpacing/>
                            <w:jc w:val="both"/>
                            <w:rPr>
                              <w:rFonts w:eastAsia="Calibri"/>
                              <w:szCs w:val="24"/>
                            </w:rPr>
                          </w:pPr>
                          <w:sdt>
                            <w:sdtPr>
                              <w:alias w:val="Numeris"/>
                              <w:tag w:val="nr_551a510dc8454a19b7301582c8fdd1ab"/>
                              <w:lock w:val="sdtLocked"/>
                              <w:richText/>
                            </w:sdtPr>
                            <w:sdtContent>
                              <w:r>
                                <w:rPr>
                                  <w:rFonts w:eastAsia="Calibri"/>
                                  <w:szCs w:val="24"/>
                                </w:rPr>
                                <w:t>5</w:t>
                              </w:r>
                            </w:sdtContent>
                          </w:sdt>
                          <w:r>
                            <w:rPr>
                              <w:rFonts w:eastAsia="Calibri"/>
                              <w:szCs w:val="24"/>
                            </w:rPr>
                            <w:t>.</w:t>
                            <w:tab/>
                            <w:t>Skundai dėl Rūmų priimto sprendimo teisėtumo išankstine ginčų nagrinėjimo ne teisme tvarka per šio straipsnio 4 dalyje nurodytą terminą gali būti teikiami Lietuvos Respublikos aplinkos ministerijai, kuriai nustačius Rūmų priimto sprendimo neteisėtumą, architekto prašymas nustatyta tvarka nagrinėjamas iš naujo.“</w:t>
                          </w:r>
                        </w:p>
                        <w:p>
                          <w:pPr>
                            <w:spacing w:line="360" w:lineRule="auto"/>
                            <w:jc w:val="both"/>
                            <w:rPr>
                              <w:rFonts w:eastAsia="Calibri"/>
                              <w:szCs w:val="24"/>
                            </w:rPr>
                          </w:pPr>
                        </w:p>
                      </w:sdtContent>
                    </w:sdt>
                  </w:sdtContent>
                </w:sdt>
              </w:sdtContent>
            </w:sdt>
          </w:sdtContent>
        </w:sdt>
        <w:sdt>
          <w:sdtPr>
            <w:alias w:val="6 str."/>
            <w:tag w:val="part_6b768f2d62bc4244b5c52a79cf3352f0"/>
            <w:lock w:val="sdtLocked"/>
            <w:richText/>
          </w:sdtPr>
          <w:sdtContent>
            <w:p>
              <w:pPr>
                <w:spacing w:line="360" w:lineRule="auto"/>
                <w:ind w:firstLine="709"/>
                <w:jc w:val="both"/>
                <w:rPr>
                  <w:rFonts w:eastAsia="Calibri"/>
                  <w:b/>
                  <w:szCs w:val="24"/>
                </w:rPr>
              </w:pPr>
              <w:sdt>
                <w:sdtPr>
                  <w:alias w:val="Numeris"/>
                  <w:tag w:val="nr_6b768f2d62bc4244b5c52a79cf3352f0"/>
                  <w:lock w:val="sdtLocked"/>
                  <w:richText/>
                </w:sdtPr>
                <w:sdtContent>
                  <w:r>
                    <w:rPr>
                      <w:rFonts w:eastAsia="Calibri"/>
                      <w:b/>
                      <w:szCs w:val="24"/>
                    </w:rPr>
                    <w:t>6</w:t>
                  </w:r>
                </w:sdtContent>
              </w:sdt>
              <w:r>
                <w:rPr>
                  <w:rFonts w:eastAsia="Calibri"/>
                  <w:b/>
                  <w:szCs w:val="24"/>
                </w:rPr>
                <w:t xml:space="preserve"> straipsnis. </w:t>
              </w:r>
              <w:sdt>
                <w:sdtPr>
                  <w:alias w:val="Pavadinimas"/>
                  <w:tag w:val="title_6b768f2d62bc4244b5c52a79cf3352f0"/>
                  <w:lock w:val="sdtLocked"/>
                  <w:richText/>
                </w:sdtPr>
                <w:sdtContent>
                  <w:r>
                    <w:rPr>
                      <w:rFonts w:eastAsia="Calibri"/>
                      <w:b/>
                      <w:szCs w:val="24"/>
                    </w:rPr>
                    <w:t xml:space="preserve">18 straipsnio pripažinimas netekusiu galios </w:t>
                  </w:r>
                </w:sdtContent>
              </w:sdt>
            </w:p>
            <w:sdt>
              <w:sdtPr>
                <w:alias w:val="6 str. 1 d."/>
                <w:tag w:val="part_ec5a33c6d66147cb9e46ad7a76bfdd92"/>
                <w:lock w:val="sdtLocked"/>
                <w:richText/>
              </w:sdtPr>
              <w:sdtContent>
                <w:p>
                  <w:pPr>
                    <w:spacing w:line="360" w:lineRule="auto"/>
                    <w:ind w:firstLine="709"/>
                    <w:jc w:val="both"/>
                    <w:rPr>
                      <w:rFonts w:eastAsia="Calibri"/>
                      <w:szCs w:val="24"/>
                    </w:rPr>
                  </w:pPr>
                  <w:r>
                    <w:rPr>
                      <w:rFonts w:eastAsia="Calibri"/>
                      <w:szCs w:val="24"/>
                    </w:rPr>
                    <w:t>Pripažinti netekusiu galios 18 straipsnį.</w:t>
                  </w:r>
                </w:p>
                <w:p>
                  <w:pPr>
                    <w:spacing w:line="360" w:lineRule="auto"/>
                    <w:ind w:firstLine="709"/>
                    <w:jc w:val="both"/>
                    <w:rPr>
                      <w:rFonts w:eastAsia="Calibri"/>
                      <w:b/>
                      <w:szCs w:val="24"/>
                    </w:rPr>
                  </w:pPr>
                </w:p>
              </w:sdtContent>
            </w:sdt>
          </w:sdtContent>
        </w:sdt>
        <w:sdt>
          <w:sdtPr>
            <w:alias w:val="7 str."/>
            <w:tag w:val="part_bcb61dbe806043ee81057b6ed5c6bd19"/>
            <w:lock w:val="sdtLocked"/>
            <w:richText/>
          </w:sdtPr>
          <w:sdtContent>
            <w:p>
              <w:pPr>
                <w:spacing w:line="360" w:lineRule="auto"/>
                <w:ind w:firstLine="709"/>
                <w:jc w:val="both"/>
                <w:rPr>
                  <w:rFonts w:eastAsia="Calibri"/>
                  <w:b/>
                  <w:szCs w:val="24"/>
                </w:rPr>
              </w:pPr>
              <w:sdt>
                <w:sdtPr>
                  <w:alias w:val="Numeris"/>
                  <w:tag w:val="nr_bcb61dbe806043ee81057b6ed5c6bd19"/>
                  <w:lock w:val="sdtLocked"/>
                  <w:richText/>
                </w:sdtPr>
                <w:sdtContent>
                  <w:r>
                    <w:rPr>
                      <w:rFonts w:eastAsia="Calibri"/>
                      <w:b/>
                      <w:szCs w:val="24"/>
                    </w:rPr>
                    <w:t>7</w:t>
                  </w:r>
                </w:sdtContent>
              </w:sdt>
              <w:r>
                <w:rPr>
                  <w:rFonts w:eastAsia="Calibri"/>
                  <w:b/>
                  <w:szCs w:val="24"/>
                </w:rPr>
                <w:t xml:space="preserve"> straipsnis. </w:t>
              </w:r>
              <w:sdt>
                <w:sdtPr>
                  <w:alias w:val="Pavadinimas"/>
                  <w:tag w:val="title_bcb61dbe806043ee81057b6ed5c6bd19"/>
                  <w:lock w:val="sdtLocked"/>
                  <w:richText/>
                </w:sdtPr>
                <w:sdtContent>
                  <w:r>
                    <w:rPr>
                      <w:rFonts w:eastAsia="Calibri"/>
                      <w:b/>
                      <w:szCs w:val="24"/>
                    </w:rPr>
                    <w:t>Įstatymo įsigaliojimas ir įgyvendinimas</w:t>
                  </w:r>
                </w:sdtContent>
              </w:sdt>
            </w:p>
            <w:sdt>
              <w:sdtPr>
                <w:alias w:val="7 str. 1 d."/>
                <w:tag w:val="part_fb1452dcf0c64353aae492b6c22ac8d1"/>
                <w:lock w:val="sdtLocked"/>
                <w:richText/>
              </w:sdtPr>
              <w:sdtContent>
                <w:p>
                  <w:pPr>
                    <w:tabs>
                      <w:tab w:val="left" w:pos="993"/>
                    </w:tabs>
                    <w:spacing w:line="360" w:lineRule="auto"/>
                    <w:ind w:firstLine="709"/>
                    <w:jc w:val="both"/>
                    <w:rPr>
                      <w:rFonts w:eastAsia="Calibri"/>
                      <w:szCs w:val="24"/>
                    </w:rPr>
                  </w:pPr>
                  <w:sdt>
                    <w:sdtPr>
                      <w:alias w:val="Numeris"/>
                      <w:tag w:val="nr_fb1452dcf0c64353aae492b6c22ac8d1"/>
                      <w:lock w:val="sdtLocked"/>
                      <w:richText/>
                    </w:sdtPr>
                    <w:sdtContent>
                      <w:r>
                        <w:rPr>
                          <w:rFonts w:eastAsia="Calibri"/>
                          <w:szCs w:val="24"/>
                        </w:rPr>
                        <w:t>1</w:t>
                      </w:r>
                    </w:sdtContent>
                  </w:sdt>
                  <w:r>
                    <w:rPr>
                      <w:rFonts w:eastAsia="Calibri"/>
                      <w:szCs w:val="24"/>
                    </w:rPr>
                    <w:t>.</w:t>
                    <w:tab/>
                    <w:t xml:space="preserve">Šis įstatymas įsigalioja 2016 m. sausio 1 d. </w:t>
                  </w:r>
                </w:p>
              </w:sdtContent>
            </w:sdt>
            <w:sdt>
              <w:sdtPr>
                <w:alias w:val="7 str. 2 d."/>
                <w:tag w:val="part_aee96f5eec3b466886bd1a75d69b2639"/>
                <w:lock w:val="sdtLocked"/>
                <w:richText/>
              </w:sdtPr>
              <w:sdtContent>
                <w:p>
                  <w:pPr>
                    <w:tabs>
                      <w:tab w:val="left" w:pos="993"/>
                    </w:tabs>
                    <w:spacing w:line="360" w:lineRule="auto"/>
                    <w:ind w:firstLine="709"/>
                    <w:jc w:val="both"/>
                    <w:rPr>
                      <w:rFonts w:eastAsia="Calibri"/>
                      <w:szCs w:val="24"/>
                    </w:rPr>
                  </w:pPr>
                  <w:sdt>
                    <w:sdtPr>
                      <w:alias w:val="Numeris"/>
                      <w:tag w:val="nr_aee96f5eec3b466886bd1a75d69b2639"/>
                      <w:lock w:val="sdtLocked"/>
                      <w:richText/>
                    </w:sdtPr>
                    <w:sdtContent>
                      <w:r>
                        <w:rPr>
                          <w:rFonts w:eastAsia="Calibri"/>
                          <w:szCs w:val="24"/>
                        </w:rPr>
                        <w:t>2</w:t>
                      </w:r>
                    </w:sdtContent>
                  </w:sdt>
                  <w:r>
                    <w:rPr>
                      <w:rFonts w:eastAsia="Calibri"/>
                      <w:szCs w:val="24"/>
                    </w:rPr>
                    <w:t>.</w:t>
                    <w:tab/>
                    <w:t xml:space="preserve">Architektų rūmų įstatymo 4 straipsnio 1 dalyje nurodyti architektai, turintys galiojantį kvalifikacijos atestatą ar teisės pripažinimo dokumentą, Rūmų nariais tampa nuo šio įstatymo įsigaliojimo dienos. </w:t>
                  </w:r>
                </w:p>
              </w:sdtContent>
            </w:sdt>
            <w:sdt>
              <w:sdtPr>
                <w:alias w:val="7 str. 3 d."/>
                <w:tag w:val="part_8025ee5e7831422293f47f62da376d29"/>
                <w:lock w:val="sdtLocked"/>
                <w:richText/>
              </w:sdtPr>
              <w:sdtContent>
                <w:p>
                  <w:pPr>
                    <w:tabs>
                      <w:tab w:val="left" w:pos="993"/>
                    </w:tabs>
                    <w:spacing w:line="360" w:lineRule="auto"/>
                    <w:ind w:firstLine="709"/>
                    <w:jc w:val="both"/>
                    <w:rPr>
                      <w:rFonts w:eastAsia="Calibri"/>
                      <w:szCs w:val="24"/>
                    </w:rPr>
                  </w:pPr>
                  <w:sdt>
                    <w:sdtPr>
                      <w:alias w:val="Numeris"/>
                      <w:tag w:val="nr_8025ee5e7831422293f47f62da376d29"/>
                      <w:lock w:val="sdtLocked"/>
                      <w:richText/>
                    </w:sdtPr>
                    <w:sdtContent>
                      <w:r>
                        <w:rPr>
                          <w:rFonts w:eastAsia="Calibri"/>
                          <w:szCs w:val="24"/>
                        </w:rPr>
                        <w:t>3</w:t>
                      </w:r>
                    </w:sdtContent>
                  </w:sdt>
                  <w:r>
                    <w:rPr>
                      <w:rFonts w:eastAsia="Calibri"/>
                      <w:szCs w:val="24"/>
                    </w:rPr>
                    <w:t>.</w:t>
                    <w:tab/>
                    <w:t>Ne vėliau kaip per 20 darbo dienų nuo šio įstatymo priėmimo dienos Rūmų taryba ir pirmininkas papildomai informuoja visus šio įstatymo pagrindu Rūmų nariais tampančius asmenis apie priimtą šį įstatymą, jo įgyvendinimo tvarką ir galimybę asmens prašymu panaikinti atestato ar teisės pripažinimo dokumento galiojimą. Asmenų informavimas vykdomas Rūmams atestavimo ar teisės pripažinimo metu pateiktais elektroniniais adresais. Nurodyta informacija per tą patį terminą paskelbiama Rūmų internetinėje svetainėje bei respublikiniame dienraštyje.</w:t>
                  </w:r>
                </w:p>
              </w:sdtContent>
            </w:sdt>
            <w:sdt>
              <w:sdtPr>
                <w:alias w:val="7 str. 4 d."/>
                <w:tag w:val="part_b4448b79046e43a2838d85581b2d7296"/>
                <w:lock w:val="sdtLocked"/>
                <w:richText/>
              </w:sdtPr>
              <w:sdtContent>
                <w:p>
                  <w:pPr>
                    <w:tabs>
                      <w:tab w:val="left" w:pos="993"/>
                    </w:tabs>
                    <w:spacing w:line="360" w:lineRule="auto"/>
                    <w:ind w:firstLine="709"/>
                    <w:jc w:val="both"/>
                    <w:rPr>
                      <w:rFonts w:eastAsia="Calibri"/>
                      <w:szCs w:val="24"/>
                    </w:rPr>
                  </w:pPr>
                  <w:sdt>
                    <w:sdtPr>
                      <w:alias w:val="Numeris"/>
                      <w:tag w:val="nr_b4448b79046e43a2838d85581b2d7296"/>
                      <w:lock w:val="sdtLocked"/>
                      <w:richText/>
                    </w:sdtPr>
                    <w:sdtContent>
                      <w:r>
                        <w:rPr>
                          <w:rFonts w:eastAsia="Calibri"/>
                          <w:szCs w:val="24"/>
                        </w:rPr>
                        <w:t>4</w:t>
                      </w:r>
                    </w:sdtContent>
                  </w:sdt>
                  <w:r>
                    <w:rPr>
                      <w:rFonts w:eastAsia="Calibri"/>
                      <w:szCs w:val="24"/>
                    </w:rPr>
                    <w:t>.</w:t>
                    <w:tab/>
                    <w:t xml:space="preserve">Ne vėliau kaip per 4 mėnesius nuo šio įstatymo įsigaliojimo dienos Rūmų taryba ir pirmininkas sušaukia Rūmų narių susirinkimą, kuriame nustatyta tvarka išrenkami nauji Rūmų valdymo ir kiti organai, patvirtinamas nario mokesčio dydis. Nario mokestį šio įstatymo pagrindu Rūmų nariais tapę asmenys moka nuo Rūmų narių susirinkimo dienos Rūmų tarybos nustatyta tvarka. </w:t>
                  </w:r>
                </w:p>
              </w:sdtContent>
            </w:sdt>
            <w:sdt>
              <w:sdtPr>
                <w:alias w:val="7 str. 5 d."/>
                <w:tag w:val="part_0fb40d691fa646d59b06b451c70d24b2"/>
                <w:lock w:val="sdtLocked"/>
                <w:richText/>
              </w:sdtPr>
              <w:sdtContent>
                <w:p>
                  <w:pPr>
                    <w:tabs>
                      <w:tab w:val="left" w:pos="993"/>
                    </w:tabs>
                    <w:spacing w:line="360" w:lineRule="auto"/>
                    <w:ind w:firstLine="709"/>
                    <w:jc w:val="both"/>
                    <w:rPr>
                      <w:rFonts w:eastAsia="Calibri"/>
                      <w:szCs w:val="24"/>
                    </w:rPr>
                  </w:pPr>
                  <w:sdt>
                    <w:sdtPr>
                      <w:alias w:val="Numeris"/>
                      <w:tag w:val="nr_0fb40d691fa646d59b06b451c70d24b2"/>
                      <w:lock w:val="sdtLocked"/>
                      <w:richText/>
                    </w:sdtPr>
                    <w:sdtContent>
                      <w:r>
                        <w:rPr>
                          <w:rFonts w:eastAsia="Calibri"/>
                          <w:szCs w:val="24"/>
                        </w:rPr>
                        <w:t>5</w:t>
                      </w:r>
                    </w:sdtContent>
                  </w:sdt>
                  <w:r>
                    <w:rPr>
                      <w:rFonts w:eastAsia="Calibri"/>
                      <w:szCs w:val="24"/>
                    </w:rPr>
                    <w:t>.</w:t>
                    <w:tab/>
                    <w:t xml:space="preserve">Iki šio įstatymo įsigaliojimo ir šio straipsnio 4 punkte nurodyto Rūmų narių susirinkimo priimti Rūmų organų sprendimai galioja tol, kol bus priimti nauji juos keičiantys sprendimai. </w:t>
                  </w:r>
                </w:p>
                <w:p>
                  <w:pPr>
                    <w:spacing w:line="360" w:lineRule="auto"/>
                    <w:ind w:firstLine="1296"/>
                    <w:jc w:val="both"/>
                    <w:rPr>
                      <w:b/>
                      <w:szCs w:val="24"/>
                    </w:rPr>
                  </w:pPr>
                </w:p>
              </w:sdtContent>
            </w:sdt>
          </w:sdtContent>
        </w:sdt>
        <w:sdt>
          <w:sdtPr>
            <w:alias w:val="signatura"/>
            <w:tag w:val="part_a5bc4f2237384708be8c500e83d56ee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Calibri"/>
                  <w:i/>
                  <w:szCs w:val="24"/>
                  <w:lang w:eastAsia="lt-LT"/>
                </w:rPr>
              </w:pPr>
              <w:r>
                <w:rPr>
                  <w:rFonts w:eastAsia="Calibri"/>
                  <w:i/>
                  <w:szCs w:val="24"/>
                  <w:lang w:eastAsia="lt-LT"/>
                </w:rPr>
                <w:t>Skelbiu šį Lietuvos Respublikos Seimo priimtą įstatymą.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Calibri"/>
                  <w:i/>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Calibri"/>
                  <w:i/>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Calibri"/>
                  <w:szCs w:val="24"/>
                  <w:lang w:eastAsia="lt-LT"/>
                </w:rPr>
              </w:pPr>
              <w:r>
                <w:rPr>
                  <w:rFonts w:eastAsia="Calibri"/>
                  <w:szCs w:val="24"/>
                  <w:lang w:eastAsia="lt-LT"/>
                </w:rPr>
                <w:t>Respublikos Prezidentas</w:t>
                <w:tab/>
                <w:tab/>
                <w:tab/>
                <w:tab/>
                <w:tab/>
                <w:tab/>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Calibri"/>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Calibri"/>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Calibri"/>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Calibri"/>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Calibri"/>
                  <w:szCs w:val="24"/>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Calibri"/>
                  <w:szCs w:val="24"/>
                  <w:lang w:eastAsia="lt-LT"/>
                </w:rPr>
              </w:pPr>
              <w:r>
                <w:rPr>
                  <w:rFonts w:eastAsia="Calibri"/>
                  <w:szCs w:val="24"/>
                  <w:lang w:eastAsia="lt-LT"/>
                </w:rPr>
                <w:t>Teikia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Calibri"/>
                  <w:szCs w:val="24"/>
                  <w:lang w:eastAsia="lt-LT"/>
                </w:rPr>
              </w:pPr>
              <w:r>
                <w:rPr>
                  <w:rFonts w:eastAsia="Calibri"/>
                  <w:szCs w:val="24"/>
                  <w:lang w:eastAsia="lt-LT"/>
                </w:rPr>
                <w:t>Seimo narys Algimantas Salamakinas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eastAsia="Calibri"/>
                  <w:b/>
                  <w:szCs w:val="24"/>
                  <w:lang w:eastAsia="lt-LT"/>
                </w:rPr>
              </w:pPr>
              <w:r>
                <w:rPr>
                  <w:rFonts w:eastAsia="Calibri"/>
                  <w:szCs w:val="24"/>
                  <w:lang w:eastAsia="lt-LT"/>
                </w:rPr>
                <w:t>2016-05-09</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418" w:right="567" w:bottom="851" w:left="1559"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jc w:val="both"/>
        <w:rPr>
          <w:rFonts w:ascii="Calibri" w:eastAsia="Calibri" w:hAnsi="Calibri"/>
          <w:sz w:val="22"/>
          <w:szCs w:val="22"/>
        </w:rPr>
      </w:pPr>
      <w:r>
        <w:rPr>
          <w:rFonts w:ascii="Calibri" w:eastAsia="Calibri" w:hAnsi="Calibri"/>
          <w:sz w:val="22"/>
          <w:szCs w:val="22"/>
        </w:rPr>
        <w:separator/>
      </w:r>
    </w:p>
  </w:endnote>
  <w:endnote w:type="continuationSeparator" w:id="0">
    <w:p>
      <w:pPr>
        <w:jc w:val="both"/>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line="276" w:lineRule="auto"/>
      <w:jc w:val="both"/>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line="276" w:lineRule="auto"/>
      <w:jc w:val="both"/>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line="276" w:lineRule="auto"/>
      <w:jc w:val="both"/>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jc w:val="both"/>
        <w:rPr>
          <w:rFonts w:ascii="Calibri" w:eastAsia="Calibri" w:hAnsi="Calibri"/>
          <w:sz w:val="22"/>
          <w:szCs w:val="22"/>
        </w:rPr>
      </w:pPr>
      <w:r>
        <w:rPr>
          <w:rFonts w:ascii="Calibri" w:eastAsia="Calibri" w:hAnsi="Calibri"/>
          <w:sz w:val="22"/>
          <w:szCs w:val="22"/>
        </w:rPr>
        <w:separator/>
      </w:r>
    </w:p>
  </w:footnote>
  <w:footnote w:type="continuationSeparator" w:id="0">
    <w:p>
      <w:pPr>
        <w:jc w:val="both"/>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line="276" w:lineRule="auto"/>
      <w:jc w:val="both"/>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line="276" w:lineRule="auto"/>
      <w:jc w:val="center"/>
      <w:rPr>
        <w:rFonts w:eastAsia="Calibri"/>
        <w:b/>
        <w:szCs w:val="24"/>
      </w:rPr>
    </w:pPr>
    <w:r>
      <w:rPr>
        <w:rFonts w:eastAsia="Calibri"/>
        <w:b/>
        <w:szCs w:val="24"/>
      </w:rPr>
      <w:tab/>
      <w:tab/>
    </w: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spacing w:line="276" w:lineRule="auto"/>
      <w:jc w:val="both"/>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oNotDisplayPageBoundaries/>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2F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500313498">
      <w:bodyDiv w:val="1"/>
      <w:marLeft w:val="0"/>
      <w:marRight w:val="0"/>
      <w:marTop w:val="0"/>
      <w:marBottom w:val="0"/>
      <w:divBdr>
        <w:top w:val="none" w:sz="0" w:space="0" w:color="auto"/>
        <w:left w:val="none" w:sz="0" w:space="0" w:color="auto"/>
        <w:bottom w:val="none" w:sz="0" w:space="0" w:color="auto"/>
        <w:right w:val="none" w:sz="0" w:space="0" w:color="auto"/>
      </w:divBdr>
    </w:div>
    <w:div w:id="14148587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27cf66631c74914a2196a5eca54f647" PartId="719bd656ee66482d8c05ec5e836c4c16">
    <Part Type="straipsnis" Nr="1" Abbr="1 str." Title="1 straipsnio pakeitimas" DocPartId="6798b850c8624470b33640626686064c" PartId="8664392600cc4a42b07cff90ec385fc4">
      <Part Type="strDalis" Nr="1" Abbr="1 str. 1 d." DocPartId="9acb309da88a40ffa8b3e88c44a1a6ac" PartId="d2ebabf2ab4e48a2adcdc8c90f5e361f">
        <Part Type="citata" DocPartId="af3abff023e541fd944bb98d8e0e608a" PartId="e50583746bdf45b5bb297ff9ad91cd65">
          <Part Type="strDalis" Nr="2" Abbr="2 d." DocPartId="5081cc7d6022428f989fe15b06a7c6f4" PartId="dbf9749bae4f44848ee8dbcca2886534"/>
        </Part>
      </Part>
    </Part>
    <Part Type="straipsnis" Nr="2" Abbr="2 str." Title="2 straipsnio pakeitimas" DocPartId="492fffa3bad74cb0a2e73d7e09933247" PartId="750e2946480a4ae9b8bf4925b4220dc4">
      <Part Type="strDalis" Nr="1" Abbr="2 str. 1 d." DocPartId="78a0e16806bf4c8eb4763bf6c887dbad" PartId="aae8add860554280883076d09304ea02">
        <Part Type="citata" DocPartId="21c0885521ca42e0ba4a822368ee43df" PartId="f5d92ee0ba64436e8a17d918de03c515">
          <Part Type="strDalis" Nr="1" Abbr="1 d." DocPartId="cf4264081d024d42af50eba528f9034f" PartId="98fcf3dc2e6440728aeb50c9b6486ce6"/>
        </Part>
      </Part>
    </Part>
    <Part Type="straipsnis" Nr="3" Abbr="3 str." Title="3 straipsnio pakeitimas" DocPartId="f9a28894639942c09a978fd69841c160" PartId="87206c19de664fd79aeb66c287c07b82">
      <Part Type="strDalis" Nr="1" Abbr="3 str. 1 d." DocPartId="b4c63088885648378af35d4f71a37814" PartId="bc955f84a7be47c2b90340221e02417c"/>
      <Part Type="strDalis" Nr="2" Abbr="3 str. 2 d." DocPartId="579da03da7f545c6b70d03ac54017b37" PartId="7ff107cea6ef4f828fd9d2329b06d194">
        <Part Type="citata" DocPartId="f18ebdeeb75f4649bb4ec4c078c74ad6" PartId="48556bdb7ca84d47a97bb12ea574484e">
          <Part Type="strPunktas" Nr="13" Abbr="13 p." DocPartId="a34ba611580c4e9f9be59ec47abbf517" PartId="fac6032963ec4ffa83595f1a4f871d64"/>
          <Part Type="strPunktas" Nr="14" Abbr="14 p." DocPartId="304baeb8358c4554ab7197df62032764" PartId="93b05d21d7154ef4a50ef5d91453a287"/>
        </Part>
      </Part>
      <Part Type="strDalis" Nr="3" Abbr="3 str. 3 d." DocPartId="8291f708c2614c458720597a76f6a55e" PartId="6481f21babfe41828b90c17227e52118"/>
      <Part Type="strDalis" Nr="4" Abbr="3 str. 4 d." DocPartId="74e537a9284746b083395c7784a561b1" PartId="7b19cde31f4b47c78c0b7100395f2585">
        <Part Type="citata" DocPartId="5873a3542f1b428e9f2f6dc2a0f28621" PartId="fc972bc66045492e8406309a9f121217">
          <Part Type="strDalis" Nr="3" Abbr="3 d." DocPartId="3d753fe9c178472dbd04008a15353173" PartId="e0dc0abae6254ed9a2aa58ed246d04d4"/>
        </Part>
      </Part>
    </Part>
    <Part Type="straipsnis" Nr="4" Abbr="4 str." Title="4 straipsnio pakeitimas" DocPartId="ef4f21b77e974945b2cd209635af6afc" PartId="b8c83058f330477f914c8cd639ac1da8">
      <Part Type="strDalis" Nr="1" Abbr="4 str. 1 d." DocPartId="138a30e94dbc4d8ca36138141bf6d241" PartId="40fa43c2174946a7a72c39bd354dcdd7"/>
      <Part Type="strDalis" Nr="2" Abbr="4 str. 2 d." DocPartId="56e9083a7f634455bc4d6aa4e62f2f65" PartId="ec6a7fc607314de69c3d7d866ec9a739"/>
    </Part>
    <Part Type="straipsnis" Nr="5" Abbr="5 str." Title="11 straipsnio pakeitimas" DocPartId="4cef1a7252134328accec73e3bc907c0" PartId="26e62ba2379846ea94ecf4c3eb74f5e6">
      <Part Type="strDalis" Nr="1" Abbr="5 str. 1 d." DocPartId="799b6374f9274d3984f70d6e200c158a" PartId="282131ce31954f778936fc1714b7c491">
        <Part Type="citata" DocPartId="bb1f9aebaacd4f50b5d9a80bb81e31d2" PartId="534d49d35f6747b79951b1871211f2f9">
          <Part Type="strDalis" Nr="1" Abbr="1 d." DocPartId="57309989e1c144f2bbd688519dd39d99" PartId="04f8c140cb564d06901fc2c236bcc8c5"/>
          <Part Type="strDalis" Nr="2" Abbr="2 d." DocPartId="b65a7845e7ef484486806eab0b058abf" PartId="598cfb4e095f4c4e8425a947fa34e10e"/>
          <Part Type="strDalis" Nr="3" Abbr="3 d." DocPartId="24a924d17275492f857deb40501d0575" PartId="7a05e17f3841402f9bc5bc770ac8713c"/>
          <Part Type="strDalis" Nr="4" Abbr="4 d." DocPartId="7c07761bae524e32a9b83bee2d3725c3" PartId="197bc16a0a3a4922afc5a3aac6d056a1"/>
          <Part Type="strDalis" Nr="5" Abbr="5 d." DocPartId="7100effb99aa4683b10d36dc7bed7713" PartId="551a510dc8454a19b7301582c8fdd1ab"/>
        </Part>
      </Part>
    </Part>
    <Part Type="straipsnis" Nr="6" Abbr="6 str." Title="18 straipsnio pripažinimas netekusiu galios" DocPartId="3981a9ec195b4f73b3735d43d70b4aa8" PartId="6b768f2d62bc4244b5c52a79cf3352f0">
      <Part Type="strDalis" Nr="1" Abbr="6 str. 1 d." DocPartId="0d0e8dffd04843cc947e05b4672d7c02" PartId="ec5a33c6d66147cb9e46ad7a76bfdd92"/>
    </Part>
    <Part Type="straipsnis" Nr="7" Abbr="7 str." Title="Įstatymo įsigaliojimas ir įgyvendinimas" DocPartId="37f93e31559d4d4197d658f2fdc1f03b" PartId="bcb61dbe806043ee81057b6ed5c6bd19">
      <Part Type="strDalis" Nr="1" Abbr="7 str. 1 d." DocPartId="adaeaf41996e4592b13c74dfc1ed942a" PartId="fb1452dcf0c64353aae492b6c22ac8d1"/>
      <Part Type="strDalis" Nr="2" Abbr="7 str. 2 d." DocPartId="4df441d22f674a5e8841c6c23f50bf05" PartId="aee96f5eec3b466886bd1a75d69b2639"/>
      <Part Type="strDalis" Nr="3" Abbr="7 str. 3 d." DocPartId="2c6e0a376b7a454ea8b9c422bc78d071" PartId="8025ee5e7831422293f47f62da376d29"/>
      <Part Type="strDalis" Nr="4" Abbr="7 str. 4 d." DocPartId="0258b2db880d43ddac3f8c7b27a788a9" PartId="b4448b79046e43a2838d85581b2d7296"/>
      <Part Type="strDalis" Nr="5" Abbr="7 str. 5 d." DocPartId="3b35d035077d4f3a9923361711b24152" PartId="0fb40d691fa646d59b06b451c70d24b2"/>
    </Part>
    <Part Type="signatura" DocPartId="048e2c2fb9dd46b4bd2e47f84a09a47f" PartId="a5bc4f2237384708be8c500e83d56eea"/>
  </Part>
</Parts>
</file>

<file path=customXml/itemProps1.xml><?xml version="1.0" encoding="utf-8"?>
<ds:datastoreItem xmlns:ds="http://schemas.openxmlformats.org/officeDocument/2006/customXml" ds:itemID="{3738F05F-3109-4424-BACE-A571A2786E28}">
  <ds:schemaRefs>
    <ds:schemaRef ds:uri="http://schemas.openxmlformats.org/officeDocument/2006/bibliography"/>
  </ds:schemaRefs>
</ds:datastoreItem>
</file>

<file path=customXml/itemProps2.xml><?xml version="1.0" encoding="utf-8"?>
<ds:datastoreItem xmlns:ds="http://schemas.openxmlformats.org/officeDocument/2006/customXml" ds:itemID="{F68BECA9-FC9A-44A7-B623-621CB0B7C62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722</Words>
  <Characters>4829</Characters>
  <Application>Microsoft Office Word</Application>
  <DocSecurity>4</DocSecurity>
  <Lines>100</Lines>
  <Paragraphs>50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5501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2016-05-10T07:20:00Z</dcterms:created>
  <dc:creator>Kristina Matvejenkaite</dc:creator>
  <lastModifiedBy>CLUSadmin</lastModifiedBy>
  <lastPrinted>2015-01-26T06:20:00Z</lastPrinted>
  <dcterms:modified xsi:type="dcterms:W3CDTF">2016-05-10T07:20:00Z</dcterms:modified>
  <revision>2</revision>
</coreProperties>
</file>