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358d918a120441bba39defe47c24813"/>
        <w:lock w:val="sdtLocked"/>
        <w:richText/>
      </w:sdtPr>
      <w:sdtContent>
        <w:p>
          <w:pPr>
            <w:suppressAutoHyphens/>
            <w:ind w:firstLine="8680"/>
            <w:rPr>
              <w:b/>
              <w:lang w:eastAsia="lt-LT"/>
            </w:rPr>
          </w:pPr>
          <w:r>
            <w:rPr>
              <w:b/>
              <w:lang w:eastAsia="lt-LT"/>
            </w:rPr>
            <w:t xml:space="preserve">Projektas </w:t>
          </w:r>
        </w:p>
        <w:p>
          <w:pPr>
            <w:suppressAutoHyphens/>
            <w:ind w:left="6946"/>
            <w:rPr>
              <w:rFonts w:ascii="Arial" w:hAnsi="Arial"/>
              <w:spacing w:val="8"/>
              <w:lang w:eastAsia="lt-LT"/>
            </w:rPr>
          </w:pPr>
        </w:p>
        <w:p>
          <w:pPr>
            <w:rPr>
              <w:sz w:val="10"/>
              <w:szCs w:val="10"/>
            </w:rPr>
          </w:pPr>
        </w:p>
        <w:p>
          <w:pPr>
            <w:suppressAutoHyphens/>
            <w:jc w:val="center"/>
            <w:rPr>
              <w:b/>
              <w:bCs/>
              <w:lang w:eastAsia="lt-LT"/>
            </w:rPr>
          </w:pPr>
          <w:r>
            <w:rPr>
              <w:b/>
              <w:bCs/>
              <w:lang w:eastAsia="lt-LT"/>
            </w:rPr>
            <w:t>LIETUVOS RESPUBLIKOS APLINKOS MINISTRAS</w:t>
          </w:r>
        </w:p>
        <w:p>
          <w:pPr>
            <w:rPr>
              <w:szCs w:val="24"/>
            </w:rPr>
          </w:pPr>
        </w:p>
        <w:p>
          <w:pPr>
            <w:suppressAutoHyphens/>
            <w:jc w:val="center"/>
            <w:rPr>
              <w:b/>
              <w:bCs/>
              <w:lang w:eastAsia="lt-LT"/>
            </w:rPr>
          </w:pPr>
          <w:r>
            <w:rPr>
              <w:b/>
              <w:bCs/>
              <w:lang w:eastAsia="lt-LT"/>
            </w:rPr>
            <w:t>ĮSAKYMAS</w:t>
          </w:r>
        </w:p>
        <w:p>
          <w:pPr>
            <w:suppressAutoHyphens/>
            <w:jc w:val="center"/>
            <w:rPr>
              <w:b/>
              <w:lang w:eastAsia="lt-LT"/>
            </w:rPr>
          </w:pPr>
          <w:r>
            <w:rPr>
              <w:b/>
              <w:lang w:eastAsia="lt-LT"/>
            </w:rPr>
            <w:t>DĖL LIETUVOS RESPUBLIKOS APLINKOS MINISTRO 2017 M. SPALIO 31 D. ĮSAKYMO NR. D1-885 „</w:t>
          </w:r>
          <w:r>
            <w:rPr>
              <w:b/>
              <w:bCs/>
              <w:color w:val="000000"/>
              <w:lang w:eastAsia="lt-LT"/>
            </w:rPr>
            <w:t>DĖL PLANUOJAMOS ŪKINĖS VEIKLOS POVEIKIO APLINKAI VERTINIMO TVARKOS APRAŠO PATVIRTINIMO</w:t>
          </w:r>
          <w:r>
            <w:rPr>
              <w:b/>
              <w:lang w:eastAsia="lt-LT"/>
            </w:rPr>
            <w:t>“ PAKEITIMO</w:t>
          </w:r>
        </w:p>
        <w:p>
          <w:pPr>
            <w:suppressAutoHyphens/>
            <w:jc w:val="center"/>
            <w:rPr>
              <w:b/>
              <w:lang w:eastAsia="lt-LT"/>
            </w:rPr>
          </w:pPr>
        </w:p>
        <w:p>
          <w:pPr>
            <w:suppressAutoHyphens/>
            <w:jc w:val="center"/>
            <w:rPr>
              <w:lang w:eastAsia="lt-LT"/>
            </w:rPr>
          </w:pPr>
          <w:r>
            <w:rPr>
              <w:lang w:eastAsia="lt-LT"/>
            </w:rPr>
            <w:t xml:space="preserve">2022 m.         d. Nr. D1-</w:t>
          </w:r>
        </w:p>
        <w:p>
          <w:pPr>
            <w:suppressAutoHyphens/>
            <w:jc w:val="center"/>
            <w:rPr>
              <w:lang w:eastAsia="lt-LT"/>
            </w:rPr>
          </w:pPr>
          <w:r>
            <w:rPr>
              <w:lang w:eastAsia="lt-LT"/>
            </w:rPr>
            <w:t>Vilnius</w:t>
          </w:r>
        </w:p>
        <w:p>
          <w:pPr>
            <w:tabs>
              <w:tab w:val="center" w:pos="4153"/>
              <w:tab w:val="right" w:pos="9100"/>
            </w:tabs>
            <w:suppressAutoHyphens/>
            <w:rPr>
              <w:rFonts w:ascii="Tahoma" w:hAnsi="Tahoma"/>
              <w:spacing w:val="10"/>
              <w:sz w:val="20"/>
              <w:lang w:eastAsia="lt-LT"/>
            </w:rPr>
          </w:pPr>
        </w:p>
        <w:sdt>
          <w:sdtPr>
            <w:alias w:val="1 p."/>
            <w:tag w:val="part_a3cb3d7b8418404b9eaf096ed7ba3b77"/>
            <w:lock w:val="sdtLocked"/>
            <w:richText/>
          </w:sdtPr>
          <w:sdtContent>
            <w:p>
              <w:pPr>
                <w:widowControl w:val="0"/>
                <w:suppressAutoHyphens/>
                <w:ind w:firstLine="709"/>
                <w:jc w:val="both"/>
                <w:rPr>
                  <w:kern w:val="1"/>
                  <w:szCs w:val="24"/>
                  <w:lang w:eastAsia="hi-IN" w:bidi="hi-IN"/>
                </w:rPr>
              </w:pPr>
              <w:sdt>
                <w:sdtPr>
                  <w:alias w:val="Numeris"/>
                  <w:tag w:val="nr_a3cb3d7b8418404b9eaf096ed7ba3b77"/>
                  <w:lock w:val="sdtLocked"/>
                  <w:richText/>
                </w:sdtPr>
                <w:sdtContent>
                  <w:r>
                    <w:rPr>
                      <w:kern w:val="1"/>
                      <w:szCs w:val="24"/>
                      <w:lang w:eastAsia="hi-IN" w:bidi="hi-IN"/>
                    </w:rPr>
                    <w:t>1</w:t>
                  </w:r>
                </w:sdtContent>
              </w:sdt>
              <w:r>
                <w:rPr>
                  <w:kern w:val="1"/>
                  <w:szCs w:val="24"/>
                  <w:lang w:eastAsia="hi-IN" w:bidi="hi-IN"/>
                </w:rPr>
                <w:t xml:space="preserve">. </w:t>
              </w:r>
              <w:r>
                <w:rPr>
                  <w:spacing w:val="60"/>
                  <w:kern w:val="24"/>
                  <w:szCs w:val="24"/>
                  <w:lang w:eastAsia="hi-IN" w:bidi="hi-IN"/>
                </w:rPr>
                <w:t>Pakeičiu</w:t>
              </w:r>
              <w:r>
                <w:rPr>
                  <w:kern w:val="1"/>
                  <w:szCs w:val="24"/>
                  <w:lang w:eastAsia="hi-IN" w:bidi="hi-IN"/>
                </w:rPr>
                <w:t xml:space="preserve"> </w:t>
              </w:r>
              <w:r>
                <w:rPr>
                  <w:color w:val="000000"/>
                  <w:szCs w:val="24"/>
                  <w:lang w:eastAsia="lt-LT"/>
                </w:rPr>
                <w:t>Planuojamos ūkinės veiklos poveikio aplinkai vertinimo tvarkos aprašą, patvirtintą Lietuvos Respublikos aplinkos ministro 2017 m. spalio 31 d. įsakymu Nr. D1-885 „Dėl Planuojamos ūkinės veiklos poveikio aplinkai vertinimo tvarkos aprašo patvirtinimo“</w:t>
              </w:r>
              <w:r>
                <w:rPr>
                  <w:kern w:val="1"/>
                  <w:szCs w:val="24"/>
                  <w:lang w:eastAsia="hi-IN" w:bidi="hi-IN"/>
                </w:rPr>
                <w:t>:</w:t>
              </w:r>
            </w:p>
            <w:sdt>
              <w:sdtPr>
                <w:alias w:val="1.1 pp."/>
                <w:tag w:val="part_e8ded87f947945fcb0d6cc9f84d159fd"/>
                <w:lock w:val="sdtLocked"/>
                <w:richText/>
              </w:sdtPr>
              <w:sdtContent>
                <w:p>
                  <w:pPr>
                    <w:widowControl w:val="0"/>
                    <w:suppressAutoHyphens/>
                    <w:ind w:firstLine="709"/>
                    <w:jc w:val="both"/>
                    <w:rPr>
                      <w:kern w:val="1"/>
                      <w:szCs w:val="24"/>
                      <w:lang w:eastAsia="hi-IN" w:bidi="hi-IN"/>
                    </w:rPr>
                  </w:pPr>
                  <w:sdt>
                    <w:sdtPr>
                      <w:alias w:val="Numeris"/>
                      <w:tag w:val="nr_e8ded87f947945fcb0d6cc9f84d159fd"/>
                      <w:lock w:val="sdtLocked"/>
                      <w:richText/>
                    </w:sdtPr>
                    <w:sdtContent>
                      <w:r>
                        <w:rPr>
                          <w:color w:val="000000"/>
                          <w:kern w:val="1"/>
                          <w:szCs w:val="24"/>
                          <w:lang w:eastAsia="hi-IN" w:bidi="hi-IN"/>
                        </w:rPr>
                        <w:t>1.1</w:t>
                      </w:r>
                    </w:sdtContent>
                  </w:sdt>
                  <w:r>
                    <w:rPr>
                      <w:color w:val="000000"/>
                      <w:kern w:val="1"/>
                      <w:szCs w:val="24"/>
                      <w:lang w:eastAsia="hi-IN" w:bidi="hi-IN"/>
                    </w:rPr>
                    <w:t>. P</w:t>
                  </w:r>
                  <w:r>
                    <w:rPr>
                      <w:color w:val="000000"/>
                      <w:szCs w:val="24"/>
                      <w:shd w:val="clear" w:color="auto" w:fill="FFFFFF"/>
                      <w:lang w:eastAsia="ar-SA"/>
                    </w:rPr>
                    <w:t xml:space="preserve">akeičiu 3 punktą </w:t>
                  </w:r>
                  <w:r>
                    <w:rPr>
                      <w:kern w:val="1"/>
                      <w:szCs w:val="24"/>
                      <w:lang w:eastAsia="hi-IN" w:bidi="hi-IN"/>
                    </w:rPr>
                    <w:t>ir jį išdėstau taip:</w:t>
                  </w:r>
                </w:p>
                <w:sdt>
                  <w:sdtPr>
                    <w:alias w:val="citata"/>
                    <w:tag w:val="part_3c432c1fb07b4a6a83262dce3c5723b0"/>
                    <w:lock w:val="sdtLocked"/>
                    <w:richText/>
                  </w:sdtPr>
                  <w:sdtContent>
                    <w:sdt>
                      <w:sdtPr>
                        <w:alias w:val="3 p."/>
                        <w:tag w:val="part_c57394f08ce44eaf969aa1fc0f48f4c5"/>
                        <w:lock w:val="sdtLocked"/>
                        <w:richText/>
                      </w:sdtPr>
                      <w:sdtContent>
                        <w:p>
                          <w:pPr>
                            <w:suppressAutoHyphens/>
                            <w:ind w:firstLine="709"/>
                            <w:jc w:val="both"/>
                            <w:rPr>
                              <w:bCs/>
                              <w:szCs w:val="24"/>
                              <w:lang w:eastAsia="lt-LT"/>
                            </w:rPr>
                          </w:pPr>
                          <w:r>
                            <w:rPr>
                              <w:color w:val="000000"/>
                              <w:kern w:val="1"/>
                              <w:szCs w:val="24"/>
                              <w:lang w:eastAsia="hi-IN" w:bidi="hi-IN"/>
                            </w:rPr>
                            <w:t>„</w:t>
                          </w:r>
                          <w:sdt>
                            <w:sdtPr>
                              <w:alias w:val="Numeris"/>
                              <w:tag w:val="nr_c57394f08ce44eaf969aa1fc0f48f4c5"/>
                              <w:lock w:val="sdtLocked"/>
                              <w:richText/>
                            </w:sdtPr>
                            <w:sdtContent>
                              <w:r>
                                <w:rPr>
                                  <w:szCs w:val="24"/>
                                  <w:lang w:eastAsia="lt-LT"/>
                                </w:rPr>
                                <w:t>3</w:t>
                              </w:r>
                            </w:sdtContent>
                          </w:sdt>
                          <w:r>
                            <w:rPr>
                              <w:szCs w:val="24"/>
                              <w:lang w:eastAsia="lt-LT"/>
                            </w:rPr>
                            <w:t>. Planuojamos ūkinės veiklos poveikio aplinkai vertinimo įstatymo 5 straipsnio 1 dalies 1 punkte nurodytos atsakingosios institucijos funkcijas vykdo Aplinkos apsaugos agentūra (toliau – Agentūra) pagal Lietuvos Respublikos Vyriausybės 2000 m. liepos 28 d. nutarimo Nr. 900 „Dėl įgaliojimų Aplinkos ministerijai ir jai pavaldžioms institucijoms suteikimo“ 2 punktu suteiktus įgaliojimus, o pagal 1 punktu suteiktus įgaliojimus – tarpvalstybinį PAV procesą koordinuoja Aplinkos ministerija.</w:t>
                          </w:r>
                          <w:r>
                            <w:rPr>
                              <w:bCs/>
                              <w:szCs w:val="24"/>
                              <w:lang w:eastAsia="lt-LT"/>
                            </w:rPr>
                            <w:t>“</w:t>
                          </w:r>
                        </w:p>
                      </w:sdtContent>
                    </w:sdt>
                  </w:sdtContent>
                </w:sdt>
              </w:sdtContent>
            </w:sdt>
            <w:sdt>
              <w:sdtPr>
                <w:alias w:val="1.2 pp."/>
                <w:tag w:val="part_719593a81c374bf68589a6b5acc1e61b"/>
                <w:lock w:val="sdtLocked"/>
                <w:richText/>
              </w:sdtPr>
              <w:sdtContent>
                <w:p>
                  <w:pPr>
                    <w:widowControl w:val="0"/>
                    <w:suppressAutoHyphens/>
                    <w:ind w:firstLine="709"/>
                    <w:jc w:val="both"/>
                    <w:rPr>
                      <w:kern w:val="1"/>
                      <w:szCs w:val="24"/>
                      <w:lang w:eastAsia="hi-IN" w:bidi="hi-IN"/>
                    </w:rPr>
                  </w:pPr>
                  <w:sdt>
                    <w:sdtPr>
                      <w:alias w:val="Numeris"/>
                      <w:tag w:val="nr_719593a81c374bf68589a6b5acc1e61b"/>
                      <w:lock w:val="sdtLocked"/>
                      <w:richText/>
                    </w:sdtPr>
                    <w:sdtContent>
                      <w:r>
                        <w:rPr>
                          <w:bCs/>
                          <w:szCs w:val="24"/>
                          <w:lang w:eastAsia="lt-LT"/>
                        </w:rPr>
                        <w:t>1.2</w:t>
                      </w:r>
                    </w:sdtContent>
                  </w:sdt>
                  <w:r>
                    <w:rPr>
                      <w:bCs/>
                      <w:szCs w:val="24"/>
                      <w:lang w:eastAsia="lt-LT"/>
                    </w:rPr>
                    <w:t>.</w:t>
                  </w:r>
                  <w:r>
                    <w:rPr>
                      <w:color w:val="000000"/>
                      <w:szCs w:val="24"/>
                      <w:shd w:val="clear" w:color="auto" w:fill="FFFFFF"/>
                      <w:lang w:eastAsia="ar-SA"/>
                    </w:rPr>
                    <w:t xml:space="preserve"> Pakeičiu </w:t>
                  </w:r>
                  <w:r>
                    <w:t>11</w:t>
                  </w:r>
                  <w:r>
                    <w:rPr>
                      <w:vertAlign w:val="superscript"/>
                    </w:rPr>
                    <w:t>1</w:t>
                  </w:r>
                  <w:r>
                    <w:t xml:space="preserve">.5 </w:t>
                  </w:r>
                  <w:r>
                    <w:rPr>
                      <w:color w:val="000000"/>
                      <w:szCs w:val="24"/>
                      <w:shd w:val="clear" w:color="auto" w:fill="FFFFFF"/>
                      <w:lang w:eastAsia="ar-SA"/>
                    </w:rPr>
                    <w:t xml:space="preserve">papunktį </w:t>
                  </w:r>
                  <w:r>
                    <w:rPr>
                      <w:kern w:val="1"/>
                      <w:szCs w:val="24"/>
                      <w:lang w:eastAsia="hi-IN" w:bidi="hi-IN"/>
                    </w:rPr>
                    <w:t>ir jį išdėstau taip:</w:t>
                  </w:r>
                </w:p>
                <w:sdt>
                  <w:sdtPr>
                    <w:alias w:val="citata"/>
                    <w:tag w:val="part_7bc6cb3c6a2f4e75b4292faf97ced7fe"/>
                    <w:lock w:val="sdtLocked"/>
                    <w:richText/>
                  </w:sdtPr>
                  <w:sdtContent>
                    <w:sdt>
                      <w:sdtPr>
                        <w:alias w:val="11-1.5 pp."/>
                        <w:tag w:val="part_3dd95734952341069ceb3f78ef2f13b3"/>
                        <w:lock w:val="sdtLocked"/>
                        <w:richText/>
                      </w:sdtPr>
                      <w:sdtContent>
                        <w:p>
                          <w:pPr>
                            <w:ind w:firstLine="709"/>
                            <w:jc w:val="both"/>
                            <w:rPr>
                              <w:bCs/>
                              <w:szCs w:val="24"/>
                              <w:lang w:eastAsia="lt-LT"/>
                            </w:rPr>
                          </w:pPr>
                          <w:r>
                            <w:rPr>
                              <w:bCs/>
                              <w:szCs w:val="24"/>
                              <w:lang w:eastAsia="lt-LT"/>
                            </w:rPr>
                            <w:t>„</w:t>
                          </w:r>
                          <w:sdt>
                            <w:sdtPr>
                              <w:alias w:val="Numeris"/>
                              <w:tag w:val="nr_3dd95734952341069ceb3f78ef2f13b3"/>
                              <w:lock w:val="sdtLocked"/>
                              <w:richText/>
                            </w:sdtPr>
                            <w:sdtContent>
                              <w:r>
                                <w:t>11</w:t>
                              </w:r>
                              <w:r>
                                <w:rPr>
                                  <w:vertAlign w:val="superscript"/>
                                </w:rPr>
                                <w:t>1</w:t>
                              </w:r>
                              <w:r>
                                <w:t>.5</w:t>
                              </w:r>
                            </w:sdtContent>
                          </w:sdt>
                          <w:r>
                            <w:t xml:space="preserve">. planuojamos ūkinės veiklos poveikio aplinkai vertinimo atlikimo teisinis pagrindas pagal </w:t>
                          </w:r>
                          <w:r>
                            <w:rPr>
                              <w:szCs w:val="24"/>
                              <w:lang w:eastAsia="lt-LT"/>
                            </w:rPr>
                            <w:t xml:space="preserve">Planuojamos </w:t>
                          </w:r>
                          <w:r>
                            <w:t>ūkinės veiklos poveikio aplinkai vertinimo įstatymo 3 straipsnio 1 dalį;</w:t>
                          </w:r>
                          <w:r>
                            <w:rPr>
                              <w:bCs/>
                              <w:szCs w:val="24"/>
                              <w:lang w:eastAsia="lt-LT"/>
                            </w:rPr>
                            <w:t>“.</w:t>
                          </w:r>
                        </w:p>
                      </w:sdtContent>
                    </w:sdt>
                  </w:sdtContent>
                </w:sdt>
              </w:sdtContent>
            </w:sdt>
            <w:sdt>
              <w:sdtPr>
                <w:alias w:val="1.3 pp."/>
                <w:tag w:val="part_50a0251131aa44108b6fefa6556dac92"/>
                <w:lock w:val="sdtLocked"/>
                <w:richText/>
              </w:sdtPr>
              <w:sdtContent>
                <w:p>
                  <w:pPr>
                    <w:ind w:firstLine="709"/>
                    <w:jc w:val="both"/>
                    <w:rPr>
                      <w:color w:val="000000"/>
                      <w:kern w:val="1"/>
                      <w:szCs w:val="24"/>
                      <w:lang w:eastAsia="hi-IN" w:bidi="hi-IN"/>
                    </w:rPr>
                  </w:pPr>
                  <w:sdt>
                    <w:sdtPr>
                      <w:alias w:val="Numeris"/>
                      <w:tag w:val="nr_50a0251131aa44108b6fefa6556dac92"/>
                      <w:lock w:val="sdtLocked"/>
                      <w:richText/>
                    </w:sdtPr>
                    <w:sdtContent>
                      <w:r>
                        <w:rPr>
                          <w:color w:val="000000"/>
                          <w:kern w:val="1"/>
                          <w:szCs w:val="24"/>
                          <w:lang w:eastAsia="hi-IN" w:bidi="hi-IN"/>
                        </w:rPr>
                        <w:t>1.3</w:t>
                      </w:r>
                    </w:sdtContent>
                  </w:sdt>
                  <w:r>
                    <w:rPr>
                      <w:color w:val="000000"/>
                      <w:kern w:val="1"/>
                      <w:szCs w:val="24"/>
                      <w:lang w:eastAsia="hi-IN" w:bidi="hi-IN"/>
                    </w:rPr>
                    <w:t>. Pakeičiu 31 punktą ir jį išdėstau taip:</w:t>
                  </w:r>
                </w:p>
                <w:sdt>
                  <w:sdtPr>
                    <w:alias w:val="citata"/>
                    <w:tag w:val="part_263d3f32eb8f4b82a1a5280d2531a4cb"/>
                    <w:lock w:val="sdtLocked"/>
                    <w:richText/>
                  </w:sdtPr>
                  <w:sdtContent>
                    <w:sdt>
                      <w:sdtPr>
                        <w:alias w:val="31 p."/>
                        <w:tag w:val="part_a0b6c5dfc0794ed3b6c19ee827c45ece"/>
                        <w:lock w:val="sdtLocked"/>
                        <w:richText/>
                      </w:sdtPr>
                      <w:sdtContent>
                        <w:p>
                          <w:pPr>
                            <w:ind w:firstLine="709"/>
                            <w:jc w:val="both"/>
                            <w:rPr>
                              <w:color w:val="000000"/>
                              <w:kern w:val="1"/>
                              <w:szCs w:val="24"/>
                              <w:lang w:eastAsia="hi-IN" w:bidi="hi-IN"/>
                            </w:rPr>
                          </w:pPr>
                          <w:r>
                            <w:rPr>
                              <w:color w:val="000000"/>
                              <w:kern w:val="1"/>
                              <w:szCs w:val="24"/>
                              <w:lang w:eastAsia="hi-IN" w:bidi="hi-IN"/>
                            </w:rPr>
                            <w:t>„</w:t>
                          </w:r>
                          <w:sdt>
                            <w:sdtPr>
                              <w:alias w:val="Numeris"/>
                              <w:tag w:val="nr_a0b6c5dfc0794ed3b6c19ee827c45ece"/>
                              <w:lock w:val="sdtLocked"/>
                              <w:richText/>
                            </w:sdtPr>
                            <w:sdtContent>
                              <w:r>
                                <w:rPr>
                                  <w:color w:val="000000"/>
                                </w:rPr>
                                <w:t>31</w:t>
                              </w:r>
                            </w:sdtContent>
                          </w:sdt>
                          <w:r>
                            <w:rPr>
                              <w:color w:val="000000"/>
                            </w:rPr>
                            <w:t xml:space="preserve">. PAV dokumentų rengėjas, parengęs programą, ją pateikia PAV subjektams išvadoms gauti, organizuoja visuomenės informavimo ir dalyvavimo procedūras, nustatytas Tvarkos aprašo V skyriuje ir informuoja Agentūrą apie parengtą programą. Kai planuojamą ūkinę veiklą numatoma įgyvendinti Europos ekologinio tinklo „Natura 2000“ teritorijoje ar jos artimoje aplinkoje, kuri apibrėžta Planuojamos ūkinės veiklos poveikio aplinkai vertinimo įstatymo 2 straipsnio 3 dalyje, o saugomų teritorijų institucija pagal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nuostatas yra nustačiusi, kad planuojamos ūkinės veiklos įgyvendinimas gali daryti poveikį Europos ekologinio tinklo „Natura 2000“ teritorijoms ir šis poveikis gali būti reikšmingas, PAV dokumentų rengėjas parengtą programą teikia </w:t>
                          </w:r>
                          <w:r>
                            <w:rPr>
                              <w:bCs/>
                            </w:rPr>
                            <w:t>išvadą dėl galimo reikšmingo poveikio Europos ekologinio tinklo „Natura 2000“ teritorijoms priėmusiai</w:t>
                          </w:r>
                          <w:r>
                            <w:rPr>
                              <w:color w:val="000000"/>
                            </w:rPr>
                            <w:t xml:space="preserve"> saugomų teritorijų institucijai, kaip PAV subjektui, išvadoms dėl programos gauti.</w:t>
                          </w:r>
                          <w:r>
                            <w:rPr>
                              <w:color w:val="000000"/>
                              <w:kern w:val="1"/>
                              <w:szCs w:val="24"/>
                              <w:lang w:eastAsia="hi-IN" w:bidi="hi-IN"/>
                            </w:rPr>
                            <w:t>“</w:t>
                          </w:r>
                        </w:p>
                      </w:sdtContent>
                    </w:sdt>
                  </w:sdtContent>
                </w:sdt>
              </w:sdtContent>
            </w:sdt>
            <w:sdt>
              <w:sdtPr>
                <w:alias w:val="1.4 pp."/>
                <w:tag w:val="part_b3963f25defa46b6bb250505d01f4006"/>
                <w:lock w:val="sdtLocked"/>
                <w:richText/>
              </w:sdtPr>
              <w:sdtContent>
                <w:p>
                  <w:pPr>
                    <w:ind w:firstLine="709"/>
                    <w:jc w:val="both"/>
                    <w:rPr>
                      <w:kern w:val="1"/>
                      <w:szCs w:val="24"/>
                      <w:lang w:eastAsia="hi-IN" w:bidi="hi-IN"/>
                    </w:rPr>
                  </w:pPr>
                  <w:sdt>
                    <w:sdtPr>
                      <w:alias w:val="Numeris"/>
                      <w:tag w:val="nr_b3963f25defa46b6bb250505d01f4006"/>
                      <w:lock w:val="sdtLocked"/>
                      <w:richText/>
                    </w:sdtPr>
                    <w:sdtContent>
                      <w:r>
                        <w:rPr>
                          <w:color w:val="000000"/>
                          <w:kern w:val="1"/>
                          <w:szCs w:val="24"/>
                          <w:lang w:eastAsia="hi-IN" w:bidi="hi-IN"/>
                        </w:rPr>
                        <w:t>1.4</w:t>
                      </w:r>
                    </w:sdtContent>
                  </w:sdt>
                  <w:r>
                    <w:rPr>
                      <w:color w:val="000000"/>
                      <w:kern w:val="1"/>
                      <w:szCs w:val="24"/>
                      <w:lang w:eastAsia="hi-IN" w:bidi="hi-IN"/>
                    </w:rPr>
                    <w:t>.P</w:t>
                  </w:r>
                  <w:r>
                    <w:rPr>
                      <w:color w:val="000000"/>
                      <w:szCs w:val="24"/>
                      <w:shd w:val="clear" w:color="auto" w:fill="FFFFFF"/>
                      <w:lang w:eastAsia="ar-SA"/>
                    </w:rPr>
                    <w:t xml:space="preserve">akeičiu 42 punktą </w:t>
                  </w:r>
                  <w:r>
                    <w:rPr>
                      <w:kern w:val="1"/>
                      <w:szCs w:val="24"/>
                      <w:lang w:eastAsia="hi-IN" w:bidi="hi-IN"/>
                    </w:rPr>
                    <w:t>ir jį išdėstau taip:</w:t>
                  </w:r>
                </w:p>
                <w:sdt>
                  <w:sdtPr>
                    <w:alias w:val="citata"/>
                    <w:tag w:val="part_74996cab599e4ddeb7dcced6c6eb7ad5"/>
                    <w:lock w:val="sdtLocked"/>
                    <w:richText/>
                  </w:sdtPr>
                  <w:sdtContent>
                    <w:sdt>
                      <w:sdtPr>
                        <w:alias w:val="42 p."/>
                        <w:tag w:val="part_412618f9048847fc9af9694e2bb27193"/>
                        <w:lock w:val="sdtLocked"/>
                        <w:richText/>
                      </w:sdtPr>
                      <w:sdtContent>
                        <w:p>
                          <w:pPr>
                            <w:suppressAutoHyphens/>
                            <w:ind w:firstLine="709"/>
                            <w:jc w:val="both"/>
                            <w:rPr>
                              <w:kern w:val="1"/>
                              <w:szCs w:val="24"/>
                              <w:lang w:eastAsia="hi-IN" w:bidi="hi-IN"/>
                            </w:rPr>
                          </w:pPr>
                          <w:r>
                            <w:rPr>
                              <w:kern w:val="1"/>
                              <w:szCs w:val="24"/>
                              <w:lang w:eastAsia="hi-IN" w:bidi="hi-IN"/>
                            </w:rPr>
                            <w:t>„</w:t>
                          </w:r>
                          <w:sdt>
                            <w:sdtPr>
                              <w:alias w:val="Numeris"/>
                              <w:tag w:val="nr_412618f9048847fc9af9694e2bb27193"/>
                              <w:lock w:val="sdtLocked"/>
                              <w:richText/>
                            </w:sdtPr>
                            <w:sdtContent>
                              <w:r>
                                <w:rPr>
                                  <w:szCs w:val="24"/>
                                  <w:lang w:eastAsia="lt-LT"/>
                                </w:rPr>
                                <w:t>42</w:t>
                              </w:r>
                            </w:sdtContent>
                          </w:sdt>
                          <w:r>
                            <w:rPr>
                              <w:szCs w:val="24"/>
                              <w:lang w:eastAsia="lt-LT"/>
                            </w:rPr>
                            <w:t xml:space="preserve">. Agentūra, pasibaigus pasiūlymų teikimo terminui, išnagrinėja ataskaitą, PAV subjektų išvadas, gautus suinteresuotos visuomenės pasiūlymus, suinteresuotos visuomenės pasiūlymų įvertinimą, patikrina, ar ataskaitos viešinimo ir visuomenės informavimo procedūros atliktos pagal Planuojamos </w:t>
                          </w:r>
                          <w:r>
                            <w:t>ūkinės veiklos poveikio aplinkai vertinimo įstatymo</w:t>
                          </w:r>
                          <w:r>
                            <w:rPr>
                              <w:szCs w:val="24"/>
                              <w:lang w:eastAsia="lt-LT"/>
                            </w:rPr>
                            <w:t xml:space="preserve"> ir Tvarkos aprašo reikalavimus, prireikus Tvarkos aprašo 43 punkte nurodytais atvejais organizuoja pasitarimą Agentūros darbo laiku, parengia pasitarimo protokolą ir ne vėliau kaip per 25 darbo dienas nuo ataskaitos gavimo dienos, remdamasi PAV subjektų išvadomis ir PAV proceso metu gauta informacija, priima sprendimą dėl planuojamos ūkinės veiklos poveikio aplinkai (4 priedas), arba raštu pareikalauja, kad PAV dokumentų rengėjas papildytų ar pataisytų ataskaitą pagal motyvuotus reikalavimus ir (ar) pridedamą protokolą. Tvarkos aprašo 4 priede nustatytos formos sprendimas rašomas ant Agentūros blanko. Agentūra pataisytą ir papildytą ataskaitą išnagrinėja ir sprendimą (4 priedas) priima per 15 darbo dienų nuo jos gavimo dienos arba gali pakartotinai teikti motyvuotus reikalavimus pataisyti ar papildyti ataskaitą, nereikalaudama informacijos ir (ar) duomenų, kurių nenurodė pirmą kartą nagrinėdami PAV ataskaitą, tačiau galėjo jų pareikalauti vadovaujantis Planuojamos ūkinės veiklos poveikio aplinkai vertinimo įstatymo 6 straipsnio 7 dalies nuostatomis. Agentūra sprendimą raštu pateikia planuojamos ūkinės veiklos organizatoriui, PAV dokumentų rengėjui ir PAV subjektams, Tvarkos aprašo V skyriaus 87 punkte nustatyta tvarka jį paskelbia visuomenei susipažinti. Rašte PAV subjektams Agentūra pateikia nuorodą į savo interneto svetainę, kurioje paskelbta Tvarkos aprašo 87 punkte nurodyta informacija.</w:t>
                          </w:r>
                          <w:r>
                            <w:rPr>
                              <w:kern w:val="1"/>
                              <w:szCs w:val="24"/>
                              <w:lang w:eastAsia="hi-IN" w:bidi="hi-IN"/>
                            </w:rPr>
                            <w:t>“</w:t>
                          </w:r>
                        </w:p>
                      </w:sdtContent>
                    </w:sdt>
                  </w:sdtContent>
                </w:sdt>
              </w:sdtContent>
            </w:sdt>
            <w:sdt>
              <w:sdtPr>
                <w:alias w:val="1.5 pp."/>
                <w:tag w:val="part_fce86f10d424481cb70c43f2e960efb0"/>
                <w:lock w:val="sdtLocked"/>
                <w:richText/>
              </w:sdtPr>
              <w:sdtContent>
                <w:p>
                  <w:pPr>
                    <w:widowControl w:val="0"/>
                    <w:suppressAutoHyphens/>
                    <w:ind w:firstLine="709"/>
                    <w:jc w:val="both"/>
                    <w:rPr>
                      <w:kern w:val="1"/>
                      <w:szCs w:val="24"/>
                      <w:lang w:eastAsia="hi-IN" w:bidi="hi-IN"/>
                    </w:rPr>
                  </w:pPr>
                  <w:sdt>
                    <w:sdtPr>
                      <w:alias w:val="Numeris"/>
                      <w:tag w:val="nr_fce86f10d424481cb70c43f2e960efb0"/>
                      <w:lock w:val="sdtLocked"/>
                      <w:richText/>
                    </w:sdtPr>
                    <w:sdtContent>
                      <w:r>
                        <w:rPr>
                          <w:color w:val="000000"/>
                          <w:kern w:val="1"/>
                          <w:szCs w:val="24"/>
                          <w:lang w:eastAsia="hi-IN" w:bidi="hi-IN"/>
                        </w:rPr>
                        <w:t>1.5</w:t>
                      </w:r>
                    </w:sdtContent>
                  </w:sdt>
                  <w:r>
                    <w:rPr>
                      <w:color w:val="000000"/>
                      <w:kern w:val="1"/>
                      <w:szCs w:val="24"/>
                      <w:lang w:eastAsia="hi-IN" w:bidi="hi-IN"/>
                    </w:rPr>
                    <w:t>. P</w:t>
                  </w:r>
                  <w:r>
                    <w:rPr>
                      <w:color w:val="000000"/>
                      <w:szCs w:val="24"/>
                      <w:shd w:val="clear" w:color="auto" w:fill="FFFFFF"/>
                      <w:lang w:eastAsia="ar-SA"/>
                    </w:rPr>
                    <w:t xml:space="preserve">akeičiu 44 punktą </w:t>
                  </w:r>
                  <w:r>
                    <w:rPr>
                      <w:kern w:val="1"/>
                      <w:szCs w:val="24"/>
                      <w:lang w:eastAsia="hi-IN" w:bidi="hi-IN"/>
                    </w:rPr>
                    <w:t>ir jį išdėstau taip:</w:t>
                  </w:r>
                </w:p>
                <w:sdt>
                  <w:sdtPr>
                    <w:alias w:val="citata"/>
                    <w:tag w:val="part_86a41ceb3f99420693f72b708b5b7190"/>
                    <w:lock w:val="sdtLocked"/>
                    <w:richText/>
                  </w:sdtPr>
                  <w:sdtContent>
                    <w:sdt>
                      <w:sdtPr>
                        <w:alias w:val="44 p."/>
                        <w:tag w:val="part_20ae6d09f12c42a1917cb6b3bd501704"/>
                        <w:lock w:val="sdtLocked"/>
                        <w:richText/>
                      </w:sdtPr>
                      <w:sdtContent>
                        <w:p>
                          <w:pPr>
                            <w:widowControl w:val="0"/>
                            <w:suppressAutoHyphens/>
                            <w:ind w:firstLine="709"/>
                            <w:jc w:val="both"/>
                            <w:rPr>
                              <w:color w:val="000000"/>
                              <w:kern w:val="1"/>
                              <w:szCs w:val="24"/>
                              <w:lang w:eastAsia="hi-IN" w:bidi="hi-IN"/>
                            </w:rPr>
                          </w:pPr>
                          <w:r>
                            <w:rPr>
                              <w:szCs w:val="24"/>
                              <w:lang w:eastAsia="lt-LT"/>
                            </w:rPr>
                            <w:t>„</w:t>
                          </w:r>
                          <w:sdt>
                            <w:sdtPr>
                              <w:alias w:val="Numeris"/>
                              <w:tag w:val="nr_20ae6d09f12c42a1917cb6b3bd501704"/>
                              <w:lock w:val="sdtLocked"/>
                              <w:richText/>
                            </w:sdtPr>
                            <w:sdtContent>
                              <w:r>
                                <w:rPr>
                                  <w:szCs w:val="24"/>
                                  <w:lang w:eastAsia="lt-LT"/>
                                </w:rPr>
                                <w:t>44</w:t>
                              </w:r>
                            </w:sdtContent>
                          </w:sdt>
                          <w:r>
                            <w:rPr>
                              <w:szCs w:val="24"/>
                              <w:lang w:eastAsia="lt-LT"/>
                            </w:rPr>
                            <w:t xml:space="preserve">. Agentūra, atsižvelgdama į planuojamos ūkinės veiklos pobūdį, mastą ar vietos ypatumus, turi teisę per 20 darbo dienų nuo ataskaitos gavimo dienos į PAV procesą PAV subjekto teisėmis motyvuotu raštu pakviesti kitas valstybės institucijas, šioms institucijoms nusiunčia ataskaitą (skaitmeniniu formatu) prašydama per 20 darbo dienų nuo ataskaitos gavimo dienos pateikti motyvuotas išvadas dėl ataskaitos ir planuojamos ūkinės veiklos poveikio aplinkai Agentūrai ir PAV dokumentų rengėjui, raštu informuoja PAV dokumentų rengėją ir planuojamos ūkinės veiklos organizatorių, kokios kitos valstybės institucijos, vadovaujantis Planuojamos ūkinės veiklos poveikio aplinkai vertinimo įstatymo 5 straipsnio 2 dalimi pakviestos dalyvauti PAV procese. PAV dokumentų rengėjas pagal papildomų PAV subjektų gautas motyvuotas išvadas papildo ir pataiso ataskaitą ir ją pakartotinai pateikia šiems PAV subjektams išvadoms gauti, kurie motyvuotas išvadas pateikia per 10 darbo dienų nuo jos gavimo institucijoje dienos, nereikalaudami informacijos ir (ar) duomenų, kurių nenurodė pirmą kartą nagrinėdami ataskaitą, tačiau galėjo jų pareikalauti. Jei </w:t>
                          </w:r>
                          <w:r>
                            <w:rPr>
                              <w:color w:val="000000"/>
                            </w:rPr>
                            <w:t xml:space="preserve">kitos valstybės institucijos, </w:t>
                          </w:r>
                          <w:r>
                            <w:rPr>
                              <w:szCs w:val="24"/>
                              <w:lang w:eastAsia="lt-LT"/>
                            </w:rPr>
                            <w:t>Planuojamos ūkinės veiklos poveikio aplinkai vertinimo įstatymo 5 straipsnio 2 dalimi</w:t>
                          </w:r>
                          <w:r>
                            <w:rPr>
                              <w:color w:val="000000"/>
                            </w:rPr>
                            <w:t xml:space="preserve"> nustatyta tvarka pakviestos dalyvauti</w:t>
                          </w:r>
                          <w:r>
                            <w:rPr>
                              <w:szCs w:val="24"/>
                              <w:lang w:eastAsia="lt-LT"/>
                            </w:rPr>
                            <w:t xml:space="preserve"> PAV procese, nepateikia išvadų per nustatytus terminus, laikoma, kad jos ataskaitai pritaria. PAV dokumentų rengėjas papildytą ir pataisytą ataskaitą teikia Agentūrai, kuri ją nagrinėja Tvarkos aprašo 42 punkte nustatyta tvarka.“</w:t>
                          </w:r>
                        </w:p>
                      </w:sdtContent>
                    </w:sdt>
                  </w:sdtContent>
                </w:sdt>
              </w:sdtContent>
            </w:sdt>
            <w:sdt>
              <w:sdtPr>
                <w:alias w:val="1.6 pp."/>
                <w:tag w:val="part_ff4134cffd334cf8ac871e914938c5be"/>
                <w:lock w:val="sdtLocked"/>
                <w:richText/>
              </w:sdtPr>
              <w:sdtContent>
                <w:p>
                  <w:pPr>
                    <w:widowControl w:val="0"/>
                    <w:suppressAutoHyphens/>
                    <w:ind w:firstLine="709"/>
                    <w:jc w:val="both"/>
                    <w:rPr>
                      <w:kern w:val="1"/>
                      <w:szCs w:val="24"/>
                      <w:lang w:eastAsia="hi-IN" w:bidi="hi-IN"/>
                    </w:rPr>
                  </w:pPr>
                  <w:sdt>
                    <w:sdtPr>
                      <w:alias w:val="Numeris"/>
                      <w:tag w:val="nr_ff4134cffd334cf8ac871e914938c5be"/>
                      <w:lock w:val="sdtLocked"/>
                      <w:richText/>
                    </w:sdtPr>
                    <w:sdtContent>
                      <w:r>
                        <w:rPr>
                          <w:color w:val="000000"/>
                          <w:kern w:val="1"/>
                          <w:szCs w:val="24"/>
                          <w:lang w:eastAsia="hi-IN" w:bidi="hi-IN"/>
                        </w:rPr>
                        <w:t>1.6</w:t>
                      </w:r>
                    </w:sdtContent>
                  </w:sdt>
                  <w:r>
                    <w:rPr>
                      <w:color w:val="000000"/>
                      <w:kern w:val="1"/>
                      <w:szCs w:val="24"/>
                      <w:lang w:eastAsia="hi-IN" w:bidi="hi-IN"/>
                    </w:rPr>
                    <w:t>. P</w:t>
                  </w:r>
                  <w:r>
                    <w:rPr>
                      <w:color w:val="000000"/>
                      <w:szCs w:val="24"/>
                      <w:shd w:val="clear" w:color="auto" w:fill="FFFFFF"/>
                      <w:lang w:eastAsia="ar-SA"/>
                    </w:rPr>
                    <w:t xml:space="preserve">akeičiu 47 punktą </w:t>
                  </w:r>
                  <w:r>
                    <w:rPr>
                      <w:kern w:val="1"/>
                      <w:szCs w:val="24"/>
                      <w:lang w:eastAsia="hi-IN" w:bidi="hi-IN"/>
                    </w:rPr>
                    <w:t>ir jį išdėstau taip:</w:t>
                  </w:r>
                </w:p>
                <w:sdt>
                  <w:sdtPr>
                    <w:alias w:val="citata"/>
                    <w:tag w:val="part_6bfbb9cc607644e68a7e9761c577a0ee"/>
                    <w:lock w:val="sdtLocked"/>
                    <w:richText/>
                  </w:sdtPr>
                  <w:sdtContent>
                    <w:sdt>
                      <w:sdtPr>
                        <w:alias w:val="47 p."/>
                        <w:tag w:val="part_221ed3a9b29048b9b338352664943681"/>
                        <w:lock w:val="sdtLocked"/>
                        <w:richText/>
                      </w:sdtPr>
                      <w:sdtContent>
                        <w:p>
                          <w:pPr>
                            <w:widowControl w:val="0"/>
                            <w:suppressAutoHyphens/>
                            <w:ind w:firstLine="709"/>
                            <w:jc w:val="both"/>
                            <w:rPr>
                              <w:color w:val="000000"/>
                              <w:szCs w:val="24"/>
                              <w:shd w:val="clear" w:color="auto" w:fill="FFFFFF"/>
                              <w:lang w:eastAsia="ar-SA"/>
                            </w:rPr>
                          </w:pPr>
                          <w:r>
                            <w:rPr>
                              <w:kern w:val="1"/>
                              <w:szCs w:val="24"/>
                              <w:lang w:eastAsia="hi-IN" w:bidi="hi-IN"/>
                            </w:rPr>
                            <w:t>„</w:t>
                          </w:r>
                          <w:sdt>
                            <w:sdtPr>
                              <w:alias w:val="Numeris"/>
                              <w:tag w:val="nr_221ed3a9b29048b9b338352664943681"/>
                              <w:lock w:val="sdtLocked"/>
                              <w:richText/>
                            </w:sdtPr>
                            <w:sdtContent>
                              <w:r>
                                <w:rPr>
                                  <w:color w:val="000000"/>
                                </w:rPr>
                                <w:t>47</w:t>
                              </w:r>
                            </w:sdtContent>
                          </w:sdt>
                          <w:r>
                            <w:rPr>
                              <w:color w:val="000000"/>
                            </w:rPr>
                            <w:t>. Kai planuojamai ūkinei veiklai taikomos konsultavimosi su Europos Komisija procedūros Planuojamos ūkinės veiklos poveikio aplinkai vertinimo įstatymo 11 straipsnio 8 dalyje nustatytais atvejais, Agentūra sprendimą dėl planuojamos ūkinės veiklos poveikio aplinkai priima ne vėliau kaip per 10 darbo dienų po Valstybinės saugomų teritorijų tarnybos prie Aplinkos ministerijos (toliau – VSTT) išvados ir Europos Komisijos išankstinės nuomonės gavimo. Apie šį sprendimą Agentūra informuoja VSTT Kompensacinių priemonių bendram „Natura 2000“ tinklo vientisumui išsaugoti taikymo, informacijos apie patvirtintas kompensacines priemones teikimo Europos Komisijai ir kreipimosi į Europos Komisiją dėl jos nuomonės tvarkos aprašo, patvirtinto Lietuvos Respublikos aplinkos ministro 2010 m. lapkričio 30 d. įsakymu Nr. D1-959 „Dėl Kompensacinių priemonių bendram „Natura 2000“ tinklo vientisumui išsaugoti taikymo, informacijos apie patvirtintas kompensacines priemones teikimo Europos Komisijai ir kreipimosi į Europos Komisiją dėl jos nuomonės tvarkos aprašo patvirtinimo“, nustatyta tvarka.“</w:t>
                          </w:r>
                        </w:p>
                      </w:sdtContent>
                    </w:sdt>
                  </w:sdtContent>
                </w:sdt>
              </w:sdtContent>
            </w:sdt>
            <w:sdt>
              <w:sdtPr>
                <w:alias w:val="1.7 pp."/>
                <w:tag w:val="part_0125c4b996404abb89112c7081f2863f"/>
                <w:lock w:val="sdtLocked"/>
                <w:richText/>
              </w:sdtPr>
              <w:sdtContent>
                <w:p>
                  <w:pPr>
                    <w:widowControl w:val="0"/>
                    <w:suppressAutoHyphens/>
                    <w:ind w:firstLine="709"/>
                    <w:jc w:val="both"/>
                    <w:rPr>
                      <w:color w:val="000000"/>
                      <w:kern w:val="1"/>
                      <w:szCs w:val="24"/>
                      <w:lang w:eastAsia="hi-IN" w:bidi="hi-IN"/>
                    </w:rPr>
                  </w:pPr>
                  <w:sdt>
                    <w:sdtPr>
                      <w:alias w:val="Numeris"/>
                      <w:tag w:val="nr_0125c4b996404abb89112c7081f2863f"/>
                      <w:lock w:val="sdtLocked"/>
                      <w:richText/>
                    </w:sdtPr>
                    <w:sdtContent>
                      <w:r>
                        <w:rPr>
                          <w:color w:val="000000"/>
                          <w:szCs w:val="24"/>
                          <w:shd w:val="clear" w:color="auto" w:fill="FFFFFF"/>
                          <w:lang w:eastAsia="ar-SA"/>
                        </w:rPr>
                        <w:t>1.7</w:t>
                      </w:r>
                    </w:sdtContent>
                  </w:sdt>
                  <w:r>
                    <w:rPr>
                      <w:color w:val="000000"/>
                      <w:szCs w:val="24"/>
                      <w:shd w:val="clear" w:color="auto" w:fill="FFFFFF"/>
                      <w:lang w:eastAsia="ar-SA"/>
                    </w:rPr>
                    <w:t>. Papildau</w:t>
                  </w:r>
                  <w:r>
                    <w:rPr>
                      <w:szCs w:val="24"/>
                      <w:lang w:eastAsia="lt-LT"/>
                    </w:rPr>
                    <w:t xml:space="preserve"> 47</w:t>
                  </w:r>
                  <w:r>
                    <w:rPr>
                      <w:szCs w:val="24"/>
                      <w:vertAlign w:val="superscript"/>
                      <w:lang w:eastAsia="lt-LT"/>
                    </w:rPr>
                    <w:t>1</w:t>
                  </w:r>
                  <w:r>
                    <w:rPr>
                      <w:szCs w:val="24"/>
                      <w:lang w:eastAsia="lt-LT"/>
                    </w:rPr>
                    <w:t xml:space="preserve"> punktu:</w:t>
                  </w:r>
                </w:p>
                <w:sdt>
                  <w:sdtPr>
                    <w:alias w:val="citata"/>
                    <w:tag w:val="part_692ed2b2b7a043e5aae950955c13e52f"/>
                    <w:lock w:val="sdtLocked"/>
                    <w:richText/>
                  </w:sdtPr>
                  <w:sdtContent>
                    <w:sdt>
                      <w:sdtPr>
                        <w:alias w:val="47-1 p."/>
                        <w:tag w:val="part_aa5212ecf49640e7840a47c9916c24b0"/>
                        <w:lock w:val="sdtLocked"/>
                        <w:richText/>
                      </w:sdtPr>
                      <w:sdtContent>
                        <w:p>
                          <w:pPr>
                            <w:widowControl w:val="0"/>
                            <w:suppressAutoHyphens/>
                            <w:ind w:firstLine="709"/>
                            <w:jc w:val="both"/>
                            <w:rPr>
                              <w:szCs w:val="24"/>
                              <w:lang w:eastAsia="lt-LT"/>
                            </w:rPr>
                          </w:pPr>
                          <w:r>
                            <w:rPr>
                              <w:color w:val="000000"/>
                              <w:kern w:val="1"/>
                              <w:szCs w:val="24"/>
                              <w:lang w:eastAsia="hi-IN" w:bidi="hi-IN"/>
                            </w:rPr>
                            <w:t>„</w:t>
                          </w:r>
                          <w:sdt>
                            <w:sdtPr>
                              <w:alias w:val="Numeris"/>
                              <w:tag w:val="nr_aa5212ecf49640e7840a47c9916c24b0"/>
                              <w:lock w:val="sdtLocked"/>
                              <w:richText/>
                            </w:sdtPr>
                            <w:sdtContent>
                              <w:r>
                                <w:rPr>
                                  <w:color w:val="000000"/>
                                  <w:kern w:val="1"/>
                                  <w:szCs w:val="24"/>
                                  <w:lang w:eastAsia="hi-IN" w:bidi="hi-IN"/>
                                </w:rPr>
                                <w:t>47</w:t>
                              </w:r>
                              <w:r>
                                <w:rPr>
                                  <w:color w:val="000000"/>
                                  <w:kern w:val="1"/>
                                  <w:szCs w:val="24"/>
                                  <w:vertAlign w:val="superscript"/>
                                  <w:lang w:eastAsia="hi-IN" w:bidi="hi-IN"/>
                                </w:rPr>
                                <w:t>1</w:t>
                              </w:r>
                            </w:sdtContent>
                          </w:sdt>
                          <w:r>
                            <w:rPr>
                              <w:color w:val="000000"/>
                              <w:kern w:val="1"/>
                              <w:szCs w:val="24"/>
                              <w:lang w:eastAsia="hi-IN" w:bidi="hi-IN"/>
                            </w:rPr>
                            <w:t xml:space="preserve">. </w:t>
                          </w:r>
                          <w:r>
                            <w:rPr>
                              <w:szCs w:val="24"/>
                              <w:lang w:eastAsia="lt-LT"/>
                            </w:rPr>
                            <w:t xml:space="preserve">Kai Agentūra dėl ataskaitos viešinimo ir visuomenės informavimo procedūrų pažeidimo įpareigoja </w:t>
                          </w:r>
                          <w:r>
                            <w:rPr>
                              <w:color w:val="000000"/>
                            </w:rPr>
                            <w:t>PAV dokumentų rengėją</w:t>
                          </w:r>
                          <w:r>
                            <w:rPr>
                              <w:szCs w:val="24"/>
                              <w:lang w:eastAsia="lt-LT"/>
                            </w:rPr>
                            <w:t xml:space="preserve"> atlikti pakartotinį viešą visuomenės supažindinimą su ataskaita Tvarkos aprašo 38 punkte nustatyta tvarka, </w:t>
                          </w:r>
                          <w:r>
                            <w:rPr>
                              <w:color w:val="000000"/>
                            </w:rPr>
                            <w:t>PAV dokumentų rengėjas privalo gauti naujas PAV subjektų išvadas tik</w:t>
                          </w:r>
                          <w:r>
                            <w:rPr>
                              <w:szCs w:val="24"/>
                              <w:lang w:eastAsia="lt-LT"/>
                            </w:rPr>
                            <w:t xml:space="preserve"> Planuojamos ūkinės veiklos poveikio aplinkai vertinimo įstatymo 10 straipsnio 11 dalyje nustatytais atvejais.“</w:t>
                          </w:r>
                        </w:p>
                      </w:sdtContent>
                    </w:sdt>
                  </w:sdtContent>
                </w:sdt>
              </w:sdtContent>
            </w:sdt>
            <w:sdt>
              <w:sdtPr>
                <w:alias w:val="1.8 pp."/>
                <w:tag w:val="part_a3351cf89ff54fa19afba60e26082c90"/>
                <w:lock w:val="sdtLocked"/>
                <w:richText/>
              </w:sdtPr>
              <w:sdtContent>
                <w:p>
                  <w:pPr>
                    <w:widowControl w:val="0"/>
                    <w:suppressAutoHyphens/>
                    <w:ind w:firstLine="709"/>
                    <w:jc w:val="both"/>
                    <w:rPr>
                      <w:szCs w:val="24"/>
                      <w:lang w:eastAsia="lt-LT"/>
                    </w:rPr>
                  </w:pPr>
                  <w:sdt>
                    <w:sdtPr>
                      <w:alias w:val="Numeris"/>
                      <w:tag w:val="nr_a3351cf89ff54fa19afba60e26082c90"/>
                      <w:lock w:val="sdtLocked"/>
                      <w:richText/>
                    </w:sdtPr>
                    <w:sdtContent>
                      <w:r>
                        <w:rPr>
                          <w:szCs w:val="24"/>
                          <w:lang w:eastAsia="lt-LT"/>
                        </w:rPr>
                        <w:t>1.8</w:t>
                      </w:r>
                    </w:sdtContent>
                  </w:sdt>
                  <w:r>
                    <w:rPr>
                      <w:szCs w:val="24"/>
                      <w:lang w:eastAsia="lt-LT"/>
                    </w:rPr>
                    <w:t>. Papildau 47</w:t>
                  </w:r>
                  <w:r>
                    <w:rPr>
                      <w:szCs w:val="24"/>
                      <w:vertAlign w:val="superscript"/>
                      <w:lang w:eastAsia="lt-LT"/>
                    </w:rPr>
                    <w:t>2</w:t>
                  </w:r>
                  <w:r>
                    <w:rPr>
                      <w:szCs w:val="24"/>
                      <w:lang w:eastAsia="lt-LT"/>
                    </w:rPr>
                    <w:t xml:space="preserve"> punktu:</w:t>
                  </w:r>
                </w:p>
                <w:sdt>
                  <w:sdtPr>
                    <w:alias w:val="citata"/>
                    <w:tag w:val="part_d556d2952af84c209785bc7de4201105"/>
                    <w:lock w:val="sdtLocked"/>
                    <w:richText/>
                  </w:sdtPr>
                  <w:sdtContent>
                    <w:sdt>
                      <w:sdtPr>
                        <w:alias w:val="47-2 p."/>
                        <w:tag w:val="part_a541481fd53a49f28b2b44afdcd4e01d"/>
                        <w:lock w:val="sdtLocked"/>
                        <w:richText/>
                      </w:sdtPr>
                      <w:sdtContent>
                        <w:p>
                          <w:pPr>
                            <w:widowControl w:val="0"/>
                            <w:suppressAutoHyphens/>
                            <w:ind w:firstLine="709"/>
                            <w:jc w:val="both"/>
                            <w:rPr>
                              <w:color w:val="000000"/>
                              <w:kern w:val="1"/>
                              <w:szCs w:val="24"/>
                              <w:lang w:eastAsia="hi-IN" w:bidi="hi-IN"/>
                            </w:rPr>
                          </w:pPr>
                          <w:r>
                            <w:rPr>
                              <w:color w:val="000000"/>
                              <w:kern w:val="1"/>
                              <w:szCs w:val="24"/>
                              <w:lang w:eastAsia="hi-IN" w:bidi="hi-IN"/>
                            </w:rPr>
                            <w:t>„</w:t>
                          </w:r>
                          <w:sdt>
                            <w:sdtPr>
                              <w:alias w:val="Numeris"/>
                              <w:tag w:val="nr_a541481fd53a49f28b2b44afdcd4e01d"/>
                              <w:lock w:val="sdtLocked"/>
                              <w:richText/>
                            </w:sdtPr>
                            <w:sdtContent>
                              <w:r>
                                <w:rPr>
                                  <w:color w:val="000000"/>
                                  <w:kern w:val="1"/>
                                  <w:szCs w:val="24"/>
                                  <w:lang w:eastAsia="hi-IN" w:bidi="hi-IN"/>
                                </w:rPr>
                                <w:t>47</w:t>
                              </w:r>
                              <w:r>
                                <w:rPr>
                                  <w:color w:val="000000"/>
                                  <w:kern w:val="1"/>
                                  <w:szCs w:val="24"/>
                                  <w:vertAlign w:val="superscript"/>
                                  <w:lang w:eastAsia="hi-IN" w:bidi="hi-IN"/>
                                </w:rPr>
                                <w:t>2</w:t>
                              </w:r>
                            </w:sdtContent>
                          </w:sdt>
                          <w:r>
                            <w:rPr>
                              <w:color w:val="000000"/>
                              <w:kern w:val="1"/>
                              <w:szCs w:val="24"/>
                              <w:lang w:eastAsia="hi-IN" w:bidi="hi-IN"/>
                            </w:rPr>
                            <w:t xml:space="preserve">. </w:t>
                          </w:r>
                          <w:r>
                            <w:rPr>
                              <w:szCs w:val="24"/>
                              <w:lang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objekto vietos alternatyva, viešinimo procedūros atliekamos tik tos teritorijos administruojančios savivaldybės (-ių) ar seniūnijos (-ų) patalpose arba kitoje PAV dokumentų rengėjo pasirinktoje, su seniūnija arba savivaldybe suderintoje vietoje.“</w:t>
                          </w:r>
                        </w:p>
                      </w:sdtContent>
                    </w:sdt>
                  </w:sdtContent>
                </w:sdt>
              </w:sdtContent>
            </w:sdt>
            <w:sdt>
              <w:sdtPr>
                <w:alias w:val="1.9 pp."/>
                <w:tag w:val="part_9fa80593cace4f38953ccfff7ab6e6a4"/>
                <w:lock w:val="sdtLocked"/>
                <w:richText/>
              </w:sdtPr>
              <w:sdtContent>
                <w:p>
                  <w:pPr>
                    <w:widowControl w:val="0"/>
                    <w:suppressAutoHyphens/>
                    <w:ind w:firstLine="709"/>
                    <w:jc w:val="both"/>
                    <w:rPr>
                      <w:kern w:val="1"/>
                      <w:szCs w:val="24"/>
                      <w:lang w:eastAsia="hi-IN" w:bidi="hi-IN"/>
                    </w:rPr>
                  </w:pPr>
                  <w:sdt>
                    <w:sdtPr>
                      <w:alias w:val="Numeris"/>
                      <w:tag w:val="nr_9fa80593cace4f38953ccfff7ab6e6a4"/>
                      <w:lock w:val="sdtLocked"/>
                      <w:richText/>
                    </w:sdtPr>
                    <w:sdtContent>
                      <w:r>
                        <w:rPr>
                          <w:color w:val="000000"/>
                          <w:kern w:val="1"/>
                          <w:szCs w:val="24"/>
                          <w:lang w:eastAsia="hi-IN" w:bidi="hi-IN"/>
                        </w:rPr>
                        <w:t>1.9</w:t>
                      </w:r>
                    </w:sdtContent>
                  </w:sdt>
                  <w:r>
                    <w:rPr>
                      <w:color w:val="000000"/>
                      <w:kern w:val="1"/>
                      <w:szCs w:val="24"/>
                      <w:lang w:eastAsia="hi-IN" w:bidi="hi-IN"/>
                    </w:rPr>
                    <w:t xml:space="preserve">. </w:t>
                  </w:r>
                  <w:r>
                    <w:rPr>
                      <w:color w:val="000000"/>
                      <w:szCs w:val="24"/>
                      <w:shd w:val="clear" w:color="auto" w:fill="FFFFFF"/>
                      <w:lang w:eastAsia="ar-SA"/>
                    </w:rPr>
                    <w:t xml:space="preserve">Pakeičiu 56 punktą </w:t>
                  </w:r>
                  <w:r>
                    <w:rPr>
                      <w:kern w:val="1"/>
                      <w:szCs w:val="24"/>
                      <w:lang w:eastAsia="hi-IN" w:bidi="hi-IN"/>
                    </w:rPr>
                    <w:t>ir jį išdėstau taip:</w:t>
                  </w:r>
                </w:p>
                <w:sdt>
                  <w:sdtPr>
                    <w:alias w:val="citata"/>
                    <w:tag w:val="part_206fb4f402ca41a69dbd6642f574ec4a"/>
                    <w:lock w:val="sdtLocked"/>
                    <w:richText/>
                  </w:sdtPr>
                  <w:sdtContent>
                    <w:sdt>
                      <w:sdtPr>
                        <w:alias w:val="56 p."/>
                        <w:tag w:val="part_09f1514af7614aa888b684b8228fffcc"/>
                        <w:lock w:val="sdtLocked"/>
                        <w:richText/>
                      </w:sdtPr>
                      <w:sdtContent>
                        <w:p>
                          <w:pPr>
                            <w:suppressAutoHyphens/>
                            <w:ind w:firstLine="709"/>
                            <w:jc w:val="both"/>
                            <w:rPr>
                              <w:kern w:val="1"/>
                              <w:szCs w:val="24"/>
                              <w:lang w:eastAsia="hi-IN" w:bidi="hi-IN"/>
                            </w:rPr>
                          </w:pPr>
                          <w:r>
                            <w:rPr>
                              <w:kern w:val="1"/>
                              <w:szCs w:val="24"/>
                              <w:lang w:eastAsia="hi-IN" w:bidi="hi-IN"/>
                            </w:rPr>
                            <w:t>„</w:t>
                          </w:r>
                          <w:sdt>
                            <w:sdtPr>
                              <w:alias w:val="Numeris"/>
                              <w:tag w:val="nr_09f1514af7614aa888b684b8228fffcc"/>
                              <w:lock w:val="sdtLocked"/>
                              <w:richText/>
                            </w:sdtPr>
                            <w:sdtContent>
                              <w:r>
                                <w:rPr>
                                  <w:szCs w:val="24"/>
                                  <w:lang w:eastAsia="lt-LT"/>
                                </w:rPr>
                                <w:t>56</w:t>
                              </w:r>
                            </w:sdtContent>
                          </w:sdt>
                          <w:r>
                            <w:rPr>
                              <w:szCs w:val="24"/>
                              <w:lang w:eastAsia="lt-LT"/>
                            </w:rPr>
                            <w:t>.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t xml:space="preserve"> Sprendime turi būti nurodomos</w:t>
                          </w:r>
                          <w:r>
                            <w:rPr>
                              <w:szCs w:val="24"/>
                              <w:lang w:eastAsia="lt-LT"/>
                            </w:rPr>
                            <w:t xml:space="preserve"> priežastys ir motyvai, kuriais pagrįstas šis sprendimas ir kaip buvo atsižvelgta į tarpvalstybinių konsultacijų rezultatus dėl planuojamos ūkinės veiklos.</w:t>
                          </w:r>
                          <w:r>
                            <w:rPr>
                              <w:kern w:val="1"/>
                              <w:szCs w:val="24"/>
                              <w:lang w:eastAsia="hi-IN" w:bidi="hi-IN"/>
                            </w:rPr>
                            <w:t>“</w:t>
                          </w:r>
                        </w:p>
                      </w:sdtContent>
                    </w:sdt>
                  </w:sdtContent>
                </w:sdt>
              </w:sdtContent>
            </w:sdt>
            <w:sdt>
              <w:sdtPr>
                <w:alias w:val="1.10 pp."/>
                <w:tag w:val="part_421f0477fc7247069e55127f8eba8875"/>
                <w:lock w:val="sdtLocked"/>
                <w:richText/>
              </w:sdtPr>
              <w:sdtContent>
                <w:p>
                  <w:pPr>
                    <w:widowControl w:val="0"/>
                    <w:suppressAutoHyphens/>
                    <w:ind w:firstLine="709"/>
                    <w:jc w:val="both"/>
                    <w:rPr>
                      <w:kern w:val="1"/>
                      <w:szCs w:val="24"/>
                      <w:lang w:eastAsia="hi-IN" w:bidi="hi-IN"/>
                    </w:rPr>
                  </w:pPr>
                  <w:sdt>
                    <w:sdtPr>
                      <w:alias w:val="Numeris"/>
                      <w:tag w:val="nr_421f0477fc7247069e55127f8eba8875"/>
                      <w:lock w:val="sdtLocked"/>
                      <w:richText/>
                    </w:sdtPr>
                    <w:sdtContent>
                      <w:r>
                        <w:rPr>
                          <w:color w:val="000000"/>
                          <w:kern w:val="1"/>
                          <w:szCs w:val="24"/>
                          <w:lang w:eastAsia="hi-IN" w:bidi="hi-IN"/>
                        </w:rPr>
                        <w:t>1.10</w:t>
                      </w:r>
                    </w:sdtContent>
                  </w:sdt>
                  <w:r>
                    <w:rPr>
                      <w:color w:val="000000"/>
                      <w:kern w:val="1"/>
                      <w:szCs w:val="24"/>
                      <w:lang w:eastAsia="hi-IN" w:bidi="hi-IN"/>
                    </w:rPr>
                    <w:t>. P</w:t>
                  </w:r>
                  <w:r>
                    <w:rPr>
                      <w:color w:val="000000"/>
                      <w:szCs w:val="24"/>
                      <w:shd w:val="clear" w:color="auto" w:fill="FFFFFF"/>
                      <w:lang w:eastAsia="ar-SA"/>
                    </w:rPr>
                    <w:t xml:space="preserve">akeičiu 64 punktą </w:t>
                  </w:r>
                  <w:r>
                    <w:rPr>
                      <w:kern w:val="1"/>
                      <w:szCs w:val="24"/>
                      <w:lang w:eastAsia="hi-IN" w:bidi="hi-IN"/>
                    </w:rPr>
                    <w:t>ir jį išdėstau taip:</w:t>
                  </w:r>
                </w:p>
                <w:sdt>
                  <w:sdtPr>
                    <w:alias w:val="citata"/>
                    <w:tag w:val="part_34171e0366604a9aade5f508fe48eb0a"/>
                    <w:lock w:val="sdtLocked"/>
                    <w:richText/>
                  </w:sdtPr>
                  <w:sdtContent>
                    <w:sdt>
                      <w:sdtPr>
                        <w:alias w:val="64 p."/>
                        <w:tag w:val="part_37a508da28f64316bbbc418f3d562596"/>
                        <w:lock w:val="sdtLocked"/>
                        <w:richText/>
                      </w:sdtPr>
                      <w:sdtContent>
                        <w:p>
                          <w:pPr>
                            <w:suppressAutoHyphens/>
                            <w:ind w:firstLine="709"/>
                            <w:jc w:val="both"/>
                            <w:rPr>
                              <w:lang w:eastAsia="lt-LT"/>
                            </w:rPr>
                          </w:pPr>
                          <w:r>
                            <w:rPr>
                              <w:bCs/>
                              <w:lang w:eastAsia="lt-LT"/>
                            </w:rPr>
                            <w:t>„</w:t>
                          </w:r>
                          <w:sdt>
                            <w:sdtPr>
                              <w:alias w:val="Numeris"/>
                              <w:tag w:val="nr_37a508da28f64316bbbc418f3d562596"/>
                              <w:lock w:val="sdtLocked"/>
                              <w:richText/>
                            </w:sdtPr>
                            <w:sdtContent>
                              <w:r>
                                <w:rPr>
                                  <w:bCs/>
                                  <w:lang w:eastAsia="lt-LT"/>
                                </w:rPr>
                                <w:t>64</w:t>
                              </w:r>
                            </w:sdtContent>
                          </w:sdt>
                          <w:r>
                            <w:rPr>
                              <w:bCs/>
                              <w:lang w:eastAsia="lt-LT"/>
                            </w:rPr>
                            <w:t>. Suinteresuota v</w:t>
                          </w:r>
                          <w:r>
                            <w:rPr>
                              <w:lang w:eastAsia="lt-LT"/>
                            </w:rPr>
                            <w:t>isuomenė planuojamos ūkinės veiklos PAV proceso metu turi teisę Agentūrai, PAV dokumentų rengėjui ir PAV subjektams pagal šiame skyriuje nustatytą tvarką pateikti bet kokius pasiūlymus, komentarus, informaciją, analizę, nuomonę dėl planuojamos ūkinės veiklos ir jos PAV (toliau – pasiūlymai).“</w:t>
                          </w:r>
                        </w:p>
                      </w:sdtContent>
                    </w:sdt>
                  </w:sdtContent>
                </w:sdt>
              </w:sdtContent>
            </w:sdt>
            <w:sdt>
              <w:sdtPr>
                <w:alias w:val="1.11 pp."/>
                <w:tag w:val="part_737a2b8f076b49cea3cd2eaad095005e"/>
                <w:lock w:val="sdtLocked"/>
                <w:richText/>
              </w:sdtPr>
              <w:sdtContent>
                <w:p>
                  <w:pPr>
                    <w:widowControl w:val="0"/>
                    <w:suppressAutoHyphens/>
                    <w:ind w:firstLine="709"/>
                    <w:jc w:val="both"/>
                    <w:rPr>
                      <w:kern w:val="1"/>
                      <w:szCs w:val="24"/>
                      <w:lang w:eastAsia="hi-IN" w:bidi="hi-IN"/>
                    </w:rPr>
                  </w:pPr>
                  <w:sdt>
                    <w:sdtPr>
                      <w:alias w:val="Numeris"/>
                      <w:tag w:val="nr_737a2b8f076b49cea3cd2eaad095005e"/>
                      <w:lock w:val="sdtLocked"/>
                      <w:richText/>
                    </w:sdtPr>
                    <w:sdtContent>
                      <w:r>
                        <w:rPr>
                          <w:color w:val="000000"/>
                          <w:kern w:val="1"/>
                          <w:szCs w:val="24"/>
                          <w:lang w:eastAsia="hi-IN" w:bidi="hi-IN"/>
                        </w:rPr>
                        <w:t>1.11</w:t>
                      </w:r>
                    </w:sdtContent>
                  </w:sdt>
                  <w:r>
                    <w:rPr>
                      <w:color w:val="000000"/>
                      <w:kern w:val="1"/>
                      <w:szCs w:val="24"/>
                      <w:lang w:eastAsia="hi-IN" w:bidi="hi-IN"/>
                    </w:rPr>
                    <w:t>. P</w:t>
                  </w:r>
                  <w:r>
                    <w:rPr>
                      <w:color w:val="000000"/>
                      <w:szCs w:val="24"/>
                      <w:shd w:val="clear" w:color="auto" w:fill="FFFFFF"/>
                      <w:lang w:eastAsia="ar-SA"/>
                    </w:rPr>
                    <w:t xml:space="preserve">akeičiu </w:t>
                  </w:r>
                  <w:r>
                    <w:t>73</w:t>
                  </w:r>
                  <w:r>
                    <w:rPr>
                      <w:vertAlign w:val="superscript"/>
                    </w:rPr>
                    <w:t>1</w:t>
                  </w:r>
                  <w:r>
                    <w:rPr>
                      <w:color w:val="000000"/>
                      <w:szCs w:val="24"/>
                      <w:shd w:val="clear" w:color="auto" w:fill="FFFFFF"/>
                      <w:lang w:eastAsia="ar-SA"/>
                    </w:rPr>
                    <w:t xml:space="preserve"> punktą </w:t>
                  </w:r>
                  <w:r>
                    <w:rPr>
                      <w:kern w:val="1"/>
                      <w:szCs w:val="24"/>
                      <w:lang w:eastAsia="hi-IN" w:bidi="hi-IN"/>
                    </w:rPr>
                    <w:t>ir jį išdėstau taip:</w:t>
                  </w:r>
                </w:p>
                <w:sdt>
                  <w:sdtPr>
                    <w:alias w:val="citata"/>
                    <w:tag w:val="part_36f45b7de705450fa3613ec82f57795b"/>
                    <w:lock w:val="sdtLocked"/>
                    <w:richText/>
                  </w:sdtPr>
                  <w:sdtContent>
                    <w:sdt>
                      <w:sdtPr>
                        <w:alias w:val="73-1 p."/>
                        <w:tag w:val="part_2ed5156ab4d94fe099d7045f22898b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pPr>
                          <w:r>
                            <w:t>„</w:t>
                          </w:r>
                          <w:sdt>
                            <w:sdtPr>
                              <w:alias w:val="Numeris"/>
                              <w:tag w:val="nr_2ed5156ab4d94fe099d7045f22898b55"/>
                              <w:lock w:val="sdtLocked"/>
                              <w:richText/>
                            </w:sdtPr>
                            <w:sdtContent>
                              <w:r>
                                <w:t>73</w:t>
                              </w:r>
                              <w:r>
                                <w:rPr>
                                  <w:vertAlign w:val="superscript"/>
                                </w:rPr>
                                <w:t>1</w:t>
                              </w:r>
                            </w:sdtContent>
                          </w:sdt>
                          <w:r>
                            <w:t xml:space="preserve">. Jei programa nerengiama, planuojamos ūkinės veiklos organizatorius (užsakovas) arba PAV dokumentų rengėjas, parengęs pranešimą apie PAV pradžią, </w:t>
                          </w:r>
                          <w:r>
                            <w:rPr>
                              <w:szCs w:val="24"/>
                              <w:lang w:eastAsia="lt-LT"/>
                            </w:rPr>
                            <w:t>paskelbia jį visuomenės informavimo priemonėmis, nurodytomis Tvarkos aprašo 67 punkte</w:t>
                          </w:r>
                          <w:r>
                            <w:rPr>
                              <w:lang w:eastAsia="lt-LT"/>
                            </w:rPr>
                            <w:t xml:space="preserve">. </w:t>
                          </w:r>
                          <w:r>
                            <w:t xml:space="preserve">Suinteresuotoji visuomenė turi teisę pateikti pasiūlymus planuojamos ūkinės veiklos organizatoriui (užsakovui) arba poveikio aplinkai vertinimo dokumentų rengėjui ir Agentūrai per 10 darbo dienų nuo </w:t>
                          </w:r>
                          <w:r>
                            <w:rPr>
                              <w:szCs w:val="24"/>
                              <w:lang w:eastAsia="lt-LT"/>
                            </w:rPr>
                            <w:t>dienos</w:t>
                          </w:r>
                          <w:r>
                            <w:t>, kai gautą pranešimą apie PAV pradžią paskelbia Agentūra.“</w:t>
                          </w:r>
                        </w:p>
                      </w:sdtContent>
                    </w:sdt>
                  </w:sdtContent>
                </w:sdt>
              </w:sdtContent>
            </w:sdt>
            <w:sdt>
              <w:sdtPr>
                <w:alias w:val="1.12 pp."/>
                <w:tag w:val="part_ce0d120368554a4fa7cea315b04a7024"/>
                <w:lock w:val="sdtLocked"/>
                <w:richText/>
              </w:sdtPr>
              <w:sdtContent>
                <w:p>
                  <w:pPr>
                    <w:widowControl w:val="0"/>
                    <w:suppressAutoHyphens/>
                    <w:ind w:firstLine="709"/>
                    <w:jc w:val="both"/>
                    <w:rPr>
                      <w:kern w:val="1"/>
                      <w:szCs w:val="24"/>
                      <w:lang w:eastAsia="hi-IN" w:bidi="hi-IN"/>
                    </w:rPr>
                  </w:pPr>
                  <w:sdt>
                    <w:sdtPr>
                      <w:alias w:val="Numeris"/>
                      <w:tag w:val="nr_ce0d120368554a4fa7cea315b04a7024"/>
                      <w:lock w:val="sdtLocked"/>
                      <w:richText/>
                    </w:sdtPr>
                    <w:sdtContent>
                      <w:r>
                        <w:rPr>
                          <w:color w:val="000000"/>
                          <w:kern w:val="1"/>
                          <w:szCs w:val="24"/>
                          <w:lang w:eastAsia="hi-IN" w:bidi="hi-IN"/>
                        </w:rPr>
                        <w:t>1.12</w:t>
                      </w:r>
                    </w:sdtContent>
                  </w:sdt>
                  <w:r>
                    <w:rPr>
                      <w:color w:val="000000"/>
                      <w:kern w:val="1"/>
                      <w:szCs w:val="24"/>
                      <w:lang w:eastAsia="hi-IN" w:bidi="hi-IN"/>
                    </w:rPr>
                    <w:t>. P</w:t>
                  </w:r>
                  <w:r>
                    <w:rPr>
                      <w:color w:val="000000"/>
                      <w:szCs w:val="24"/>
                      <w:shd w:val="clear" w:color="auto" w:fill="FFFFFF"/>
                      <w:lang w:eastAsia="ar-SA"/>
                    </w:rPr>
                    <w:t xml:space="preserve">akeičiu </w:t>
                  </w:r>
                  <w:r>
                    <w:rPr>
                      <w:rFonts w:eastAsia="Andale Sans UI" w:cs="Tahoma"/>
                      <w:color w:val="000000"/>
                      <w:szCs w:val="24"/>
                      <w:lang w:bidi="en-US"/>
                    </w:rPr>
                    <w:t>74</w:t>
                  </w:r>
                  <w:r>
                    <w:rPr>
                      <w:rFonts w:eastAsia="Andale Sans UI" w:cs="Tahoma"/>
                      <w:color w:val="000000"/>
                      <w:szCs w:val="24"/>
                      <w:vertAlign w:val="superscript"/>
                      <w:lang w:bidi="en-US"/>
                    </w:rPr>
                    <w:t>1</w:t>
                  </w:r>
                  <w:r>
                    <w:rPr>
                      <w:color w:val="000000"/>
                      <w:szCs w:val="24"/>
                      <w:shd w:val="clear" w:color="auto" w:fill="FFFFFF"/>
                      <w:lang w:eastAsia="ar-SA"/>
                    </w:rPr>
                    <w:t xml:space="preserve">punkto antrąją pastraipą </w:t>
                  </w:r>
                  <w:r>
                    <w:rPr>
                      <w:kern w:val="1"/>
                      <w:szCs w:val="24"/>
                      <w:lang w:eastAsia="hi-IN" w:bidi="hi-IN"/>
                    </w:rPr>
                    <w:t>ir ją išdėstau taip:</w:t>
                  </w:r>
                </w:p>
                <w:sdt>
                  <w:sdtPr>
                    <w:alias w:val="citata"/>
                    <w:tag w:val="part_88d008bab9f84cc7b6babf7f4be9a446"/>
                    <w:lock w:val="sdtLocked"/>
                    <w:richText/>
                  </w:sdtPr>
                  <w:sdtContent>
                    <w:sdt>
                      <w:sdtPr>
                        <w:alias w:val="pastraipa"/>
                        <w:tag w:val="part_b0880013f60f40458acb4054cb911f1b"/>
                        <w:lock w:val="sdtLocked"/>
                        <w:richText/>
                      </w:sdtPr>
                      <w:sdtContent>
                        <w:p>
                          <w:pPr>
                            <w:widowControl w:val="0"/>
                            <w:suppressAutoHyphens/>
                            <w:ind w:firstLine="709"/>
                            <w:jc w:val="both"/>
                            <w:rPr>
                              <w:rFonts w:eastAsia="Andale Sans UI"/>
                              <w:szCs w:val="24"/>
                              <w:lang w:bidi="en-US"/>
                            </w:rPr>
                          </w:pPr>
                          <w:r>
                            <w:rPr>
                              <w:szCs w:val="24"/>
                              <w:lang w:eastAsia="lt-LT"/>
                            </w:rPr>
                            <w:t>„</w:t>
                          </w:r>
                          <w:r>
                            <w:rPr>
                              <w:bCs/>
                              <w:color w:val="000000"/>
                              <w:shd w:val="clear" w:color="auto" w:fill="FFFFFF"/>
                              <w:lang w:eastAsia="ar-SA"/>
                            </w:rPr>
                            <w:t xml:space="preserve">Ekstremalios situacijos metu </w:t>
                          </w:r>
                          <w:r>
                            <w:rPr>
                              <w:rFonts w:eastAsia="Andale Sans UI"/>
                              <w:szCs w:val="24"/>
                              <w:lang w:bidi="en-US"/>
                            </w:rPr>
                            <w:t xml:space="preserve">apribojus ar </w:t>
                          </w:r>
                          <w:r>
                            <w:rPr>
                              <w:bCs/>
                              <w:color w:val="000000"/>
                              <w:shd w:val="clear" w:color="auto" w:fill="FFFFFF"/>
                              <w:lang w:eastAsia="ar-SA"/>
                            </w:rPr>
                            <w:t>uždraudus</w:t>
                          </w:r>
                          <w:r>
                            <w:rPr>
                              <w:rFonts w:eastAsia="Andale Sans UI"/>
                              <w:szCs w:val="24"/>
                              <w:lang w:bidi="en-US"/>
                            </w:rPr>
                            <w:t xml:space="preserve"> asmenų patekimą į</w:t>
                          </w:r>
                          <w:r>
                            <w:rPr>
                              <w:rFonts w:eastAsia="Andale Sans UI" w:cs="Tahoma"/>
                              <w:szCs w:val="24"/>
                              <w:lang w:bidi="en-US"/>
                            </w:rPr>
                            <w:t xml:space="preserve"> uždaras patalpas</w:t>
                          </w:r>
                          <w:r>
                            <w:rPr>
                              <w:bCs/>
                              <w:color w:val="000000"/>
                              <w:shd w:val="clear" w:color="auto" w:fill="FFFFFF"/>
                              <w:lang w:eastAsia="ar-SA"/>
                            </w:rPr>
                            <w:t xml:space="preserve">, Tvarkos aprašo 74 punkte nurodytas </w:t>
                          </w:r>
                          <w:r>
                            <w:rPr>
                              <w:rFonts w:eastAsia="Andale Sans UI"/>
                              <w:szCs w:val="24"/>
                              <w:lang w:bidi="en-US"/>
                            </w:rPr>
                            <w:t xml:space="preserve">viešas visuomenės supažindinimas su ataskaita atidedamas iki apribojimo ar draudimo galiojimo pabaigos arba, jei negalima atidėti, organizuojamas internetinės vaizdo transliacijos būdu, užtikrinant tiesioginę vaizdo, garso transliaciją ir jos įrašą, jį išsaugant ir sudarant atsakingajai institucijai galimybę gauti prie jo prieigą ir peržiūrėti. Viešo visuomenės supažindinimo su ataskaita procedūros, pradėtos tuo metu, kai buvo apribotas ar uždraustas asmenų patekimas į </w:t>
                          </w:r>
                          <w:r>
                            <w:rPr>
                              <w:rFonts w:eastAsia="Andale Sans UI" w:cs="Tahoma"/>
                              <w:szCs w:val="24"/>
                              <w:lang w:bidi="en-US"/>
                            </w:rPr>
                            <w:t xml:space="preserve">uždaras patalpas, </w:t>
                          </w:r>
                          <w:r>
                            <w:rPr>
                              <w:rFonts w:eastAsia="Andale Sans UI"/>
                              <w:szCs w:val="24"/>
                              <w:lang w:bidi="en-US"/>
                            </w:rPr>
                            <w:t>baigiamos naudojant tą patį nuotolinio viešinimo būdą. Kai viešą visuomenės supažindinimą su ataskaita numatoma atlikti tiesioginės internetinės vaizdo transliacijos būdu, Tvarkos aprašo 77 punkte nurodytoje visuomenei skelbiamoje informacijoje apie viešą visuomenės supažindinimą skelbiami tiesioginės internetinės vaizdo transliacijos laikas ir transliacijos tiesioginė nuoroda. Jei tiesioginės internetinės vaizdo transliacijos metu kyla techninių trikdžių, kurių negalima pašalinti per protingą laiką, organizuojamas pakartotinis viešas visuomenės supažindinimas, apie kurį visuomenė informuojama ne vėliau kaip prieš 5 darbo dienas. Informacija apie pakartotinį, dėl techninių trikdžių neįvykusį viešą supažindinimą skelbiama vadovaujantis Tvarkos aprašo 77 punkto nuostatomis, nurodant pakartotinės tiesioginės internetinės vaizdo transliacijos laiką ir transliacijos tiesioginę nuorodą.</w:t>
                          </w:r>
                          <w:r>
                            <w:rPr>
                              <w:szCs w:val="24"/>
                              <w:lang w:eastAsia="lt-LT"/>
                            </w:rPr>
                            <w:t>“</w:t>
                          </w:r>
                        </w:p>
                      </w:sdtContent>
                    </w:sdt>
                  </w:sdtContent>
                </w:sdt>
              </w:sdtContent>
            </w:sdt>
            <w:sdt>
              <w:sdtPr>
                <w:alias w:val="1.13 pp."/>
                <w:tag w:val="part_ab1b0a772f8b4fba8069c6eb677a49a2"/>
                <w:lock w:val="sdtLocked"/>
                <w:richText/>
              </w:sdtPr>
              <w:sdtContent>
                <w:p>
                  <w:pPr>
                    <w:widowControl w:val="0"/>
                    <w:suppressAutoHyphens/>
                    <w:ind w:firstLine="709"/>
                    <w:jc w:val="both"/>
                    <w:rPr>
                      <w:kern w:val="1"/>
                      <w:szCs w:val="24"/>
                      <w:lang w:eastAsia="hi-IN" w:bidi="hi-IN"/>
                    </w:rPr>
                  </w:pPr>
                  <w:sdt>
                    <w:sdtPr>
                      <w:alias w:val="Numeris"/>
                      <w:tag w:val="nr_ab1b0a772f8b4fba8069c6eb677a49a2"/>
                      <w:lock w:val="sdtLocked"/>
                      <w:richText/>
                    </w:sdtPr>
                    <w:sdtContent>
                      <w:r>
                        <w:rPr>
                          <w:color w:val="000000"/>
                          <w:szCs w:val="24"/>
                          <w:shd w:val="clear" w:color="auto" w:fill="FFFFFF"/>
                          <w:lang w:eastAsia="ar-SA"/>
                        </w:rPr>
                        <w:t>1.13</w:t>
                      </w:r>
                    </w:sdtContent>
                  </w:sdt>
                  <w:r>
                    <w:rPr>
                      <w:color w:val="000000"/>
                      <w:szCs w:val="24"/>
                      <w:shd w:val="clear" w:color="auto" w:fill="FFFFFF"/>
                      <w:lang w:eastAsia="ar-SA"/>
                    </w:rPr>
                    <w:t xml:space="preserve">. Pakeičiu </w:t>
                  </w:r>
                  <w:r>
                    <w:rPr>
                      <w:color w:val="000000"/>
                      <w:lang w:eastAsia="lt-LT"/>
                    </w:rPr>
                    <w:t>75.1 pa</w:t>
                  </w:r>
                  <w:r>
                    <w:rPr>
                      <w:color w:val="000000"/>
                      <w:szCs w:val="24"/>
                      <w:shd w:val="clear" w:color="auto" w:fill="FFFFFF"/>
                      <w:lang w:eastAsia="ar-SA"/>
                    </w:rPr>
                    <w:t xml:space="preserve">punktį </w:t>
                  </w:r>
                  <w:r>
                    <w:rPr>
                      <w:kern w:val="1"/>
                      <w:szCs w:val="24"/>
                      <w:lang w:eastAsia="hi-IN" w:bidi="hi-IN"/>
                    </w:rPr>
                    <w:t>ir jį išdėstau taip:</w:t>
                  </w:r>
                </w:p>
                <w:sdt>
                  <w:sdtPr>
                    <w:alias w:val="citata"/>
                    <w:tag w:val="part_793b86da5ca44554a1494f6cd32a2076"/>
                    <w:lock w:val="sdtLocked"/>
                    <w:richText/>
                  </w:sdtPr>
                  <w:sdtContent>
                    <w:sdt>
                      <w:sdtPr>
                        <w:alias w:val="75.1 pp."/>
                        <w:tag w:val="part_2682456f4cdc4f26831c121fe0aa6541"/>
                        <w:lock w:val="sdtLocked"/>
                        <w:richText/>
                      </w:sdtPr>
                      <w:sdtContent>
                        <w:p>
                          <w:pPr>
                            <w:widowControl w:val="0"/>
                            <w:suppressAutoHyphens/>
                            <w:ind w:firstLine="709"/>
                            <w:jc w:val="both"/>
                            <w:rPr>
                              <w:szCs w:val="24"/>
                              <w:lang w:eastAsia="lt-LT"/>
                            </w:rPr>
                          </w:pPr>
                          <w:r>
                            <w:rPr>
                              <w:szCs w:val="24"/>
                              <w:lang w:eastAsia="lt-LT"/>
                            </w:rPr>
                            <w:t>„</w:t>
                          </w:r>
                          <w:sdt>
                            <w:sdtPr>
                              <w:alias w:val="Numeris"/>
                              <w:tag w:val="nr_2682456f4cdc4f26831c121fe0aa6541"/>
                              <w:lock w:val="sdtLocked"/>
                              <w:richText/>
                            </w:sdtPr>
                            <w:sdtContent>
                              <w:r>
                                <w:rPr>
                                  <w:color w:val="000000"/>
                                  <w:lang w:eastAsia="lt-LT"/>
                                </w:rPr>
                                <w:t>75.1</w:t>
                              </w:r>
                            </w:sdtContent>
                          </w:sdt>
                          <w:r>
                            <w:rPr>
                              <w:color w:val="000000"/>
                              <w:lang w:eastAsia="lt-LT"/>
                            </w:rPr>
                            <w:t xml:space="preserve">. </w:t>
                          </w:r>
                          <w:r>
                            <w:rPr>
                              <w:szCs w:val="24"/>
                              <w:lang w:eastAsia="lt-LT"/>
                            </w:rPr>
                            <w:t>visuomenės informavimo priemonėmis, nurodytomis Tvarkos aprašo 67 punkte;“</w:t>
                          </w:r>
                        </w:p>
                      </w:sdtContent>
                    </w:sdt>
                  </w:sdtContent>
                </w:sdt>
              </w:sdtContent>
            </w:sdt>
            <w:sdt>
              <w:sdtPr>
                <w:alias w:val="1.14 pp."/>
                <w:tag w:val="part_b6f375cdd2a04ba08a5f41079e56de0d"/>
                <w:lock w:val="sdtLocked"/>
                <w:richText/>
              </w:sdtPr>
              <w:sdtContent>
                <w:p>
                  <w:pPr>
                    <w:ind w:firstLine="709"/>
                    <w:jc w:val="both"/>
                    <w:rPr>
                      <w:kern w:val="1"/>
                      <w:szCs w:val="24"/>
                      <w:lang w:eastAsia="hi-IN" w:bidi="hi-IN"/>
                    </w:rPr>
                  </w:pPr>
                  <w:sdt>
                    <w:sdtPr>
                      <w:alias w:val="Numeris"/>
                      <w:tag w:val="nr_b6f375cdd2a04ba08a5f41079e56de0d"/>
                      <w:lock w:val="sdtLocked"/>
                      <w:richText/>
                    </w:sdtPr>
                    <w:sdtContent>
                      <w:r>
                        <w:rPr>
                          <w:lang w:eastAsia="lt-LT"/>
                        </w:rPr>
                        <w:t>1.14</w:t>
                      </w:r>
                    </w:sdtContent>
                  </w:sdt>
                  <w:r>
                    <w:rPr>
                      <w:lang w:eastAsia="lt-LT"/>
                    </w:rPr>
                    <w:t xml:space="preserve">. </w:t>
                  </w:r>
                  <w:r>
                    <w:rPr>
                      <w:color w:val="000000"/>
                      <w:szCs w:val="24"/>
                      <w:shd w:val="clear" w:color="auto" w:fill="FFFFFF"/>
                      <w:lang w:eastAsia="ar-SA"/>
                    </w:rPr>
                    <w:t xml:space="preserve">Pakeičiu 1 priedo </w:t>
                  </w:r>
                  <w:r>
                    <w:rPr>
                      <w:bCs/>
                      <w:szCs w:val="24"/>
                      <w:bdr w:val="none" w:sz="0" w:space="0" w:color="auto" w:frame="1"/>
                    </w:rPr>
                    <w:t>101</w:t>
                  </w:r>
                  <w:r>
                    <w:rPr>
                      <w:bCs/>
                      <w:szCs w:val="24"/>
                      <w:bdr w:val="none" w:sz="0" w:space="0" w:color="auto" w:frame="1"/>
                      <w:vertAlign w:val="superscript"/>
                    </w:rPr>
                    <w:t xml:space="preserve">1 </w:t>
                  </w:r>
                  <w:r>
                    <w:rPr>
                      <w:color w:val="000000"/>
                      <w:szCs w:val="24"/>
                      <w:shd w:val="clear" w:color="auto" w:fill="FFFFFF"/>
                      <w:lang w:eastAsia="ar-SA"/>
                    </w:rPr>
                    <w:t xml:space="preserve">punktą </w:t>
                  </w:r>
                  <w:r>
                    <w:rPr>
                      <w:kern w:val="1"/>
                      <w:szCs w:val="24"/>
                      <w:lang w:eastAsia="hi-IN" w:bidi="hi-IN"/>
                    </w:rPr>
                    <w:t>ir jį išdėstau taip:</w:t>
                  </w:r>
                </w:p>
                <w:sdt>
                  <w:sdtPr>
                    <w:alias w:val="citata"/>
                    <w:tag w:val="part_25c3bc72aa374558a412573143372629"/>
                    <w:lock w:val="sdtLocked"/>
                    <w:richText/>
                  </w:sdtPr>
                  <w:sdtContent>
                    <w:sdt>
                      <w:sdtPr>
                        <w:alias w:val="101-1 p."/>
                        <w:tag w:val="part_7b7aeebfa5154c1f8e03be7aef606153"/>
                        <w:lock w:val="sdtLocked"/>
                        <w:richText/>
                      </w:sdtPr>
                      <w:sdtContent>
                        <w:p>
                          <w:pPr>
                            <w:ind w:firstLine="709"/>
                            <w:jc w:val="both"/>
                            <w:rPr>
                              <w:color w:val="000000"/>
                              <w:szCs w:val="24"/>
                              <w:lang w:eastAsia="lt-LT"/>
                            </w:rPr>
                          </w:pPr>
                          <w:r>
                            <w:rPr>
                              <w:bCs/>
                              <w:szCs w:val="24"/>
                              <w:bdr w:val="none" w:sz="0" w:space="0" w:color="auto" w:frame="1"/>
                              <w:shd w:val="clear" w:color="auto" w:fill="FFFFFF"/>
                              <w:lang w:eastAsia="lt-LT"/>
                            </w:rPr>
                            <w:t>„</w:t>
                          </w:r>
                          <w:sdt>
                            <w:sdtPr>
                              <w:alias w:val="Numeris"/>
                              <w:tag w:val="nr_7b7aeebfa5154c1f8e03be7aef606153"/>
                              <w:lock w:val="sdtLocked"/>
                              <w:richText/>
                            </w:sdtPr>
                            <w:sdtContent>
                              <w:r>
                                <w:rPr>
                                  <w:color w:val="000000"/>
                                  <w:szCs w:val="24"/>
                                  <w:bdr w:val="none" w:sz="0" w:space="0" w:color="auto" w:frame="1"/>
                                  <w:lang w:eastAsia="lt-LT"/>
                                </w:rPr>
                                <w:t>101</w:t>
                              </w:r>
                              <w:r>
                                <w:rPr>
                                  <w:color w:val="000000"/>
                                  <w:szCs w:val="24"/>
                                  <w:bdr w:val="none" w:sz="0" w:space="0" w:color="auto" w:frame="1"/>
                                  <w:vertAlign w:val="superscript"/>
                                  <w:lang w:eastAsia="lt-LT"/>
                                </w:rPr>
                                <w:t>1</w:t>
                              </w:r>
                            </w:sdtContent>
                          </w:sdt>
                          <w:r>
                            <w:rPr>
                              <w:color w:val="000000"/>
                              <w:szCs w:val="24"/>
                              <w:bdr w:val="none" w:sz="0" w:space="0" w:color="auto" w:frame="1"/>
                              <w:lang w:eastAsia="lt-LT"/>
                            </w:rPr>
                            <w:t>. Vertinant aukštesnių kaip 30 metrų ypatingųjų statinių (toliau šiame punkte – aukšti statiniai) poveikį kraštovaizdžio vizualiniam estetiniam potencialui, numatomas aukštų statinių reikšmingas poveikis nustatomas atsižvelgiant į tai, ar: </w:t>
                          </w:r>
                        </w:p>
                        <w:sdt>
                          <w:sdtPr>
                            <w:alias w:val="101-1.1 pp."/>
                            <w:tag w:val="part_493eb95340ba4a719b83e6c158fb9340"/>
                            <w:lock w:val="sdtLocked"/>
                            <w:richText/>
                          </w:sdtPr>
                          <w:sdtContent>
                            <w:p>
                              <w:pPr>
                                <w:ind w:firstLine="709"/>
                                <w:jc w:val="both"/>
                                <w:rPr>
                                  <w:color w:val="000000"/>
                                  <w:szCs w:val="24"/>
                                  <w:lang w:eastAsia="lt-LT"/>
                                </w:rPr>
                              </w:pPr>
                              <w:sdt>
                                <w:sdtPr>
                                  <w:alias w:val="Numeris"/>
                                  <w:tag w:val="nr_493eb95340ba4a719b83e6c158fb9340"/>
                                  <w:lock w:val="sdtLocked"/>
                                  <w:richText/>
                                </w:sdtPr>
                                <w:sdtContent>
                                  <w:r>
                                    <w:rPr>
                                      <w:color w:val="000000"/>
                                      <w:szCs w:val="24"/>
                                      <w:bdr w:val="none" w:sz="0" w:space="0" w:color="auto" w:frame="1"/>
                                      <w:lang w:eastAsia="lt-LT"/>
                                    </w:rPr>
                                    <w:t>101</w:t>
                                  </w:r>
                                  <w:r>
                                    <w:rPr>
                                      <w:color w:val="000000"/>
                                      <w:szCs w:val="24"/>
                                      <w:bdr w:val="none" w:sz="0" w:space="0" w:color="auto" w:frame="1"/>
                                      <w:vertAlign w:val="superscript"/>
                                      <w:lang w:eastAsia="lt-LT"/>
                                    </w:rPr>
                                    <w:t>1</w:t>
                                  </w:r>
                                  <w:r>
                                    <w:rPr>
                                      <w:color w:val="000000"/>
                                      <w:szCs w:val="24"/>
                                      <w:bdr w:val="none" w:sz="0" w:space="0" w:color="auto" w:frame="1"/>
                                      <w:lang w:eastAsia="lt-LT"/>
                                    </w:rPr>
                                    <w:t>.1</w:t>
                                  </w:r>
                                </w:sdtContent>
                              </w:sdt>
                              <w:r>
                                <w:rPr>
                                  <w:color w:val="000000"/>
                                  <w:szCs w:val="24"/>
                                  <w:bdr w:val="none" w:sz="0" w:space="0" w:color="auto" w:frame="1"/>
                                  <w:lang w:eastAsia="lt-LT"/>
                                </w:rPr>
                                <w:t xml:space="preserve">. aukšti statiniai patenka į valstybės lygmens specialiajame teritorijų planavimo dokumente – Nacionaliniame kraštovaizdžio tvarkymo plane, patvirtintame Lietuvos Respublikos aplinkos ministro 2015 m. spalio 2 d. įsakymu Nr. D1-703 „Dėl Nacionalinio kraštovaizdžio tvarkymo plano patvirtinimo“, nustatytus ypač saugomo šalies vizualinio estetinio potencialo arealus ir vietoves bei labai didelio ir didelio estetinio potencialo ypač ir vidutiniškai raiškius kraštovaizdžio kompleksus (AI, AII, AIII, AIV, BI, BII, BIII ir BIV kraštovaizdžio vizualinės struktūros tipai) (toliau – YS kraštovaizdžio arealai); </w:t>
                              </w:r>
                            </w:p>
                          </w:sdtContent>
                        </w:sdt>
                        <w:sdt>
                          <w:sdtPr>
                            <w:alias w:val="101-1.2 pp."/>
                            <w:tag w:val="part_1c55e207cee547cd8b3e10c07dfc8550"/>
                            <w:lock w:val="sdtLocked"/>
                            <w:richText/>
                          </w:sdtPr>
                          <w:sdtContent>
                            <w:p>
                              <w:pPr>
                                <w:ind w:firstLine="709"/>
                                <w:jc w:val="both"/>
                                <w:rPr>
                                  <w:strike/>
                                  <w:color w:val="000000"/>
                                  <w:szCs w:val="24"/>
                                  <w:lang w:eastAsia="lt-LT"/>
                                </w:rPr>
                              </w:pPr>
                              <w:sdt>
                                <w:sdtPr>
                                  <w:alias w:val="Numeris"/>
                                  <w:tag w:val="nr_1c55e207cee547cd8b3e10c07dfc8550"/>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color w:val="000000"/>
                                  <w:szCs w:val="24"/>
                                  <w:bdr w:val="none" w:sz="0" w:space="0" w:color="auto" w:frame="1"/>
                                  <w:lang w:eastAsia="lt-LT"/>
                                </w:rPr>
                                <w:t xml:space="preserve">aukšti statiniai </w:t>
                              </w:r>
                              <w:r>
                                <w:rPr>
                                  <w:color w:val="000000"/>
                                  <w:szCs w:val="24"/>
                                  <w:lang w:eastAsia="lt-LT"/>
                                </w:rPr>
                                <w:t xml:space="preserve">nepatenka į YS kraštovaizdžio arealus, tačiau </w:t>
                              </w:r>
                              <w:r>
                                <w:rPr>
                                  <w:color w:val="000000"/>
                                  <w:szCs w:val="24"/>
                                  <w:bdr w:val="none" w:sz="0" w:space="0" w:color="auto" w:frame="1"/>
                                  <w:lang w:eastAsia="lt-LT"/>
                                </w:rPr>
                                <w:t xml:space="preserve">bus matomi vertingiausių šalies kraštovaizdžio panoramų </w:t>
                              </w:r>
                              <w:r>
                                <w:rPr>
                                  <w:bCs/>
                                  <w:color w:val="000000"/>
                                  <w:szCs w:val="24"/>
                                  <w:bdr w:val="none" w:sz="0" w:space="0" w:color="auto" w:frame="1"/>
                                  <w:lang w:eastAsia="lt-LT"/>
                                </w:rPr>
                                <w:t xml:space="preserve">horizontalios </w:t>
                              </w:r>
                              <w:r>
                                <w:rPr>
                                  <w:color w:val="000000"/>
                                  <w:szCs w:val="24"/>
                                  <w:bdr w:val="none" w:sz="0" w:space="0" w:color="auto" w:frame="1"/>
                                  <w:lang w:eastAsia="lt-LT"/>
                                </w:rPr>
                                <w:t>apžvalgos lauke didesniu kaip 2,50º vertikalaus matymo kampu iš YS kraštovaizdžio arealuose esančių apžvalgos taškų. Apžvalgos taškai – bendrojo ir (ar) specialiojo teritorijų planavimo dokumentuose nustatytos</w:t>
                              </w:r>
                              <w:r>
                                <w:rPr>
                                  <w:bCs/>
                                  <w:color w:val="000000"/>
                                  <w:szCs w:val="24"/>
                                  <w:bdr w:val="none" w:sz="0" w:space="0" w:color="auto" w:frame="1"/>
                                  <w:lang w:eastAsia="lt-LT"/>
                                </w:rPr>
                                <w:t xml:space="preserve"> </w:t>
                              </w:r>
                              <w:r>
                                <w:rPr>
                                  <w:color w:val="000000"/>
                                  <w:szCs w:val="24"/>
                                  <w:bdr w:val="none" w:sz="0" w:space="0" w:color="auto" w:frame="1"/>
                                  <w:lang w:eastAsia="lt-LT"/>
                                </w:rPr>
                                <w:t xml:space="preserve">regyklos ar apžvalgos vietos, iš kurių žvelgiama į vertingiausias šalies kraštovaizdžio panoramas </w:t>
                              </w:r>
                              <w:r>
                                <w:rPr>
                                  <w:bCs/>
                                  <w:color w:val="000000"/>
                                  <w:szCs w:val="24"/>
                                  <w:lang w:eastAsia="lt-LT"/>
                                </w:rPr>
                                <w:t>apžvalgos taško pavadinime nurodyta kryptimi. Jeigu apžvalgos taško pavadinime apžvalgos kryptis nenurodyta, iš šio taško į vertingiausias šalies kraštovaizdžio panoramas žvelgiama</w:t>
                              </w:r>
                              <w:r>
                                <w:rPr>
                                  <w:color w:val="000000"/>
                                  <w:szCs w:val="24"/>
                                  <w:lang w:eastAsia="lt-LT"/>
                                </w:rPr>
                                <w:t xml:space="preserve"> </w:t>
                              </w:r>
                              <w:r>
                                <w:rPr>
                                  <w:color w:val="000000"/>
                                  <w:szCs w:val="24"/>
                                  <w:bdr w:val="none" w:sz="0" w:space="0" w:color="auto" w:frame="1"/>
                                  <w:lang w:eastAsia="lt-LT"/>
                                </w:rPr>
                                <w:t xml:space="preserve">YS kraštovaizdžio arealų kryptimi. </w:t>
                              </w:r>
                              <w:r>
                                <w:rPr>
                                  <w:bCs/>
                                  <w:color w:val="000000"/>
                                  <w:szCs w:val="24"/>
                                  <w:bdr w:val="none" w:sz="0" w:space="0" w:color="auto" w:frame="1"/>
                                  <w:lang w:eastAsia="lt-LT"/>
                                </w:rPr>
                                <w:t>Horizontalios</w:t>
                              </w:r>
                              <w:r>
                                <w:rPr>
                                  <w:color w:val="000000"/>
                                  <w:szCs w:val="24"/>
                                  <w:bdr w:val="none" w:sz="0" w:space="0" w:color="auto" w:frame="1"/>
                                  <w:lang w:eastAsia="lt-LT"/>
                                </w:rPr>
                                <w:t xml:space="preserve"> </w:t>
                              </w:r>
                              <w:r>
                                <w:rPr>
                                  <w:bCs/>
                                  <w:color w:val="000000"/>
                                  <w:szCs w:val="24"/>
                                  <w:bdr w:val="none" w:sz="0" w:space="0" w:color="auto" w:frame="1"/>
                                  <w:lang w:eastAsia="lt-LT"/>
                                </w:rPr>
                                <w:t>apžvalgos</w:t>
                              </w:r>
                              <w:r>
                                <w:rPr>
                                  <w:color w:val="000000"/>
                                  <w:szCs w:val="24"/>
                                  <w:bdr w:val="none" w:sz="0" w:space="0" w:color="auto" w:frame="1"/>
                                  <w:lang w:eastAsia="lt-LT"/>
                                </w:rPr>
                                <w:t xml:space="preserve"> lauko kraštinės ribos sutampa su matomomis panoramos ribomis. </w:t>
                              </w:r>
                              <w:r>
                                <w:rPr>
                                  <w:color w:val="000000"/>
                                  <w:szCs w:val="24"/>
                                  <w:lang w:eastAsia="lt-LT"/>
                                </w:rPr>
                                <w:t xml:space="preserve">Vertingiausių šalies kraštovaizdžio panoramų apžvalgos taškų </w:t>
                              </w:r>
                              <w:r>
                                <w:rPr>
                                  <w:bCs/>
                                  <w:color w:val="000000"/>
                                  <w:szCs w:val="24"/>
                                  <w:lang w:eastAsia="lt-LT"/>
                                </w:rPr>
                                <w:t>sąrašas, sudarytas pagal patvirtintus teritorijų planavimo dokumentus, nurodytas Tvarkos aprašo 1 priedo priedėlyje</w:t>
                              </w:r>
                              <w:r>
                                <w:rPr>
                                  <w:bCs/>
                                  <w:color w:val="000000"/>
                                  <w:szCs w:val="24"/>
                                  <w:bdr w:val="none" w:sz="0" w:space="0" w:color="auto" w:frame="1"/>
                                  <w:lang w:eastAsia="lt-LT"/>
                                </w:rPr>
                                <w:t>.</w:t>
                              </w:r>
                              <w:r>
                                <w:rPr>
                                  <w:kern w:val="1"/>
                                  <w:szCs w:val="24"/>
                                  <w:lang w:eastAsia="hi-IN" w:bidi="hi-IN"/>
                                </w:rPr>
                                <w:t>“</w:t>
                              </w:r>
                            </w:p>
                          </w:sdtContent>
                        </w:sdt>
                      </w:sdtContent>
                    </w:sdt>
                  </w:sdtContent>
                </w:sdt>
              </w:sdtContent>
            </w:sdt>
            <w:sdt>
              <w:sdtPr>
                <w:alias w:val="1.15 pp."/>
                <w:tag w:val="part_06f5fad9715147599c65b2a714686b56"/>
                <w:lock w:val="sdtLocked"/>
                <w:richText/>
              </w:sdtPr>
              <w:sdtContent>
                <w:p>
                  <w:pPr>
                    <w:widowControl w:val="0"/>
                    <w:suppressAutoHyphens/>
                    <w:ind w:firstLine="709"/>
                    <w:jc w:val="both"/>
                    <w:rPr>
                      <w:kern w:val="1"/>
                      <w:szCs w:val="24"/>
                      <w:lang w:eastAsia="hi-IN" w:bidi="hi-IN"/>
                    </w:rPr>
                  </w:pPr>
                  <w:sdt>
                    <w:sdtPr>
                      <w:alias w:val="Numeris"/>
                      <w:tag w:val="nr_06f5fad9715147599c65b2a714686b56"/>
                      <w:lock w:val="sdtLocked"/>
                      <w:richText/>
                    </w:sdtPr>
                    <w:sdtContent>
                      <w:r>
                        <w:rPr>
                          <w:color w:val="000000"/>
                          <w:szCs w:val="24"/>
                          <w:shd w:val="clear" w:color="auto" w:fill="FFFFFF"/>
                          <w:lang w:eastAsia="ar-SA"/>
                        </w:rPr>
                        <w:t>1.15</w:t>
                      </w:r>
                    </w:sdtContent>
                  </w:sdt>
                  <w:r>
                    <w:rPr>
                      <w:color w:val="000000"/>
                      <w:szCs w:val="24"/>
                      <w:shd w:val="clear" w:color="auto" w:fill="FFFFFF"/>
                      <w:lang w:eastAsia="ar-SA"/>
                    </w:rPr>
                    <w:t xml:space="preserve">. Pakeičiu 1 priedo 136 punktą </w:t>
                  </w:r>
                  <w:r>
                    <w:rPr>
                      <w:kern w:val="1"/>
                      <w:szCs w:val="24"/>
                      <w:lang w:eastAsia="hi-IN" w:bidi="hi-IN"/>
                    </w:rPr>
                    <w:t>ir jį išdėstau taip:</w:t>
                  </w:r>
                </w:p>
                <w:sdt>
                  <w:sdtPr>
                    <w:alias w:val="citata"/>
                    <w:tag w:val="part_8b07259ac06948b1b32a708988b1eb59"/>
                    <w:lock w:val="sdtLocked"/>
                    <w:richText/>
                  </w:sdtPr>
                  <w:sdtContent>
                    <w:sdt>
                      <w:sdtPr>
                        <w:alias w:val="136 p."/>
                        <w:tag w:val="part_b9e72eafd36249098d826ca021addeef"/>
                        <w:lock w:val="sdtLocked"/>
                        <w:richText/>
                      </w:sdtPr>
                      <w:sdtContent>
                        <w:p>
                          <w:pPr>
                            <w:suppressAutoHyphens/>
                            <w:ind w:firstLine="709"/>
                            <w:jc w:val="both"/>
                            <w:rPr>
                              <w:bCs/>
                              <w:color w:val="000000"/>
                              <w:szCs w:val="24"/>
                              <w:bdr w:val="none" w:sz="0" w:space="0" w:color="auto" w:frame="1"/>
                              <w:shd w:val="clear" w:color="auto" w:fill="FFFFFF"/>
                              <w:lang w:eastAsia="lt-LT"/>
                            </w:rPr>
                          </w:pPr>
                          <w:r>
                            <w:rPr>
                              <w:color w:val="000000"/>
                              <w:szCs w:val="24"/>
                              <w:lang w:eastAsia="lt-LT"/>
                            </w:rPr>
                            <w:t>„</w:t>
                          </w:r>
                          <w:sdt>
                            <w:sdtPr>
                              <w:alias w:val="Numeris"/>
                              <w:tag w:val="nr_b9e72eafd36249098d826ca021addeef"/>
                              <w:lock w:val="sdtLocked"/>
                              <w:richText/>
                            </w:sdtPr>
                            <w:sdtContent>
                              <w:r>
                                <w:rPr>
                                  <w:color w:val="000000"/>
                                  <w:szCs w:val="24"/>
                                  <w:lang w:eastAsia="lt-LT"/>
                                </w:rPr>
                                <w:t>136</w:t>
                              </w:r>
                            </w:sdtContent>
                          </w:sdt>
                          <w:r>
                            <w:rPr>
                              <w:color w:val="000000"/>
                              <w:szCs w:val="24"/>
                              <w:lang w:eastAsia="lt-LT"/>
                            </w:rPr>
                            <w:t xml:space="preserve">. Numatomas planuojamos ūkinės veiklos reikšmingas poveikis </w:t>
                          </w:r>
                          <w:r>
                            <w:rPr>
                              <w:bCs/>
                              <w:color w:val="000000"/>
                              <w:szCs w:val="24"/>
                              <w:lang w:eastAsia="lt-LT"/>
                            </w:rPr>
                            <w:t xml:space="preserve">visuomenės sveikatai nustatomas </w:t>
                          </w:r>
                          <w:r>
                            <w:rPr>
                              <w:bCs/>
                              <w:szCs w:val="24"/>
                              <w:lang w:eastAsia="lt-LT"/>
                            </w:rPr>
                            <w:t xml:space="preserve">vertinant </w:t>
                          </w:r>
                          <w:r>
                            <w:rPr>
                              <w:szCs w:val="24"/>
                              <w:lang w:eastAsia="lt-LT"/>
                            </w:rPr>
                            <w:t xml:space="preserve">galimą tiesioginį ir netiesioginį planuojamos ūkinės veiklos sukeliamų biologinių, cheminių ir fizikinių veiksnių poveikį visuomenės sveikatai, taip pat aplinkos elementų ir visuomenės sveikatos tarpusavio sąveikai. Poveikis visuomenės sveikatai nagrinėjamas gyventojams, gyvenantiems ūkinės veiklos poveikio zonoje ir kitiems žmonėms, ypač gyventojų jautriausioms grupėms (pvz., vaikai, senyvo amžiaus žmonės ir sergantieji, jautriausiai reaguojantys į padidintą taršą). </w:t>
                          </w:r>
                          <w:r>
                            <w:rPr>
                              <w:bCs/>
                              <w:color w:val="000000"/>
                              <w:szCs w:val="24"/>
                              <w:bdr w:val="none" w:sz="0" w:space="0" w:color="auto" w:frame="1"/>
                              <w:shd w:val="clear" w:color="auto" w:fill="FFFFFF"/>
                              <w:lang w:eastAsia="lt-LT"/>
                            </w:rPr>
                            <w:t>Atliekant vertinimą rekomenduojama naudotis už sveikatos apsaugą atsakingų institucijų užsakymu parengtomis poveikio visuomenės sveikatai vertinimo metodinėmis rekomendacijomis, kurios skelbiamos Sveikatos mokymo ir ligų prevencijos centro</w:t>
                          </w:r>
                          <w:r>
                            <w:rPr>
                              <w:color w:val="000000"/>
                              <w:shd w:val="clear" w:color="auto" w:fill="FFFFFF"/>
                            </w:rPr>
                            <w:t xml:space="preserve"> </w:t>
                          </w:r>
                          <w:r>
                            <w:rPr>
                              <w:bCs/>
                              <w:color w:val="000000"/>
                              <w:szCs w:val="24"/>
                              <w:bdr w:val="none" w:sz="0" w:space="0" w:color="auto" w:frame="1"/>
                              <w:shd w:val="clear" w:color="auto" w:fill="FFFFFF"/>
                              <w:lang w:eastAsia="lt-LT"/>
                            </w:rPr>
                            <w:t xml:space="preserve">interneto svetainėje, </w:t>
                          </w:r>
                          <w:r>
                            <w:rPr>
                              <w:color w:val="000000"/>
                            </w:rPr>
                            <w:t>ir kitų valstybių poveikio visuomenės sveikatai vertinimo metodinėmis rekomendacijomis ar modeliais, mokslinių tyrimų duomenimis</w:t>
                          </w:r>
                          <w:r>
                            <w:rPr>
                              <w:bCs/>
                              <w:color w:val="000000"/>
                              <w:szCs w:val="24"/>
                              <w:bdr w:val="none" w:sz="0" w:space="0" w:color="auto" w:frame="1"/>
                              <w:shd w:val="clear" w:color="auto" w:fill="FFFFFF"/>
                              <w:lang w:eastAsia="lt-LT"/>
                            </w:rPr>
                            <w:t>.“</w:t>
                          </w:r>
                        </w:p>
                      </w:sdtContent>
                    </w:sdt>
                  </w:sdtContent>
                </w:sdt>
              </w:sdtContent>
            </w:sdt>
            <w:sdt>
              <w:sdtPr>
                <w:alias w:val="1.16 pp."/>
                <w:tag w:val="part_7ad7b75cf54d4f4cb448c69ddfdd59f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ad7b75cf54d4f4cb448c69ddfdd59f6"/>
                      <w:lock w:val="sdtLocked"/>
                      <w:richText/>
                    </w:sdtPr>
                    <w:sdtContent>
                      <w:r>
                        <w:rPr>
                          <w:color w:val="000000"/>
                          <w:szCs w:val="24"/>
                          <w:shd w:val="clear" w:color="auto" w:fill="FFFFFF"/>
                          <w:lang w:eastAsia="ar-SA"/>
                        </w:rPr>
                        <w:t>1.16</w:t>
                      </w:r>
                    </w:sdtContent>
                  </w:sdt>
                  <w:r>
                    <w:rPr>
                      <w:color w:val="000000"/>
                      <w:szCs w:val="24"/>
                      <w:shd w:val="clear" w:color="auto" w:fill="FFFFFF"/>
                      <w:lang w:eastAsia="ar-SA"/>
                    </w:rPr>
                    <w:t>. Pakeičiu</w:t>
                  </w:r>
                  <w:r>
                    <w:rPr>
                      <w:szCs w:val="24"/>
                      <w:lang w:eastAsia="lt-LT"/>
                    </w:rPr>
                    <w:t xml:space="preserve"> 1 priedo II skyriaus devintąjį skirsnį ir jį išdėstau taip:</w:t>
                  </w:r>
                </w:p>
                <w:sdt>
                  <w:sdtPr>
                    <w:alias w:val="citata"/>
                    <w:tag w:val="part_f9083a1711b04f7dadea077858931a93"/>
                    <w:lock w:val="sdtLocked"/>
                    <w:richText/>
                  </w:sdtPr>
                  <w:sdtContent>
                    <w:sdt>
                      <w:sdtPr>
                        <w:alias w:val="skirsnis"/>
                        <w:tag w:val="part_9d131bd0f76941a9a894077d66503cc1"/>
                        <w:lock w:val="sdtLocked"/>
                        <w:richText/>
                      </w:sdtPr>
                      <w:sdtContent>
                        <w:p>
                          <w:pPr>
                            <w:suppressAutoHyphens/>
                            <w:ind w:firstLine="709"/>
                            <w:jc w:val="center"/>
                            <w:rPr>
                              <w:strike/>
                              <w:szCs w:val="24"/>
                              <w:lang w:eastAsia="lt-LT"/>
                            </w:rPr>
                          </w:pPr>
                          <w:r>
                            <w:rPr>
                              <w:caps/>
                              <w:szCs w:val="24"/>
                            </w:rPr>
                            <w:t>„</w:t>
                          </w:r>
                          <w:sdt>
                            <w:sdtPr>
                              <w:alias w:val="Numeris"/>
                              <w:tag w:val="nr_9d131bd0f76941a9a894077d66503cc1"/>
                              <w:lock w:val="sdtLocked"/>
                              <w:richText/>
                            </w:sdtPr>
                            <w:sdtContent>
                              <w:r>
                                <w:rPr>
                                  <w:b/>
                                  <w:bCs/>
                                  <w:szCs w:val="24"/>
                                  <w:lang w:eastAsia="lt-LT"/>
                                </w:rPr>
                                <w:t>DEVINTASIS</w:t>
                              </w:r>
                            </w:sdtContent>
                          </w:sdt>
                          <w:r>
                            <w:rPr>
                              <w:b/>
                              <w:bCs/>
                              <w:szCs w:val="24"/>
                              <w:lang w:eastAsia="lt-LT"/>
                            </w:rPr>
                            <w:t xml:space="preserve"> </w:t>
                          </w:r>
                          <w:r>
                            <w:rPr>
                              <w:b/>
                              <w:lang w:eastAsia="lt-LT"/>
                            </w:rPr>
                            <w:t>SKIRSNIS</w:t>
                          </w:r>
                        </w:p>
                        <w:p>
                          <w:pPr>
                            <w:ind w:firstLine="709"/>
                            <w:jc w:val="center"/>
                            <w:rPr>
                              <w:b/>
                              <w:bCs/>
                              <w:szCs w:val="24"/>
                              <w:lang w:eastAsia="lt-LT"/>
                            </w:rPr>
                          </w:pPr>
                          <w:sdt>
                            <w:sdtPr>
                              <w:alias w:val="Pavadinimas"/>
                              <w:tag w:val="title_9d131bd0f76941a9a894077d66503cc1"/>
                              <w:lock w:val="sdtLocked"/>
                              <w:richText/>
                            </w:sdtPr>
                            <w:sdtContent>
                              <w:r>
                                <w:rPr>
                                  <w:b/>
                                  <w:bCs/>
                                  <w:szCs w:val="24"/>
                                  <w:lang w:eastAsia="lt-LT"/>
                                </w:rPr>
                                <w:t>RIZIKOS ANALIZĖ</w:t>
                              </w:r>
                            </w:sdtContent>
                          </w:sdt>
                        </w:p>
                        <w:p>
                          <w:pPr>
                            <w:ind w:firstLine="709"/>
                            <w:jc w:val="center"/>
                            <w:rPr>
                              <w:b/>
                              <w:szCs w:val="24"/>
                              <w:lang w:eastAsia="lt-LT"/>
                            </w:rPr>
                          </w:pPr>
                        </w:p>
                        <w:sdt>
                          <w:sdtPr>
                            <w:alias w:val="143 p."/>
                            <w:tag w:val="part_f1ec183bbe4a499c9172b695dc96fd80"/>
                            <w:lock w:val="sdtLocked"/>
                            <w:richText/>
                          </w:sdtPr>
                          <w:sdtContent>
                            <w:p>
                              <w:pPr>
                                <w:ind w:firstLine="709"/>
                                <w:jc w:val="both"/>
                                <w:rPr>
                                  <w:szCs w:val="24"/>
                                  <w:lang w:eastAsia="lt-LT"/>
                                </w:rPr>
                              </w:pPr>
                              <w:sdt>
                                <w:sdtPr>
                                  <w:alias w:val="Numeris"/>
                                  <w:tag w:val="nr_f1ec183bbe4a499c9172b695dc96fd80"/>
                                  <w:lock w:val="sdtLocked"/>
                                  <w:richText/>
                                </w:sdtPr>
                                <w:sdtContent>
                                  <w:r>
                                    <w:rPr>
                                      <w:szCs w:val="24"/>
                                      <w:lang w:eastAsia="lt-LT"/>
                                    </w:rPr>
                                    <w:t>143</w:t>
                                  </w:r>
                                </w:sdtContent>
                              </w:sdt>
                              <w:r>
                                <w:rPr>
                                  <w:szCs w:val="24"/>
                                  <w:lang w:eastAsia="lt-LT"/>
                                </w:rPr>
                                <w:t xml:space="preserve">. Pateikiama informacija apie artimoje planuojamos ūkinės veiklos aplinkoje esančius pavojinguosius ir pažeidžiamus objektus: </w:t>
                              </w:r>
                            </w:p>
                            <w:sdt>
                              <w:sdtPr>
                                <w:alias w:val="143.1 pp."/>
                                <w:tag w:val="part_1b6ab945e6144087a3992e2975e9d7d8"/>
                                <w:lock w:val="sdtLocked"/>
                                <w:richText/>
                              </w:sdtPr>
                              <w:sdtContent>
                                <w:p>
                                  <w:pPr>
                                    <w:ind w:firstLine="709"/>
                                    <w:jc w:val="both"/>
                                    <w:rPr>
                                      <w:szCs w:val="24"/>
                                      <w:lang w:eastAsia="lt-LT"/>
                                    </w:rPr>
                                  </w:pPr>
                                  <w:sdt>
                                    <w:sdtPr>
                                      <w:alias w:val="Numeris"/>
                                      <w:tag w:val="nr_1b6ab945e6144087a3992e2975e9d7d8"/>
                                      <w:lock w:val="sdtLocked"/>
                                      <w:richText/>
                                    </w:sdtPr>
                                    <w:sdtContent>
                                      <w:r>
                                        <w:rPr>
                                          <w:szCs w:val="24"/>
                                          <w:lang w:eastAsia="lt-LT"/>
                                        </w:rPr>
                                        <w:t>143.1</w:t>
                                      </w:r>
                                    </w:sdtContent>
                                  </w:sdt>
                                  <w:r>
                                    <w:rPr>
                                      <w:szCs w:val="24"/>
                                      <w:lang w:eastAsia="lt-LT"/>
                                    </w:rPr>
                                    <w:t xml:space="preserve">. pavojinguosius objektus, kuriuose gaminamos, naudojamos, tvarkomos ar laikomos pavojingosios medžiagos; </w:t>
                                  </w:r>
                                </w:p>
                              </w:sdtContent>
                            </w:sdt>
                            <w:sdt>
                              <w:sdtPr>
                                <w:alias w:val="143.2 pp."/>
                                <w:tag w:val="part_0d8c51f1120340738fa8ff37c42860b0"/>
                                <w:lock w:val="sdtLocked"/>
                                <w:richText/>
                              </w:sdtPr>
                              <w:sdtContent>
                                <w:p>
                                  <w:pPr>
                                    <w:ind w:firstLine="709"/>
                                    <w:jc w:val="both"/>
                                    <w:rPr>
                                      <w:szCs w:val="24"/>
                                      <w:lang w:eastAsia="lt-LT"/>
                                    </w:rPr>
                                  </w:pPr>
                                  <w:sdt>
                                    <w:sdtPr>
                                      <w:alias w:val="Numeris"/>
                                      <w:tag w:val="nr_0d8c51f1120340738fa8ff37c42860b0"/>
                                      <w:lock w:val="sdtLocked"/>
                                      <w:richText/>
                                    </w:sdtPr>
                                    <w:sdtContent>
                                      <w:r>
                                        <w:rPr>
                                          <w:szCs w:val="24"/>
                                          <w:lang w:eastAsia="lt-LT"/>
                                        </w:rPr>
                                        <w:t>143.2</w:t>
                                      </w:r>
                                    </w:sdtContent>
                                  </w:sdt>
                                  <w:r>
                                    <w:rPr>
                                      <w:szCs w:val="24"/>
                                      <w:lang w:eastAsia="lt-LT"/>
                                    </w:rPr>
                                    <w:t xml:space="preserve">. valstybinės reikšmės objektus, kurie užtikrina valstybei svarbių ūkio objektų ar infrastruktūros (pvz., energetikos, transporto, telekomunikacijų) funkcionavimą; </w:t>
                                  </w:r>
                                </w:p>
                              </w:sdtContent>
                            </w:sdt>
                            <w:sdt>
                              <w:sdtPr>
                                <w:alias w:val="143.3 pp."/>
                                <w:tag w:val="part_a9e1aa9f37614ead825495dd9e51a8e4"/>
                                <w:lock w:val="sdtLocked"/>
                                <w:richText/>
                              </w:sdtPr>
                              <w:sdtContent>
                                <w:p>
                                  <w:pPr>
                                    <w:ind w:firstLine="709"/>
                                    <w:jc w:val="both"/>
                                    <w:rPr>
                                      <w:szCs w:val="24"/>
                                      <w:lang w:eastAsia="lt-LT"/>
                                    </w:rPr>
                                  </w:pPr>
                                  <w:sdt>
                                    <w:sdtPr>
                                      <w:alias w:val="Numeris"/>
                                      <w:tag w:val="nr_a9e1aa9f37614ead825495dd9e51a8e4"/>
                                      <w:lock w:val="sdtLocked"/>
                                      <w:richText/>
                                    </w:sdtPr>
                                    <w:sdtContent>
                                      <w:r>
                                        <w:rPr>
                                          <w:szCs w:val="24"/>
                                          <w:lang w:eastAsia="lt-LT"/>
                                        </w:rPr>
                                        <w:t>143.3</w:t>
                                      </w:r>
                                    </w:sdtContent>
                                  </w:sdt>
                                  <w:r>
                                    <w:rPr>
                                      <w:szCs w:val="24"/>
                                      <w:lang w:eastAsia="lt-LT"/>
                                    </w:rPr>
                                    <w:t xml:space="preserve">. inžinierinius tinklus, kurie gali patirti ekstremaliųjų įvykių poveikį (pvz., elektros stotys, linijos, dujų tiekimo sistemos, vandens tiekimo, nuotekų tvarkymo tinklai, vandens valymo įrenginiai ); </w:t>
                                  </w:r>
                                </w:p>
                              </w:sdtContent>
                            </w:sdt>
                            <w:sdt>
                              <w:sdtPr>
                                <w:alias w:val="143.4 pp."/>
                                <w:tag w:val="part_39686466c01f44eeac7e2390e6c3232d"/>
                                <w:lock w:val="sdtLocked"/>
                                <w:richText/>
                              </w:sdtPr>
                              <w:sdtContent>
                                <w:p>
                                  <w:pPr>
                                    <w:ind w:firstLine="709"/>
                                    <w:jc w:val="both"/>
                                    <w:rPr>
                                      <w:szCs w:val="24"/>
                                      <w:lang w:eastAsia="lt-LT"/>
                                    </w:rPr>
                                  </w:pPr>
                                  <w:sdt>
                                    <w:sdtPr>
                                      <w:alias w:val="Numeris"/>
                                      <w:tag w:val="nr_39686466c01f44eeac7e2390e6c3232d"/>
                                      <w:lock w:val="sdtLocked"/>
                                      <w:richText/>
                                    </w:sdtPr>
                                    <w:sdtContent>
                                      <w:r>
                                        <w:rPr>
                                          <w:szCs w:val="24"/>
                                          <w:lang w:eastAsia="lt-LT"/>
                                        </w:rPr>
                                        <w:t>143.4</w:t>
                                      </w:r>
                                    </w:sdtContent>
                                  </w:sdt>
                                  <w:r>
                                    <w:rPr>
                                      <w:szCs w:val="24"/>
                                      <w:lang w:eastAsia="lt-LT"/>
                                    </w:rPr>
                                    <w:t xml:space="preserve">. sklypų ar teritorijų žemės naudojimo paskirtį (pvz., miškų, vandens, konservacinės ar kitos paskirties), atsižvelgiant į galimą ekstremaliųjų įvykių poveikį; </w:t>
                                  </w:r>
                                </w:p>
                              </w:sdtContent>
                            </w:sdt>
                            <w:sdt>
                              <w:sdtPr>
                                <w:alias w:val="143.5 pp."/>
                                <w:tag w:val="part_85b1dde58ff14ec289f37f6d4a094f53"/>
                                <w:lock w:val="sdtLocked"/>
                                <w:richText/>
                              </w:sdtPr>
                              <w:sdtContent>
                                <w:p>
                                  <w:pPr>
                                    <w:ind w:firstLine="709"/>
                                    <w:jc w:val="both"/>
                                    <w:rPr>
                                      <w:szCs w:val="24"/>
                                      <w:lang w:eastAsia="lt-LT"/>
                                    </w:rPr>
                                  </w:pPr>
                                  <w:sdt>
                                    <w:sdtPr>
                                      <w:alias w:val="Numeris"/>
                                      <w:tag w:val="nr_85b1dde58ff14ec289f37f6d4a094f53"/>
                                      <w:lock w:val="sdtLocked"/>
                                      <w:richText/>
                                    </w:sdtPr>
                                    <w:sdtContent>
                                      <w:r>
                                        <w:rPr>
                                          <w:szCs w:val="24"/>
                                          <w:lang w:eastAsia="lt-LT"/>
                                        </w:rPr>
                                        <w:t>143.5</w:t>
                                      </w:r>
                                    </w:sdtContent>
                                  </w:sdt>
                                  <w:r>
                                    <w:rPr>
                                      <w:szCs w:val="24"/>
                                      <w:lang w:eastAsia="lt-LT"/>
                                    </w:rPr>
                                    <w:t xml:space="preserve">. gamtinių įvykių (pvz., žemės drebėjimų, karstinių reiškinių, nuošliaužų, įgriuvų, potvynių) zonas, kurios dėl savo vietos, stiprumo ir dažnumo kelia grėsmę planuojamai ūkinei veiklai; </w:t>
                                  </w:r>
                                </w:p>
                              </w:sdtContent>
                            </w:sdt>
                            <w:sdt>
                              <w:sdtPr>
                                <w:alias w:val="143.6 pp."/>
                                <w:tag w:val="part_dba05591222a4a3689a31ff807254884"/>
                                <w:lock w:val="sdtLocked"/>
                                <w:richText/>
                              </w:sdtPr>
                              <w:sdtContent>
                                <w:p>
                                  <w:pPr>
                                    <w:ind w:firstLine="709"/>
                                    <w:jc w:val="both"/>
                                    <w:rPr>
                                      <w:szCs w:val="24"/>
                                      <w:lang w:eastAsia="lt-LT"/>
                                    </w:rPr>
                                  </w:pPr>
                                  <w:sdt>
                                    <w:sdtPr>
                                      <w:alias w:val="Numeris"/>
                                      <w:tag w:val="nr_dba05591222a4a3689a31ff807254884"/>
                                      <w:lock w:val="sdtLocked"/>
                                      <w:richText/>
                                    </w:sdtPr>
                                    <w:sdtContent>
                                      <w:r>
                                        <w:rPr>
                                          <w:szCs w:val="24"/>
                                          <w:lang w:eastAsia="lt-LT"/>
                                        </w:rPr>
                                        <w:t>143.6</w:t>
                                      </w:r>
                                    </w:sdtContent>
                                  </w:sdt>
                                  <w:r>
                                    <w:rPr>
                                      <w:szCs w:val="24"/>
                                      <w:lang w:eastAsia="lt-LT"/>
                                    </w:rPr>
                                    <w:t xml:space="preserve">. gyvenamąsias vietoves, gyventojų skaičių jose; </w:t>
                                  </w:r>
                                </w:p>
                              </w:sdtContent>
                            </w:sdt>
                            <w:sdt>
                              <w:sdtPr>
                                <w:alias w:val="143.7 pp."/>
                                <w:tag w:val="part_2c30bca4069c4663967c9c81e3a5b94e"/>
                                <w:lock w:val="sdtLocked"/>
                                <w:richText/>
                              </w:sdtPr>
                              <w:sdtContent>
                                <w:p>
                                  <w:pPr>
                                    <w:ind w:firstLine="709"/>
                                    <w:jc w:val="both"/>
                                    <w:rPr>
                                      <w:szCs w:val="24"/>
                                      <w:lang w:eastAsia="lt-LT"/>
                                    </w:rPr>
                                  </w:pPr>
                                  <w:sdt>
                                    <w:sdtPr>
                                      <w:alias w:val="Numeris"/>
                                      <w:tag w:val="nr_2c30bca4069c4663967c9c81e3a5b94e"/>
                                      <w:lock w:val="sdtLocked"/>
                                      <w:richText/>
                                    </w:sdtPr>
                                    <w:sdtContent>
                                      <w:r>
                                        <w:rPr>
                                          <w:szCs w:val="24"/>
                                          <w:lang w:eastAsia="lt-LT"/>
                                        </w:rPr>
                                        <w:t>143.7</w:t>
                                      </w:r>
                                    </w:sdtContent>
                                  </w:sdt>
                                  <w:r>
                                    <w:rPr>
                                      <w:szCs w:val="24"/>
                                      <w:lang w:eastAsia="lt-LT"/>
                                    </w:rPr>
                                    <w:t xml:space="preserve">. įmones ir organizacijas, jose dirbančių darbuotojų skaičių; </w:t>
                                  </w:r>
                                </w:p>
                              </w:sdtContent>
                            </w:sdt>
                            <w:sdt>
                              <w:sdtPr>
                                <w:alias w:val="143.8 pp."/>
                                <w:tag w:val="part_009b6926f94c407ea16923e883bea9d0"/>
                                <w:lock w:val="sdtLocked"/>
                                <w:richText/>
                              </w:sdtPr>
                              <w:sdtContent>
                                <w:p>
                                  <w:pPr>
                                    <w:ind w:firstLine="709"/>
                                    <w:jc w:val="both"/>
                                    <w:rPr>
                                      <w:szCs w:val="24"/>
                                      <w:lang w:eastAsia="lt-LT"/>
                                    </w:rPr>
                                  </w:pPr>
                                  <w:sdt>
                                    <w:sdtPr>
                                      <w:alias w:val="Numeris"/>
                                      <w:tag w:val="nr_009b6926f94c407ea16923e883bea9d0"/>
                                      <w:lock w:val="sdtLocked"/>
                                      <w:richText/>
                                    </w:sdtPr>
                                    <w:sdtContent>
                                      <w:r>
                                        <w:rPr>
                                          <w:szCs w:val="24"/>
                                          <w:lang w:eastAsia="lt-LT"/>
                                        </w:rPr>
                                        <w:t>143.8</w:t>
                                      </w:r>
                                    </w:sdtContent>
                                  </w:sdt>
                                  <w:r>
                                    <w:rPr>
                                      <w:szCs w:val="24"/>
                                      <w:lang w:eastAsia="lt-LT"/>
                                    </w:rPr>
                                    <w:t xml:space="preserve">. masinio visuomenės susibūrimo vietas (pvz., stadionus, parkus), visuomeninės paskirties objektus (pvz., mokyklas, ligonines, bažnyčias ). </w:t>
                                  </w:r>
                                </w:p>
                                <w:p>
                                  <w:pPr>
                                    <w:ind w:firstLine="709"/>
                                    <w:jc w:val="both"/>
                                    <w:rPr>
                                      <w:szCs w:val="24"/>
                                      <w:lang w:eastAsia="lt-LT"/>
                                    </w:rPr>
                                  </w:pPr>
                                  <w:r>
                                    <w:rPr>
                                      <w:szCs w:val="24"/>
                                      <w:lang w:eastAsia="lt-LT"/>
                                    </w:rPr>
                                    <w:t xml:space="preserve">Numatomas reikšmingas poveikis </w:t>
                                  </w:r>
                                </w:p>
                              </w:sdtContent>
                            </w:sdt>
                          </w:sdtContent>
                        </w:sdt>
                        <w:sdt>
                          <w:sdtPr>
                            <w:alias w:val="144 p."/>
                            <w:tag w:val="part_09a1cbae90fe4a2c92168cb6f278bb7f"/>
                            <w:lock w:val="sdtLocked"/>
                            <w:richText/>
                          </w:sdtPr>
                          <w:sdtContent>
                            <w:p>
                              <w:pPr>
                                <w:ind w:firstLine="709"/>
                                <w:jc w:val="both"/>
                                <w:rPr>
                                  <w:szCs w:val="24"/>
                                  <w:lang w:eastAsia="lt-LT"/>
                                </w:rPr>
                              </w:pPr>
                              <w:sdt>
                                <w:sdtPr>
                                  <w:alias w:val="Numeris"/>
                                  <w:tag w:val="nr_09a1cbae90fe4a2c92168cb6f278bb7f"/>
                                  <w:lock w:val="sdtLocked"/>
                                  <w:richText/>
                                </w:sdtPr>
                                <w:sdtContent>
                                  <w:r>
                                    <w:rPr>
                                      <w:szCs w:val="24"/>
                                      <w:lang w:eastAsia="lt-LT"/>
                                    </w:rPr>
                                    <w:t>144</w:t>
                                  </w:r>
                                </w:sdtContent>
                              </w:sdt>
                              <w:r>
                                <w:rPr>
                                  <w:szCs w:val="24"/>
                                  <w:lang w:eastAsia="lt-LT"/>
                                </w:rPr>
                                <w:t xml:space="preserve">. Atliekant rizikos analizę, vertinamas galimas planuojamos ūkinės veiklos poveikis aplinkos elementams ir visuomenės sveikatai dėl planuojamos ūkinės veiklos metu galimų įvykių, didelių pramoninių avarijų, </w:t>
                              </w:r>
                              <w:r>
                                <w:rPr>
                                  <w:color w:val="000000"/>
                                  <w:szCs w:val="24"/>
                                  <w:lang w:eastAsia="lt-LT"/>
                                </w:rPr>
                                <w:t>branduolinių ar radiologinių</w:t>
                              </w:r>
                              <w:r>
                                <w:rPr>
                                  <w:szCs w:val="24"/>
                                  <w:lang w:eastAsia="lt-LT"/>
                                </w:rPr>
                                <w:t xml:space="preserve"> avarijų, nelaimingų atsitikimų, ekstremaliųjų įvykių ir (ar) galimų ekstremaliųjų situacijų. Taip pat vertinamas už planuojamos veiklos ribų esančių objektų ar gamtinių, socialinių, ekologinių ar biologinių reiškinių sukeltas poveikis planuojamai ūkinei veiklai ir jos tęstinumui. </w:t>
                              </w:r>
                            </w:p>
                          </w:sdtContent>
                        </w:sdt>
                        <w:sdt>
                          <w:sdtPr>
                            <w:alias w:val="145 p."/>
                            <w:tag w:val="part_ea9c1286656f4ddaa216ccdae8cf6e8a"/>
                            <w:lock w:val="sdtLocked"/>
                            <w:richText/>
                          </w:sdtPr>
                          <w:sdtContent>
                            <w:p>
                              <w:pPr>
                                <w:ind w:firstLine="709"/>
                                <w:jc w:val="both"/>
                                <w:rPr>
                                  <w:szCs w:val="24"/>
                                  <w:lang w:eastAsia="lt-LT"/>
                                </w:rPr>
                              </w:pPr>
                              <w:sdt>
                                <w:sdtPr>
                                  <w:alias w:val="Numeris"/>
                                  <w:tag w:val="nr_ea9c1286656f4ddaa216ccdae8cf6e8a"/>
                                  <w:lock w:val="sdtLocked"/>
                                  <w:richText/>
                                </w:sdtPr>
                                <w:sdtContent>
                                  <w:r>
                                    <w:rPr>
                                      <w:szCs w:val="24"/>
                                      <w:lang w:eastAsia="lt-LT"/>
                                    </w:rPr>
                                    <w:t>145</w:t>
                                  </w:r>
                                </w:sdtContent>
                              </w:sdt>
                              <w:r>
                                <w:rPr>
                                  <w:szCs w:val="24"/>
                                  <w:lang w:eastAsia="lt-LT"/>
                                </w:rPr>
                                <w:t xml:space="preserve">. Atliekant rizikos analizę, rekomenduojama vadovautis Ekstremaliųjų įvykių kriterijų sąrašu, patvirtintu Lietuvos Respublikos Vyriausybės 2006 m. kovo 9 d. nutarimu Nr. 241 „Dėl Ekstremaliųjų įvykių kriterijų sąrašo patvirtinimo“, (toliau – Ekstremaliųjų įvykių kriterijų sąrašas), Stichinių, katastrofinių meteorologinių ir hidrologinių reiškinių rodikliais, patvirtintais Lietuvos Respublikos aplinkos ministro 2011 m. lapkričio 11 d. įsakymu Nr. D1-870 „Dėl Stichinių, katastrofinių meteorologinių ir hidrologinių reiškinių rodiklių patvirtinimo“, (toliau – Stichinių, katastrofinių meteorologinių ir hidrologinių reiškinių rodikliai), ūkio subjekto, kitos įstaigos galimų pavojų ir ekstremaliųjų situacijų rizikos analizės metodinėmis rekomendacijomis, tvirtinamomis Priešgaisrinės apsaugos ir gelbėjimo departamento prie Vidaus reikalų ministerijos direktoriaus įsakymu. Atliekant pavojingųjų objektų planuojamos ūkinės veiklos arba planuojamos ūkinės veiklos, dėl kurios bus reikalinga registruoti naują pavojingąjį objektą rizikos analizę, galimų avarinių situacijų prognozavimą, vertinimą ir prevencinių priemonių numatymą, vadovaujamasi Pavojingojo objekto, kuriame pavojingųjų medžiagų kiekiai prilygsta nustatytųjų kvalifikacinių kiekių aukštesniajam lygiui ar jį viršija, saugos ataskaitos rengimo rekomendacijose, tvirtinamose Priešgaisrinės apsaugos ir gelbėjimo departamento prie Vidaus reikalų ministerijos direktoriaus įsakymu, pateiktais rizikos analizės minimaliais reikalavimais ir įvertinama planuojamos ūkinės veiklos keliama individuali ir socialinė rizika. </w:t>
                              </w:r>
                            </w:p>
                          </w:sdtContent>
                        </w:sdt>
                        <w:sdt>
                          <w:sdtPr>
                            <w:alias w:val="146 p."/>
                            <w:tag w:val="part_55db31e43ad144f8bbedc8658207b20f"/>
                            <w:lock w:val="sdtLocked"/>
                            <w:richText/>
                          </w:sdtPr>
                          <w:sdtContent>
                            <w:p>
                              <w:pPr>
                                <w:ind w:firstLine="709"/>
                                <w:jc w:val="both"/>
                                <w:rPr>
                                  <w:szCs w:val="24"/>
                                  <w:lang w:eastAsia="lt-LT"/>
                                </w:rPr>
                              </w:pPr>
                              <w:sdt>
                                <w:sdtPr>
                                  <w:alias w:val="Numeris"/>
                                  <w:tag w:val="nr_55db31e43ad144f8bbedc8658207b20f"/>
                                  <w:lock w:val="sdtLocked"/>
                                  <w:richText/>
                                </w:sdtPr>
                                <w:sdtContent>
                                  <w:r>
                                    <w:rPr>
                                      <w:szCs w:val="24"/>
                                      <w:lang w:eastAsia="lt-LT"/>
                                    </w:rPr>
                                    <w:t>146</w:t>
                                  </w:r>
                                </w:sdtContent>
                              </w:sdt>
                              <w:r>
                                <w:rPr>
                                  <w:szCs w:val="24"/>
                                  <w:lang w:eastAsia="lt-LT"/>
                                </w:rPr>
                                <w:t xml:space="preserve">. Atliekant rizikos analizę: </w:t>
                              </w:r>
                            </w:p>
                            <w:sdt>
                              <w:sdtPr>
                                <w:alias w:val="146.1 pp."/>
                                <w:tag w:val="part_ce78266d9f574077baa2b70b2a2a11b8"/>
                                <w:lock w:val="sdtLocked"/>
                                <w:richText/>
                              </w:sdtPr>
                              <w:sdtContent>
                                <w:p>
                                  <w:pPr>
                                    <w:ind w:firstLine="709"/>
                                    <w:jc w:val="both"/>
                                    <w:rPr>
                                      <w:szCs w:val="24"/>
                                      <w:lang w:eastAsia="lt-LT"/>
                                    </w:rPr>
                                  </w:pPr>
                                  <w:sdt>
                                    <w:sdtPr>
                                      <w:alias w:val="Numeris"/>
                                      <w:tag w:val="nr_ce78266d9f574077baa2b70b2a2a11b8"/>
                                      <w:lock w:val="sdtLocked"/>
                                      <w:richText/>
                                    </w:sdtPr>
                                    <w:sdtContent>
                                      <w:r>
                                        <w:rPr>
                                          <w:szCs w:val="24"/>
                                          <w:lang w:eastAsia="lt-LT"/>
                                        </w:rPr>
                                        <w:t>146.1</w:t>
                                      </w:r>
                                    </w:sdtContent>
                                  </w:sdt>
                                  <w:r>
                                    <w:rPr>
                                      <w:szCs w:val="24"/>
                                      <w:lang w:eastAsia="lt-LT"/>
                                    </w:rPr>
                                    <w:t xml:space="preserve">. analizuojami atskiri planuojamos ūkinės veiklos rizikos objektai (pvz., įvairios paskirties statiniai, įrenginiai, talpos, transportas ir jo infrastruktūra); </w:t>
                                  </w:r>
                                </w:p>
                              </w:sdtContent>
                            </w:sdt>
                            <w:sdt>
                              <w:sdtPr>
                                <w:alias w:val="146.2 pp."/>
                                <w:tag w:val="part_27ddfba1ac1940a3896cb2c57b57758a"/>
                                <w:lock w:val="sdtLocked"/>
                                <w:richText/>
                              </w:sdtPr>
                              <w:sdtContent>
                                <w:p>
                                  <w:pPr>
                                    <w:ind w:firstLine="709"/>
                                    <w:jc w:val="both"/>
                                    <w:rPr>
                                      <w:szCs w:val="24"/>
                                      <w:lang w:eastAsia="lt-LT"/>
                                    </w:rPr>
                                  </w:pPr>
                                  <w:sdt>
                                    <w:sdtPr>
                                      <w:alias w:val="Numeris"/>
                                      <w:tag w:val="nr_27ddfba1ac1940a3896cb2c57b57758a"/>
                                      <w:lock w:val="sdtLocked"/>
                                      <w:richText/>
                                    </w:sdtPr>
                                    <w:sdtContent>
                                      <w:r>
                                        <w:rPr>
                                          <w:szCs w:val="24"/>
                                          <w:lang w:eastAsia="lt-LT"/>
                                        </w:rPr>
                                        <w:t>146.2</w:t>
                                      </w:r>
                                    </w:sdtContent>
                                  </w:sdt>
                                  <w:r>
                                    <w:rPr>
                                      <w:szCs w:val="24"/>
                                      <w:lang w:eastAsia="lt-LT"/>
                                    </w:rPr>
                                    <w:t xml:space="preserve">. analizuojamos rizikos objektuose atliekamos operacijos (veiklos), kurios gali būti susijusios su galimų įvykių, didelių pramoninių avarijų, </w:t>
                                  </w:r>
                                  <w:r>
                                    <w:rPr>
                                      <w:color w:val="000000"/>
                                      <w:szCs w:val="24"/>
                                      <w:lang w:eastAsia="lt-LT"/>
                                    </w:rPr>
                                    <w:t>branduolinių ar radiologinių</w:t>
                                  </w:r>
                                  <w:r>
                                    <w:rPr>
                                      <w:szCs w:val="24"/>
                                      <w:lang w:eastAsia="lt-LT"/>
                                    </w:rPr>
                                    <w:t xml:space="preserve"> avarijų, nelaimingų atsitikimų, ekstremaliųjų įvykių ir (ar) galimų ekstremaliųjų situacijų grėsme (pvz., gamyba, perdirbimas, surinkimas, pakavimas, saugojimas, krovimas, transportavimas, pardavimas); </w:t>
                                  </w:r>
                                </w:p>
                              </w:sdtContent>
                            </w:sdt>
                            <w:sdt>
                              <w:sdtPr>
                                <w:alias w:val="146.3 pp."/>
                                <w:tag w:val="part_8ebdfb9d92974a918df4f834e4a486c8"/>
                                <w:lock w:val="sdtLocked"/>
                                <w:richText/>
                              </w:sdtPr>
                              <w:sdtContent>
                                <w:p>
                                  <w:pPr>
                                    <w:ind w:firstLine="709"/>
                                    <w:jc w:val="both"/>
                                    <w:rPr>
                                      <w:szCs w:val="24"/>
                                      <w:lang w:eastAsia="lt-LT"/>
                                    </w:rPr>
                                  </w:pPr>
                                  <w:sdt>
                                    <w:sdtPr>
                                      <w:alias w:val="Numeris"/>
                                      <w:tag w:val="nr_8ebdfb9d92974a918df4f834e4a486c8"/>
                                      <w:lock w:val="sdtLocked"/>
                                      <w:richText/>
                                    </w:sdtPr>
                                    <w:sdtContent>
                                      <w:r>
                                        <w:rPr>
                                          <w:szCs w:val="24"/>
                                          <w:lang w:eastAsia="lt-LT"/>
                                        </w:rPr>
                                        <w:t>146.3</w:t>
                                      </w:r>
                                    </w:sdtContent>
                                  </w:sdt>
                                  <w:r>
                                    <w:rPr>
                                      <w:szCs w:val="24"/>
                                      <w:lang w:eastAsia="lt-LT"/>
                                    </w:rPr>
                                    <w:t xml:space="preserve">. analizuojami pavojingieji veiksniai, kurie gali būti susiję su galimų įvykių, didelių pramoninių avarijų, kitų avarijų, nelaimingų atsitikimų, ekstremaliųjų įvykių ir (ar) galimų ekstremaliųjų situacijų grėsme, įskaitant, bet neapsiribojant: </w:t>
                                  </w:r>
                                </w:p>
                                <w:sdt>
                                  <w:sdtPr>
                                    <w:alias w:val="146.3.1 pp."/>
                                    <w:tag w:val="part_774af0033b6242c3964f19388ffdb2ee"/>
                                    <w:lock w:val="sdtLocked"/>
                                    <w:richText/>
                                  </w:sdtPr>
                                  <w:sdtContent>
                                    <w:p>
                                      <w:pPr>
                                        <w:ind w:firstLine="709"/>
                                        <w:jc w:val="both"/>
                                        <w:rPr>
                                          <w:szCs w:val="24"/>
                                          <w:lang w:eastAsia="lt-LT"/>
                                        </w:rPr>
                                      </w:pPr>
                                      <w:sdt>
                                        <w:sdtPr>
                                          <w:alias w:val="Numeris"/>
                                          <w:tag w:val="nr_774af0033b6242c3964f19388ffdb2ee"/>
                                          <w:lock w:val="sdtLocked"/>
                                          <w:richText/>
                                        </w:sdtPr>
                                        <w:sdtContent>
                                          <w:r>
                                            <w:rPr>
                                              <w:szCs w:val="24"/>
                                              <w:lang w:eastAsia="lt-LT"/>
                                            </w:rPr>
                                            <w:t>146.3.1</w:t>
                                          </w:r>
                                        </w:sdtContent>
                                      </w:sdt>
                                      <w:r>
                                        <w:rPr>
                                          <w:szCs w:val="24"/>
                                          <w:lang w:eastAsia="lt-LT"/>
                                        </w:rPr>
                                        <w:t xml:space="preserve">. cheminių medžiagų ir cheminių mišinių, įskaitant ir pavojingąsias chemines medžiagas ir cheminius mišinius, kurios pagal 2008 m. gruodžio 16 d. Europos Parlamento ir Tarybos reglamentą </w:t>
                                      </w:r>
                                      <w:fldSimple w:instr="HYPERLINK http://eur-lex.europa.eu/legal-content/LIT/TXT/?uri=CELEX:32008R1272&amp;locale=lt \t _blank">
                                        <w:r>
                                          <w:rPr>
                                            <w:szCs w:val="24"/>
                                            <w:lang w:eastAsia="lt-LT"/>
                                            <w:u w:val="single"/>
                                            <w:color w:val="0000FF" w:themeColor="hyperlink"/>
                                          </w:rPr>
                                          <w:t>(EB) Nr. 1272/2008</w:t>
                                        </w:r>
                                      </w:fldSimple>
                                      <w:r>
                                        <w:rPr>
                                          <w:bCs/>
                                          <w:szCs w:val="24"/>
                                          <w:shd w:val="clear" w:color="auto" w:fill="FFFFFF"/>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bCs/>
                                            <w:szCs w:val="24"/>
                                            <w:shd w:val="clear" w:color="auto" w:fill="FFFFFF"/>
                                            <w:lang w:eastAsia="lt-LT"/>
                                            <w:u w:val="single"/>
                                            <w:color w:val="0000FF" w:themeColor="hyperlink"/>
                                          </w:rPr>
                                          <w:t>67/548/EEB</w:t>
                                        </w:r>
                                      </w:fldSimple>
                                      <w:r>
                                        <w:rPr>
                                          <w:bCs/>
                                          <w:szCs w:val="24"/>
                                          <w:shd w:val="clear" w:color="auto" w:fill="FFFFFF"/>
                                          <w:lang w:eastAsia="lt-LT"/>
                                        </w:rPr>
                                        <w:t xml:space="preserve"> bei </w:t>
                                      </w:r>
                                      <w:fldSimple w:instr="HYPERLINK http://eur-lex.europa.eu/legal-content/LIT/TXT/?uri=CELEX:31999L0045&amp;locale=lt \t _blank">
                                        <w:r>
                                          <w:rPr>
                                            <w:bCs/>
                                            <w:szCs w:val="24"/>
                                            <w:shd w:val="clear" w:color="auto" w:fill="FFFFFF"/>
                                            <w:lang w:eastAsia="lt-LT"/>
                                            <w:u w:val="single"/>
                                            <w:color w:val="0000FF" w:themeColor="hyperlink"/>
                                          </w:rPr>
                                          <w:t>1999/45/EB</w:t>
                                        </w:r>
                                      </w:fldSimple>
                                      <w:r>
                                        <w:rPr>
                                          <w:bCs/>
                                          <w:szCs w:val="24"/>
                                          <w:shd w:val="clear" w:color="auto" w:fill="FFFFFF"/>
                                          <w:lang w:eastAsia="lt-LT"/>
                                        </w:rPr>
                                        <w:t xml:space="preserve"> ir iš dalies keičiantis Reglamentą </w:t>
                                      </w:r>
                                      <w:fldSimple w:instr="HYPERLINK http://eur-lex.europa.eu/legal-content/LIT/TXT/?uri=CELEX:32006R1907&amp;locale=lt \t _blank">
                                        <w:r>
                                          <w:rPr>
                                            <w:bCs/>
                                            <w:szCs w:val="24"/>
                                            <w:shd w:val="clear" w:color="auto" w:fill="FFFFFF"/>
                                            <w:lang w:eastAsia="lt-LT"/>
                                            <w:u w:val="single"/>
                                            <w:color w:val="0000FF" w:themeColor="hyperlink"/>
                                          </w:rPr>
                                          <w:t>(EB) Nr. 1907/2006</w:t>
                                        </w:r>
                                      </w:fldSimple>
                                      <w:r>
                                        <w:rPr>
                                          <w:bCs/>
                                          <w:szCs w:val="24"/>
                                          <w:shd w:val="clear" w:color="auto" w:fill="FFFFFF"/>
                                          <w:lang w:eastAsia="lt-LT"/>
                                        </w:rPr>
                                        <w:t xml:space="preserve"> su visais pakeitimais</w:t>
                                      </w:r>
                                      <w:r>
                                        <w:rPr>
                                          <w:szCs w:val="24"/>
                                          <w:lang w:eastAsia="lt-LT"/>
                                        </w:rPr>
                                        <w:t xml:space="preserve">, klasifikuojamos kaip pavojingos, radioaktyvių medžiagų gamyba, naudojimas ar saugojimas, atsižvelgiant į tokių medžiagų ir mišinių kiekį bei savybes (pvz., toksiškumas, degumas, sprogumas); </w:t>
                                      </w:r>
                                    </w:p>
                                  </w:sdtContent>
                                </w:sdt>
                                <w:sdt>
                                  <w:sdtPr>
                                    <w:alias w:val="146.3.2 pp."/>
                                    <w:tag w:val="part_77d4c2548d684e30936539c08a633622"/>
                                    <w:lock w:val="sdtLocked"/>
                                    <w:richText/>
                                  </w:sdtPr>
                                  <w:sdtContent>
                                    <w:p>
                                      <w:pPr>
                                        <w:ind w:firstLine="709"/>
                                        <w:jc w:val="both"/>
                                        <w:rPr>
                                          <w:szCs w:val="24"/>
                                          <w:lang w:eastAsia="lt-LT"/>
                                        </w:rPr>
                                      </w:pPr>
                                      <w:sdt>
                                        <w:sdtPr>
                                          <w:alias w:val="Numeris"/>
                                          <w:tag w:val="nr_77d4c2548d684e30936539c08a633622"/>
                                          <w:lock w:val="sdtLocked"/>
                                          <w:richText/>
                                        </w:sdtPr>
                                        <w:sdtContent>
                                          <w:r>
                                            <w:rPr>
                                              <w:szCs w:val="24"/>
                                              <w:lang w:eastAsia="lt-LT"/>
                                            </w:rPr>
                                            <w:t>146.3.2</w:t>
                                          </w:r>
                                        </w:sdtContent>
                                      </w:sdt>
                                      <w:r>
                                        <w:rPr>
                                          <w:szCs w:val="24"/>
                                          <w:lang w:eastAsia="lt-LT"/>
                                        </w:rPr>
                                        <w:t xml:space="preserve">. pavojingųjų, nepavojingųjų ir radioaktyviųjų atliekų susidarymas, laikymas, naudojimas ir šalinimas, įskaitant informaciją apie pavojingųjų atliekų technologinius srautus, planuojamą jų kiekį, tvarkymą; </w:t>
                                      </w:r>
                                    </w:p>
                                  </w:sdtContent>
                                </w:sdt>
                                <w:sdt>
                                  <w:sdtPr>
                                    <w:alias w:val="146.3.3 pp."/>
                                    <w:tag w:val="part_ddce14d1f11949e39d96f1e04c7e08f4"/>
                                    <w:lock w:val="sdtLocked"/>
                                    <w:richText/>
                                  </w:sdtPr>
                                  <w:sdtContent>
                                    <w:p>
                                      <w:pPr>
                                        <w:ind w:firstLine="709"/>
                                        <w:jc w:val="both"/>
                                        <w:rPr>
                                          <w:szCs w:val="24"/>
                                          <w:lang w:eastAsia="lt-LT"/>
                                        </w:rPr>
                                      </w:pPr>
                                      <w:sdt>
                                        <w:sdtPr>
                                          <w:alias w:val="Numeris"/>
                                          <w:tag w:val="nr_ddce14d1f11949e39d96f1e04c7e08f4"/>
                                          <w:lock w:val="sdtLocked"/>
                                          <w:richText/>
                                        </w:sdtPr>
                                        <w:sdtContent>
                                          <w:r>
                                            <w:rPr>
                                              <w:szCs w:val="24"/>
                                              <w:lang w:eastAsia="lt-LT"/>
                                            </w:rPr>
                                            <w:t>146.3.3</w:t>
                                          </w:r>
                                        </w:sdtContent>
                                      </w:sdt>
                                      <w:r>
                                        <w:rPr>
                                          <w:szCs w:val="24"/>
                                          <w:lang w:eastAsia="lt-LT"/>
                                        </w:rPr>
                                        <w:t xml:space="preserve">. techninės, technologinės ar sandėliavimo sąlygos, turinčios įtakos talpų, vamzdynų ir technologinės įrangos išsihermetinimui, gaisrui ar sprogimui, statinių griūčiai dėl technologinių sutrikimų, personalo klaidų, erozijos/korozijos, mechaninių pažeidimų, autoįvykių, terorizmo/sabotažo ir pan.; </w:t>
                                      </w:r>
                                    </w:p>
                                  </w:sdtContent>
                                </w:sdt>
                                <w:sdt>
                                  <w:sdtPr>
                                    <w:alias w:val="146.3.4 pp."/>
                                    <w:tag w:val="part_a43e46c37cfe46ff9af9dcf7f6dd59f4"/>
                                    <w:lock w:val="sdtLocked"/>
                                    <w:richText/>
                                  </w:sdtPr>
                                  <w:sdtContent>
                                    <w:p>
                                      <w:pPr>
                                        <w:ind w:firstLine="709"/>
                                        <w:jc w:val="both"/>
                                        <w:rPr>
                                          <w:szCs w:val="24"/>
                                          <w:lang w:eastAsia="lt-LT"/>
                                        </w:rPr>
                                      </w:pPr>
                                      <w:sdt>
                                        <w:sdtPr>
                                          <w:alias w:val="Numeris"/>
                                          <w:tag w:val="nr_a43e46c37cfe46ff9af9dcf7f6dd59f4"/>
                                          <w:lock w:val="sdtLocked"/>
                                          <w:richText/>
                                        </w:sdtPr>
                                        <w:sdtContent>
                                          <w:r>
                                            <w:rPr>
                                              <w:szCs w:val="24"/>
                                              <w:lang w:eastAsia="lt-LT"/>
                                            </w:rPr>
                                            <w:t>146.3.4</w:t>
                                          </w:r>
                                        </w:sdtContent>
                                      </w:sdt>
                                      <w:r>
                                        <w:rPr>
                                          <w:szCs w:val="24"/>
                                          <w:lang w:eastAsia="lt-LT"/>
                                        </w:rPr>
                                        <w:t xml:space="preserve">. transporto (kelių, geležinkelių, vandens, oro) organizavimas ir jo intensyvumas planuojamos ūkinės veiklos vykdymo metu; </w:t>
                                      </w:r>
                                    </w:p>
                                  </w:sdtContent>
                                </w:sdt>
                                <w:sdt>
                                  <w:sdtPr>
                                    <w:alias w:val="146.3.5 pp."/>
                                    <w:tag w:val="part_8b2728e6f607444b950e167db39c03ba"/>
                                    <w:lock w:val="sdtLocked"/>
                                    <w:richText/>
                                  </w:sdtPr>
                                  <w:sdtContent>
                                    <w:p>
                                      <w:pPr>
                                        <w:ind w:firstLine="709"/>
                                        <w:jc w:val="both"/>
                                        <w:rPr>
                                          <w:szCs w:val="24"/>
                                          <w:lang w:eastAsia="lt-LT"/>
                                        </w:rPr>
                                      </w:pPr>
                                      <w:sdt>
                                        <w:sdtPr>
                                          <w:alias w:val="Numeris"/>
                                          <w:tag w:val="nr_8b2728e6f607444b950e167db39c03ba"/>
                                          <w:lock w:val="sdtLocked"/>
                                          <w:richText/>
                                        </w:sdtPr>
                                        <w:sdtContent>
                                          <w:r>
                                            <w:rPr>
                                              <w:szCs w:val="24"/>
                                              <w:lang w:eastAsia="lt-LT"/>
                                            </w:rPr>
                                            <w:t>146.3.5</w:t>
                                          </w:r>
                                        </w:sdtContent>
                                      </w:sdt>
                                      <w:r>
                                        <w:rPr>
                                          <w:szCs w:val="24"/>
                                          <w:lang w:eastAsia="lt-LT"/>
                                        </w:rPr>
                                        <w:t xml:space="preserve">. planuojamos ūkinės veiklos pažeidžiamumas dėl įvairaus pobūdžio ligų protrūkio, epidemijų, pandemijų ir kitų biologinės kilmės įvykių; </w:t>
                                      </w:r>
                                    </w:p>
                                  </w:sdtContent>
                                </w:sdt>
                                <w:sdt>
                                  <w:sdtPr>
                                    <w:alias w:val="146.3.6 pp."/>
                                    <w:tag w:val="part_7b18a72e160147be8f6568f6295d9f7c"/>
                                    <w:lock w:val="sdtLocked"/>
                                    <w:richText/>
                                  </w:sdtPr>
                                  <w:sdtContent>
                                    <w:p>
                                      <w:pPr>
                                        <w:ind w:firstLine="709"/>
                                        <w:jc w:val="both"/>
                                        <w:rPr>
                                          <w:szCs w:val="24"/>
                                          <w:lang w:eastAsia="lt-LT"/>
                                        </w:rPr>
                                      </w:pPr>
                                      <w:sdt>
                                        <w:sdtPr>
                                          <w:alias w:val="Numeris"/>
                                          <w:tag w:val="nr_7b18a72e160147be8f6568f6295d9f7c"/>
                                          <w:lock w:val="sdtLocked"/>
                                          <w:richText/>
                                        </w:sdtPr>
                                        <w:sdtContent>
                                          <w:r>
                                            <w:rPr>
                                              <w:szCs w:val="24"/>
                                              <w:lang w:eastAsia="lt-LT"/>
                                            </w:rPr>
                                            <w:t>146.3.6</w:t>
                                          </w:r>
                                        </w:sdtContent>
                                      </w:sdt>
                                      <w:r>
                                        <w:rPr>
                                          <w:szCs w:val="24"/>
                                          <w:lang w:eastAsia="lt-LT"/>
                                        </w:rPr>
                                        <w:t xml:space="preserve">. terorizmo, sabotažo, nusikalstamos veikos ar kitų socialinės kilmės įvykių galimybė; </w:t>
                                      </w:r>
                                    </w:p>
                                  </w:sdtContent>
                                </w:sdt>
                                <w:sdt>
                                  <w:sdtPr>
                                    <w:alias w:val="146.3.7 pp."/>
                                    <w:tag w:val="part_ffb751f87c5c4c3487d8522f9ebef40b"/>
                                    <w:lock w:val="sdtLocked"/>
                                    <w:richText/>
                                  </w:sdtPr>
                                  <w:sdtContent>
                                    <w:p>
                                      <w:pPr>
                                        <w:ind w:firstLine="709"/>
                                        <w:jc w:val="both"/>
                                        <w:rPr>
                                          <w:szCs w:val="24"/>
                                          <w:lang w:eastAsia="lt-LT"/>
                                        </w:rPr>
                                      </w:pPr>
                                      <w:sdt>
                                        <w:sdtPr>
                                          <w:alias w:val="Numeris"/>
                                          <w:tag w:val="nr_ffb751f87c5c4c3487d8522f9ebef40b"/>
                                          <w:lock w:val="sdtLocked"/>
                                          <w:richText/>
                                        </w:sdtPr>
                                        <w:sdtContent>
                                          <w:r>
                                            <w:rPr>
                                              <w:szCs w:val="24"/>
                                              <w:lang w:eastAsia="lt-LT"/>
                                            </w:rPr>
                                            <w:t>146.3.7</w:t>
                                          </w:r>
                                        </w:sdtContent>
                                      </w:sdt>
                                      <w:r>
                                        <w:rPr>
                                          <w:szCs w:val="24"/>
                                          <w:lang w:eastAsia="lt-LT"/>
                                        </w:rPr>
                                        <w:t xml:space="preserve">. branduolinio ar radiologinio incidento keliamas pavojus; </w:t>
                                      </w:r>
                                    </w:p>
                                  </w:sdtContent>
                                </w:sdt>
                                <w:sdt>
                                  <w:sdtPr>
                                    <w:alias w:val="146.3.8 pp."/>
                                    <w:tag w:val="part_042c65b14800462eb8e156ca8c2451b5"/>
                                    <w:lock w:val="sdtLocked"/>
                                    <w:richText/>
                                  </w:sdtPr>
                                  <w:sdtContent>
                                    <w:p>
                                      <w:pPr>
                                        <w:ind w:firstLine="709"/>
                                        <w:jc w:val="both"/>
                                        <w:rPr>
                                          <w:szCs w:val="24"/>
                                          <w:lang w:eastAsia="lt-LT"/>
                                        </w:rPr>
                                      </w:pPr>
                                      <w:sdt>
                                        <w:sdtPr>
                                          <w:alias w:val="Numeris"/>
                                          <w:tag w:val="nr_042c65b14800462eb8e156ca8c2451b5"/>
                                          <w:lock w:val="sdtLocked"/>
                                          <w:richText/>
                                        </w:sdtPr>
                                        <w:sdtContent>
                                          <w:r>
                                            <w:rPr>
                                              <w:szCs w:val="24"/>
                                              <w:lang w:eastAsia="lt-LT"/>
                                            </w:rPr>
                                            <w:t>146.3.8</w:t>
                                          </w:r>
                                        </w:sdtContent>
                                      </w:sdt>
                                      <w:r>
                                        <w:rPr>
                                          <w:szCs w:val="24"/>
                                          <w:lang w:eastAsia="lt-LT"/>
                                        </w:rPr>
                                        <w:t xml:space="preserve">. ekstremalūs geologiniai, meteorologiniai ar hidrologiniai reiškiniai; </w:t>
                                      </w:r>
                                    </w:p>
                                  </w:sdtContent>
                                </w:sdt>
                                <w:sdt>
                                  <w:sdtPr>
                                    <w:alias w:val="146.3.9 pp."/>
                                    <w:tag w:val="part_6c0ee14ecbc1466482c096d819a89485"/>
                                    <w:lock w:val="sdtLocked"/>
                                    <w:richText/>
                                  </w:sdtPr>
                                  <w:sdtContent>
                                    <w:p>
                                      <w:pPr>
                                        <w:ind w:firstLine="709"/>
                                        <w:jc w:val="both"/>
                                        <w:rPr>
                                          <w:szCs w:val="24"/>
                                          <w:lang w:eastAsia="lt-LT"/>
                                        </w:rPr>
                                      </w:pPr>
                                      <w:sdt>
                                        <w:sdtPr>
                                          <w:alias w:val="Numeris"/>
                                          <w:tag w:val="nr_6c0ee14ecbc1466482c096d819a89485"/>
                                          <w:lock w:val="sdtLocked"/>
                                          <w:richText/>
                                        </w:sdtPr>
                                        <w:sdtContent>
                                          <w:r>
                                            <w:rPr>
                                              <w:szCs w:val="24"/>
                                              <w:lang w:eastAsia="lt-LT"/>
                                            </w:rPr>
                                            <w:t>146.3.9</w:t>
                                          </w:r>
                                        </w:sdtContent>
                                      </w:sdt>
                                      <w:r>
                                        <w:rPr>
                                          <w:szCs w:val="24"/>
                                          <w:lang w:eastAsia="lt-LT"/>
                                        </w:rPr>
                                        <w:t xml:space="preserve">. neplanuotas energetikos, komunalinių, ryšių paslaugų nutraukimas; </w:t>
                                      </w:r>
                                    </w:p>
                                  </w:sdtContent>
                                </w:sdt>
                                <w:sdt>
                                  <w:sdtPr>
                                    <w:alias w:val="146.3.10 pp."/>
                                    <w:tag w:val="part_8504b671fea347d1aac0231155d7f259"/>
                                    <w:lock w:val="sdtLocked"/>
                                    <w:richText/>
                                  </w:sdtPr>
                                  <w:sdtContent>
                                    <w:p>
                                      <w:pPr>
                                        <w:ind w:firstLine="709"/>
                                        <w:jc w:val="both"/>
                                        <w:rPr>
                                          <w:szCs w:val="24"/>
                                          <w:lang w:eastAsia="lt-LT"/>
                                        </w:rPr>
                                      </w:pPr>
                                      <w:sdt>
                                        <w:sdtPr>
                                          <w:alias w:val="Numeris"/>
                                          <w:tag w:val="nr_8504b671fea347d1aac0231155d7f259"/>
                                          <w:lock w:val="sdtLocked"/>
                                          <w:richText/>
                                        </w:sdtPr>
                                        <w:sdtContent>
                                          <w:r>
                                            <w:rPr>
                                              <w:szCs w:val="24"/>
                                              <w:lang w:eastAsia="lt-LT"/>
                                            </w:rPr>
                                            <w:t>146.3.10</w:t>
                                          </w:r>
                                        </w:sdtContent>
                                      </w:sdt>
                                      <w:r>
                                        <w:rPr>
                                          <w:szCs w:val="24"/>
                                          <w:lang w:eastAsia="lt-LT"/>
                                        </w:rPr>
                                        <w:t xml:space="preserve">. kiti veiksniai ir sąlygos, nustatyti vadovaujantis Ekstremaliųjų įvykių kriterijų sąrašu  ir Stichinių, katastrofinių meteorologinių ir hidrologinių reiškinių rodikliais; </w:t>
                                      </w:r>
                                    </w:p>
                                  </w:sdtContent>
                                </w:sdt>
                              </w:sdtContent>
                            </w:sdt>
                            <w:sdt>
                              <w:sdtPr>
                                <w:alias w:val="146.4 pp."/>
                                <w:tag w:val="part_b4e4e16b998d4709aa598d62be734e4c"/>
                                <w:lock w:val="sdtLocked"/>
                                <w:richText/>
                              </w:sdtPr>
                              <w:sdtContent>
                                <w:p>
                                  <w:pPr>
                                    <w:ind w:firstLine="709"/>
                                    <w:jc w:val="both"/>
                                    <w:rPr>
                                      <w:szCs w:val="24"/>
                                      <w:lang w:eastAsia="lt-LT"/>
                                    </w:rPr>
                                  </w:pPr>
                                  <w:sdt>
                                    <w:sdtPr>
                                      <w:alias w:val="Numeris"/>
                                      <w:tag w:val="nr_b4e4e16b998d4709aa598d62be734e4c"/>
                                      <w:lock w:val="sdtLocked"/>
                                      <w:richText/>
                                    </w:sdtPr>
                                    <w:sdtContent>
                                      <w:r>
                                        <w:rPr>
                                          <w:szCs w:val="24"/>
                                          <w:lang w:eastAsia="lt-LT"/>
                                        </w:rPr>
                                        <w:t>146.4</w:t>
                                      </w:r>
                                    </w:sdtContent>
                                  </w:sdt>
                                  <w:r>
                                    <w:rPr>
                                      <w:szCs w:val="24"/>
                                      <w:lang w:eastAsia="lt-LT"/>
                                    </w:rPr>
                                    <w:t xml:space="preserve">. analizuojami blogiausi (sukeliantys didžiausias, blogiausias, sunkiausias pasekmes) ir charakteringi (sukeliantys vidutines ar mažas labiausiai tikėtinas planuojamos ūkinės veiklos vykdymo metu pasekmes) galimų įvykių scenarijai; </w:t>
                                  </w:r>
                                </w:p>
                              </w:sdtContent>
                            </w:sdt>
                            <w:sdt>
                              <w:sdtPr>
                                <w:alias w:val="146.5 pp."/>
                                <w:tag w:val="part_a50529360c994ae3b8955d23dc60fc91"/>
                                <w:lock w:val="sdtLocked"/>
                                <w:richText/>
                              </w:sdtPr>
                              <w:sdtContent>
                                <w:p>
                                  <w:pPr>
                                    <w:ind w:firstLine="709"/>
                                    <w:jc w:val="both"/>
                                    <w:rPr>
                                      <w:szCs w:val="24"/>
                                      <w:lang w:eastAsia="lt-LT"/>
                                    </w:rPr>
                                  </w:pPr>
                                  <w:sdt>
                                    <w:sdtPr>
                                      <w:alias w:val="Numeris"/>
                                      <w:tag w:val="nr_a50529360c994ae3b8955d23dc60fc91"/>
                                      <w:lock w:val="sdtLocked"/>
                                      <w:richText/>
                                    </w:sdtPr>
                                    <w:sdtContent>
                                      <w:r>
                                        <w:rPr>
                                          <w:szCs w:val="24"/>
                                          <w:lang w:eastAsia="lt-LT"/>
                                        </w:rPr>
                                        <w:t>146.5</w:t>
                                      </w:r>
                                    </w:sdtContent>
                                  </w:sdt>
                                  <w:r>
                                    <w:rPr>
                                      <w:szCs w:val="24"/>
                                      <w:lang w:eastAsia="lt-LT"/>
                                    </w:rPr>
                                    <w:t xml:space="preserve">. analizuojama, kokio pobūdžio įvykius, dideles pramonines avarijas, kitas avarijas, nelaimingus atsitikimus, ekstremaliuosius įvykius ir (ar) galimas ekstremaliąsias situacijas (pvz., sprogimas, gaisras, pavojingų medžiagų išsiveržimas į aplinką, nekontroliuojamos cheminės reakcijos, išsilaisvinusi nevaldoma energija, griuvimas) gali sukelti pavojingi veiksniai pavieniui ar kartu su kitais pavojingais veiksniais, įskaitant tas, kurias gali lemti klimato kaita; </w:t>
                                  </w:r>
                                </w:p>
                              </w:sdtContent>
                            </w:sdt>
                            <w:sdt>
                              <w:sdtPr>
                                <w:alias w:val="146.6 pp."/>
                                <w:tag w:val="part_c97ac94e659542659545e01e4cb317fd"/>
                                <w:lock w:val="sdtLocked"/>
                                <w:richText/>
                              </w:sdtPr>
                              <w:sdtContent>
                                <w:p>
                                  <w:pPr>
                                    <w:ind w:firstLine="709"/>
                                    <w:jc w:val="both"/>
                                    <w:rPr>
                                      <w:szCs w:val="24"/>
                                      <w:lang w:eastAsia="lt-LT"/>
                                    </w:rPr>
                                  </w:pPr>
                                  <w:sdt>
                                    <w:sdtPr>
                                      <w:alias w:val="Numeris"/>
                                      <w:tag w:val="nr_c97ac94e659542659545e01e4cb317fd"/>
                                      <w:lock w:val="sdtLocked"/>
                                      <w:richText/>
                                    </w:sdtPr>
                                    <w:sdtContent>
                                      <w:r>
                                        <w:rPr>
                                          <w:szCs w:val="24"/>
                                          <w:lang w:eastAsia="lt-LT"/>
                                        </w:rPr>
                                        <w:t>146.6</w:t>
                                      </w:r>
                                    </w:sdtContent>
                                  </w:sdt>
                                  <w:r>
                                    <w:rPr>
                                      <w:szCs w:val="24"/>
                                      <w:lang w:eastAsia="lt-LT"/>
                                    </w:rPr>
                                    <w:t xml:space="preserve">. analizuojama, kokį poveikį planuojamos ūkinės veiklos sukeliami įvykiai, didelės pramoninės avarijos, kitos avarijos, nelaimingi atsitikimai, ekstremalieji įvykiai ir (ar) galimos ekstremaliosios situacijos gali daryti artimoje planuojamos ūkinės veiklos aplinkoje esantiems pavojingiesiems ir pažeidžiamiems objektams (pvz., keliams, geležinkeliams, oro ir jūrų uostams, gyvenamiesiems pastatams, parduotuvėms, sandėliams, degalinėms, pramonės objektams, elektros perdavimo linijoms, vandentiekio ir šilumos tinklams, nutekamojo vandens vamzdynams, vandenvietėms, gruntiniams bei paviršiniams vandenims, dujotiekiams bei naftotiekiams, saugykloms (rezervuarams), įmonėms ir organizacijoms, esančioms ir vykdančioms ūkinę veiklą nagrinėjamoje teritorijoje, ir kt.), aplinkos elementams ir visuomenės sveikatai (pvz., aplinkos oro, vandens, dirvožemio, žemės ir jos gelmių užteršimas cheminėmis, biologinėmis, radioaktyviomis medžiagomis ar kraštovaizdžio ir biologinės įvairovės, materialinių ir nekilnojamųjų kultūros paveldo vertybių sunaikinimas), ir kaip aplinkos objektai, elementai ir reiškiniai gali paveikti planuojamą ūkinę veiklą; </w:t>
                                  </w:r>
                                </w:p>
                              </w:sdtContent>
                            </w:sdt>
                            <w:sdt>
                              <w:sdtPr>
                                <w:alias w:val="146.7 pp."/>
                                <w:tag w:val="part_cbeb07ac7be74475b3c9e7e2d7566b2a"/>
                                <w:lock w:val="sdtLocked"/>
                                <w:richText/>
                              </w:sdtPr>
                              <w:sdtContent>
                                <w:p>
                                  <w:pPr>
                                    <w:ind w:firstLine="709"/>
                                    <w:jc w:val="both"/>
                                    <w:rPr>
                                      <w:szCs w:val="24"/>
                                      <w:lang w:eastAsia="lt-LT"/>
                                    </w:rPr>
                                  </w:pPr>
                                  <w:sdt>
                                    <w:sdtPr>
                                      <w:alias w:val="Numeris"/>
                                      <w:tag w:val="nr_cbeb07ac7be74475b3c9e7e2d7566b2a"/>
                                      <w:lock w:val="sdtLocked"/>
                                      <w:richText/>
                                    </w:sdtPr>
                                    <w:sdtContent>
                                      <w:r>
                                        <w:rPr>
                                          <w:szCs w:val="24"/>
                                          <w:lang w:eastAsia="lt-LT"/>
                                        </w:rPr>
                                        <w:t>146.7</w:t>
                                      </w:r>
                                    </w:sdtContent>
                                  </w:sdt>
                                  <w:r>
                                    <w:rPr>
                                      <w:szCs w:val="24"/>
                                      <w:lang w:eastAsia="lt-LT"/>
                                    </w:rPr>
                                    <w:t xml:space="preserve">. atsižvelgiant į analizuotus rizikos objektus, operacijas (veiklas) ir pavojinguosius veiksnius, nustatoma galimų įvykių, didelių pramoninių avarijų, </w:t>
                                  </w:r>
                                  <w:r>
                                    <w:rPr>
                                      <w:color w:val="000000"/>
                                      <w:szCs w:val="24"/>
                                      <w:lang w:eastAsia="lt-LT"/>
                                    </w:rPr>
                                    <w:t>branduolinių ar radiologinių</w:t>
                                  </w:r>
                                  <w:r>
                                    <w:rPr>
                                      <w:szCs w:val="24"/>
                                      <w:lang w:eastAsia="lt-LT"/>
                                    </w:rPr>
                                    <w:t xml:space="preserve"> avarijų, nelaimingų atsitikimų, ekstremaliųjų įvykių ir (ar) galimų ekstremaliųjų situacijų galimo pavojaus padarinių (poveikio) zonos (išplitimas) ir tikimybė; </w:t>
                                  </w:r>
                                </w:p>
                              </w:sdtContent>
                            </w:sdt>
                            <w:sdt>
                              <w:sdtPr>
                                <w:alias w:val="146.8 pp."/>
                                <w:tag w:val="part_c1a33cc085d045e1a934ae5036cddcff"/>
                                <w:lock w:val="sdtLocked"/>
                                <w:richText/>
                              </w:sdtPr>
                              <w:sdtContent>
                                <w:p>
                                  <w:pPr>
                                    <w:ind w:firstLine="709"/>
                                    <w:jc w:val="both"/>
                                    <w:rPr>
                                      <w:szCs w:val="24"/>
                                      <w:lang w:eastAsia="lt-LT"/>
                                    </w:rPr>
                                  </w:pPr>
                                  <w:sdt>
                                    <w:sdtPr>
                                      <w:alias w:val="Numeris"/>
                                      <w:tag w:val="nr_c1a33cc085d045e1a934ae5036cddcff"/>
                                      <w:lock w:val="sdtLocked"/>
                                      <w:richText/>
                                    </w:sdtPr>
                                    <w:sdtContent>
                                      <w:r>
                                        <w:rPr>
                                          <w:szCs w:val="24"/>
                                          <w:lang w:eastAsia="lt-LT"/>
                                        </w:rPr>
                                        <w:t>146.8</w:t>
                                      </w:r>
                                    </w:sdtContent>
                                  </w:sdt>
                                  <w:r>
                                    <w:rPr>
                                      <w:szCs w:val="24"/>
                                      <w:lang w:eastAsia="lt-LT"/>
                                    </w:rPr>
                                    <w:t xml:space="preserve">. nustatoma galimų įvykių, didelių pramoninių avarijų, </w:t>
                                  </w:r>
                                  <w:r>
                                    <w:rPr>
                                      <w:color w:val="000000"/>
                                      <w:szCs w:val="24"/>
                                      <w:lang w:eastAsia="lt-LT"/>
                                    </w:rPr>
                                    <w:t>branduolinių ar radiologinių</w:t>
                                  </w:r>
                                  <w:r>
                                    <w:rPr>
                                      <w:szCs w:val="24"/>
                                      <w:lang w:eastAsia="lt-LT"/>
                                    </w:rPr>
                                    <w:t xml:space="preserve"> avarijų, nelaimingų atsitikimų, ekstremaliųjų įvykių ir (ar) galimų ekstremaliųjų situacijų rizika, kurią nusako poveikio ir tikimybės dydžiai; </w:t>
                                  </w:r>
                                </w:p>
                              </w:sdtContent>
                            </w:sdt>
                            <w:sdt>
                              <w:sdtPr>
                                <w:alias w:val="146.9 pp."/>
                                <w:tag w:val="part_be36bf08255b4f3ca87b70957073945e"/>
                                <w:lock w:val="sdtLocked"/>
                                <w:richText/>
                              </w:sdtPr>
                              <w:sdtContent>
                                <w:p>
                                  <w:pPr>
                                    <w:ind w:firstLine="709"/>
                                    <w:jc w:val="both"/>
                                    <w:rPr>
                                      <w:szCs w:val="24"/>
                                      <w:lang w:eastAsia="lt-LT"/>
                                    </w:rPr>
                                  </w:pPr>
                                  <w:sdt>
                                    <w:sdtPr>
                                      <w:alias w:val="Numeris"/>
                                      <w:tag w:val="nr_be36bf08255b4f3ca87b70957073945e"/>
                                      <w:lock w:val="sdtLocked"/>
                                      <w:richText/>
                                    </w:sdtPr>
                                    <w:sdtContent>
                                      <w:r>
                                        <w:rPr>
                                          <w:szCs w:val="24"/>
                                          <w:lang w:eastAsia="lt-LT"/>
                                        </w:rPr>
                                        <w:t>146.9</w:t>
                                      </w:r>
                                    </w:sdtContent>
                                  </w:sdt>
                                  <w:r>
                                    <w:rPr>
                                      <w:szCs w:val="24"/>
                                      <w:lang w:eastAsia="lt-LT"/>
                                    </w:rPr>
                                    <w:t xml:space="preserve">. nustatomas galimų įvykių, didelių pramoninių avarijų, </w:t>
                                  </w:r>
                                  <w:r>
                                    <w:rPr>
                                      <w:color w:val="000000"/>
                                      <w:szCs w:val="24"/>
                                      <w:lang w:eastAsia="lt-LT"/>
                                    </w:rPr>
                                    <w:t>branduolinių ar radiologinių</w:t>
                                  </w:r>
                                  <w:r>
                                    <w:rPr>
                                      <w:szCs w:val="24"/>
                                      <w:lang w:eastAsia="lt-LT"/>
                                    </w:rPr>
                                    <w:t xml:space="preserve"> avarijų, nelaimingų atsitikimų, ekstremaliųjų įvykių ir (ar) galimų ekstremaliųjų situacijų rizikos priimtinumas. </w:t>
                                  </w:r>
                                </w:p>
                                <w:p>
                                  <w:pPr>
                                    <w:ind w:firstLine="709"/>
                                    <w:jc w:val="both"/>
                                    <w:rPr>
                                      <w:szCs w:val="24"/>
                                      <w:lang w:eastAsia="lt-LT"/>
                                    </w:rPr>
                                  </w:pPr>
                                  <w:r>
                                    <w:rPr>
                                      <w:szCs w:val="24"/>
                                      <w:lang w:eastAsia="lt-LT"/>
                                    </w:rPr>
                                    <w:t>Reikšmingo neigiamo poveikio aplinkai išvengimo, sumažinimo ir kompensavimo priemonės</w:t>
                                  </w:r>
                                </w:p>
                              </w:sdtContent>
                            </w:sdt>
                          </w:sdtContent>
                        </w:sdt>
                        <w:sdt>
                          <w:sdtPr>
                            <w:alias w:val="147 p."/>
                            <w:tag w:val="part_ffc6e057d06b453ab5e9c4d654460af0"/>
                            <w:lock w:val="sdtLocked"/>
                            <w:richText/>
                          </w:sdtPr>
                          <w:sdtContent>
                            <w:p>
                              <w:pPr>
                                <w:ind w:firstLine="709"/>
                                <w:jc w:val="both"/>
                                <w:rPr>
                                  <w:szCs w:val="24"/>
                                  <w:lang w:eastAsia="lt-LT"/>
                                </w:rPr>
                              </w:pPr>
                              <w:sdt>
                                <w:sdtPr>
                                  <w:alias w:val="Numeris"/>
                                  <w:tag w:val="nr_ffc6e057d06b453ab5e9c4d654460af0"/>
                                  <w:lock w:val="sdtLocked"/>
                                  <w:richText/>
                                </w:sdtPr>
                                <w:sdtContent>
                                  <w:r>
                                    <w:rPr>
                                      <w:szCs w:val="24"/>
                                      <w:lang w:eastAsia="lt-LT"/>
                                    </w:rPr>
                                    <w:t>147</w:t>
                                  </w:r>
                                </w:sdtContent>
                              </w:sdt>
                              <w:r>
                                <w:rPr>
                                  <w:szCs w:val="24"/>
                                  <w:lang w:eastAsia="lt-LT"/>
                                </w:rPr>
                                <w:t xml:space="preserve">. Atlikus planuojamos ūkinės veiklos rizikos analizę, turi būti numatomos prevencinės ir likvidavimo priemonės, kurių numatoma imtis siekiant išvengti numatomo reikšmingo neigiamo poveikio, jį sumažinti ar, jeigu įmanoma, jį kompensuoti. Pateikiamas aprašymas priemonių, susijusių su pasirengimu ekstremaliosioms situacijoms ir siūlomu reagavimu į jas. Atlikus rizikos analizę, nurodoma, ar planuojantis ūkinę veiklą ūkio subjektas atitinka (atitiks) kriterijus ūkio subjektams ir kitoms įstaigoms, kurių vadovai turi organizuoti ekstremaliųjų situacijų valdymo planų rengimą, derinimą ir tvirtinimą, ir ūkio subjektams, kurių vadovai turi sudaryti ekstremaliųjų situacijų operacijų centrą, atvirtinamus Priešgaisrinės apsaugos ir gelbėjimo departamento prie Vidaus reikalų ministerijos direktoriaus įsakymu ir privalo (privalės) rengti (koreguoti) ekstremaliųjų situacijų valdymo planą, vadovaujantis Lietuvos Respublikos civilinės saugos įstatymo 16 straipsnį 3 dalies 9 punktu, ir ekstremaliųjų situacijų prevencijos priemonių planą. Esamų ar naujai registruojamų pavojingųjų objektų atveju nurodoma ar bus privaloma rengti (koreguoti) dokumentus, nurodytus Pramoninių avarijų prevencijos, likvidavimo ir tyrimo nuostatuose, patvirtintuose Lietuvos Respublikos Vyriausybės 2004 m. rugpjūčio 17 d. nutarimu Nr. 966 „Dėl Pramoninių avarijų prevencijos, likvidavimo ir tyrimo nuostatų ir Pavojingųjų medžiagų ir mišinių sąrašo, jų kvalifikacinių kiekių nustatymo ir cheminių medžiagų bei mišinių priskyrimo pavojingosioms medžiagoms kriterijų aprašo patvirtinimo“, (toliau – Pramoninių avarijų prevencijos, likvidavimo ir tyrimo nuostatai). </w:t>
                              </w:r>
                            </w:p>
                          </w:sdtContent>
                        </w:sdt>
                        <w:sdt>
                          <w:sdtPr>
                            <w:alias w:val="148 p."/>
                            <w:tag w:val="part_4b1b197136e44836b4079a7f18a14163"/>
                            <w:lock w:val="sdtLocked"/>
                            <w:richText/>
                          </w:sdtPr>
                          <w:sdtContent>
                            <w:p>
                              <w:pPr>
                                <w:ind w:firstLine="709"/>
                                <w:jc w:val="both"/>
                                <w:rPr>
                                  <w:szCs w:val="24"/>
                                  <w:lang w:eastAsia="lt-LT"/>
                                </w:rPr>
                              </w:pPr>
                              <w:sdt>
                                <w:sdtPr>
                                  <w:alias w:val="Numeris"/>
                                  <w:tag w:val="nr_4b1b197136e44836b4079a7f18a14163"/>
                                  <w:lock w:val="sdtLocked"/>
                                  <w:richText/>
                                </w:sdtPr>
                                <w:sdtContent>
                                  <w:r>
                                    <w:rPr>
                                      <w:szCs w:val="24"/>
                                      <w:lang w:eastAsia="lt-LT"/>
                                    </w:rPr>
                                    <w:t>148</w:t>
                                  </w:r>
                                </w:sdtContent>
                              </w:sdt>
                              <w:r>
                                <w:rPr>
                                  <w:szCs w:val="24"/>
                                  <w:lang w:eastAsia="lt-LT"/>
                                </w:rPr>
                                <w:t xml:space="preserve">. Planuojamos ūkinės veiklos poveikio aplinkai vertinimo metu ekstremaliųjų situacijų valdymo planas, ekstremalių situacijų prevencijos priemonių planas ar pavojingųjų objektų dokumentai, nurodyti Pramoninių avarijų prevencijos, likvidavimo ir tyrimo nuostatuose, nerengiami. </w:t>
                              </w:r>
                            </w:p>
                            <w:p>
                              <w:pPr>
                                <w:ind w:firstLine="709"/>
                                <w:jc w:val="both"/>
                                <w:rPr>
                                  <w:szCs w:val="24"/>
                                  <w:lang w:eastAsia="lt-LT"/>
                                </w:rPr>
                              </w:pPr>
                              <w:r>
                                <w:rPr>
                                  <w:szCs w:val="24"/>
                                  <w:lang w:eastAsia="lt-LT"/>
                                </w:rPr>
                                <w:t xml:space="preserve">Grafinė medžiaga </w:t>
                              </w:r>
                            </w:p>
                          </w:sdtContent>
                        </w:sdt>
                        <w:sdt>
                          <w:sdtPr>
                            <w:alias w:val="149 p."/>
                            <w:tag w:val="part_493d5f9b52894d328755783c3b41b3f6"/>
                            <w:lock w:val="sdtLocked"/>
                            <w:richText/>
                          </w:sdtPr>
                          <w:sdtContent>
                            <w:p>
                              <w:pPr>
                                <w:ind w:firstLine="709"/>
                                <w:jc w:val="both"/>
                                <w:rPr>
                                  <w:szCs w:val="24"/>
                                  <w:lang w:eastAsia="lt-LT"/>
                                </w:rPr>
                              </w:pPr>
                              <w:sdt>
                                <w:sdtPr>
                                  <w:alias w:val="Numeris"/>
                                  <w:tag w:val="nr_493d5f9b52894d328755783c3b41b3f6"/>
                                  <w:lock w:val="sdtLocked"/>
                                  <w:richText/>
                                </w:sdtPr>
                                <w:sdtContent>
                                  <w:r>
                                    <w:rPr>
                                      <w:szCs w:val="24"/>
                                      <w:lang w:eastAsia="lt-LT"/>
                                    </w:rPr>
                                    <w:t>149</w:t>
                                  </w:r>
                                </w:sdtContent>
                              </w:sdt>
                              <w:r>
                                <w:rPr>
                                  <w:szCs w:val="24"/>
                                  <w:lang w:eastAsia="lt-LT"/>
                                </w:rPr>
                                <w:t xml:space="preserve">. Pridedama grafinė medžiaga. </w:t>
                              </w:r>
                              <w:r>
                                <w:rPr>
                                  <w:color w:val="000000"/>
                                  <w:szCs w:val="24"/>
                                  <w:lang w:eastAsia="lt-LT"/>
                                </w:rPr>
                                <w:t>Žemėlapio mastelis (1:500, 1:1000, 1:2000; 1:5000, 1:10 000, 1:50 000) pasirenkamas įvertinus planuojamos ūkinės veiklos apimtį, planuojamos teritorijos ir teritorijos, kurią planuojama ūkinė veikla gali paveikti, arba kurioje esančios gamtinių įvykių zonos gali paveikti planuojamą ūkinę veiklą, dydį, planuojamos ūkinės veiklos specifiką</w:t>
                              </w:r>
                              <w:r>
                                <w:rPr>
                                  <w:szCs w:val="24"/>
                                  <w:lang w:eastAsia="lt-LT"/>
                                </w:rPr>
                                <w:t xml:space="preserve">: </w:t>
                              </w:r>
                            </w:p>
                            <w:sdt>
                              <w:sdtPr>
                                <w:alias w:val="149.1 pp."/>
                                <w:tag w:val="part_f185d909de8040acade2c9da0705db87"/>
                                <w:lock w:val="sdtLocked"/>
                                <w:richText/>
                              </w:sdtPr>
                              <w:sdtContent>
                                <w:p>
                                  <w:pPr>
                                    <w:ind w:firstLine="709"/>
                                    <w:jc w:val="both"/>
                                    <w:rPr>
                                      <w:szCs w:val="24"/>
                                      <w:lang w:eastAsia="lt-LT"/>
                                    </w:rPr>
                                  </w:pPr>
                                  <w:sdt>
                                    <w:sdtPr>
                                      <w:alias w:val="Numeris"/>
                                      <w:tag w:val="nr_f185d909de8040acade2c9da0705db87"/>
                                      <w:lock w:val="sdtLocked"/>
                                      <w:richText/>
                                    </w:sdtPr>
                                    <w:sdtContent>
                                      <w:r>
                                        <w:rPr>
                                          <w:szCs w:val="24"/>
                                          <w:lang w:eastAsia="lt-LT"/>
                                        </w:rPr>
                                        <w:t>149.1</w:t>
                                      </w:r>
                                    </w:sdtContent>
                                  </w:sdt>
                                  <w:r>
                                    <w:rPr>
                                      <w:szCs w:val="24"/>
                                      <w:lang w:eastAsia="lt-LT"/>
                                    </w:rPr>
                                    <w:t>. potvynių grėsmės žemėlapis (kuriame nustatyti dėl įvairios kilmės ir tikimybės potvynių užliejamų teritorijų plotai), jei artimoje planuojamos ūkinės veiklos aplinkoje yra potvynių zonos;</w:t>
                                  </w:r>
                                </w:p>
                              </w:sdtContent>
                            </w:sdt>
                            <w:sdt>
                              <w:sdtPr>
                                <w:alias w:val="149.2 pp."/>
                                <w:tag w:val="part_413246cb71724b438d00046844c345ee"/>
                                <w:lock w:val="sdtLocked"/>
                                <w:richText/>
                              </w:sdtPr>
                              <w:sdtContent>
                                <w:p>
                                  <w:pPr>
                                    <w:ind w:firstLine="709"/>
                                    <w:jc w:val="both"/>
                                    <w:rPr>
                                      <w:szCs w:val="24"/>
                                      <w:lang w:eastAsia="lt-LT"/>
                                    </w:rPr>
                                  </w:pPr>
                                  <w:sdt>
                                    <w:sdtPr>
                                      <w:alias w:val="Numeris"/>
                                      <w:tag w:val="nr_413246cb71724b438d00046844c345ee"/>
                                      <w:lock w:val="sdtLocked"/>
                                      <w:richText/>
                                    </w:sdtPr>
                                    <w:sdtContent>
                                      <w:r>
                                        <w:rPr>
                                          <w:szCs w:val="24"/>
                                          <w:lang w:eastAsia="lt-LT"/>
                                        </w:rPr>
                                        <w:t>149.2</w:t>
                                      </w:r>
                                    </w:sdtContent>
                                  </w:sdt>
                                  <w:r>
                                    <w:rPr>
                                      <w:szCs w:val="24"/>
                                      <w:lang w:eastAsia="lt-LT"/>
                                    </w:rPr>
                                    <w:t>. potvynių rizikos žemėlapis (kuriame įvertinti galimi su potvyniais susiję neigiami poveikiai gyventojams ir visuomenės sveikatai, aplinkai, kultūros paveldui ir ūkinei veiklai), jei artimoje planuojamos ūkinės veiklos aplinkoje yra potvynių zonos;</w:t>
                                  </w:r>
                                </w:p>
                              </w:sdtContent>
                            </w:sdt>
                            <w:sdt>
                              <w:sdtPr>
                                <w:alias w:val="149.3 pp."/>
                                <w:tag w:val="part_6a9b3577e18f47d6a0208bdbf07a30ee"/>
                                <w:lock w:val="sdtLocked"/>
                                <w:richText/>
                              </w:sdtPr>
                              <w:sdtContent>
                                <w:p>
                                  <w:pPr>
                                    <w:ind w:firstLine="709"/>
                                    <w:jc w:val="both"/>
                                    <w:rPr>
                                      <w:szCs w:val="24"/>
                                      <w:lang w:eastAsia="lt-LT"/>
                                    </w:rPr>
                                  </w:pPr>
                                  <w:sdt>
                                    <w:sdtPr>
                                      <w:alias w:val="Numeris"/>
                                      <w:tag w:val="nr_6a9b3577e18f47d6a0208bdbf07a30ee"/>
                                      <w:lock w:val="sdtLocked"/>
                                      <w:richText/>
                                    </w:sdtPr>
                                    <w:sdtContent>
                                      <w:r>
                                        <w:rPr>
                                          <w:szCs w:val="24"/>
                                          <w:lang w:eastAsia="lt-LT"/>
                                        </w:rPr>
                                        <w:t>149.3</w:t>
                                      </w:r>
                                    </w:sdtContent>
                                  </w:sdt>
                                  <w:r>
                                    <w:rPr>
                                      <w:szCs w:val="24"/>
                                      <w:lang w:eastAsia="lt-LT"/>
                                    </w:rPr>
                                    <w:t xml:space="preserve">. planuojamos ūkinės veiklos poveikio aplinkai, įvykus galimam įvykiui, didelei pramoninei avarijai, branduolinei ar radiologinei avarijai, ekstremaliajam įvykiui ir (ar) galimai ekstremaliajai situacijai, zonos (išplitimo) žemėlapiai; </w:t>
                                  </w:r>
                                </w:p>
                              </w:sdtContent>
                            </w:sdt>
                            <w:sdt>
                              <w:sdtPr>
                                <w:alias w:val="149.4 pp."/>
                                <w:tag w:val="part_edf35aef99a24f1ab1f81d413ad3165f"/>
                                <w:lock w:val="sdtLocked"/>
                                <w:richText/>
                              </w:sdtPr>
                              <w:sdtContent>
                                <w:p>
                                  <w:pPr>
                                    <w:ind w:firstLine="709"/>
                                    <w:jc w:val="both"/>
                                    <w:rPr>
                                      <w:szCs w:val="24"/>
                                      <w:lang w:eastAsia="lt-LT"/>
                                    </w:rPr>
                                  </w:pPr>
                                  <w:sdt>
                                    <w:sdtPr>
                                      <w:alias w:val="Numeris"/>
                                      <w:tag w:val="nr_edf35aef99a24f1ab1f81d413ad3165f"/>
                                      <w:lock w:val="sdtLocked"/>
                                      <w:richText/>
                                    </w:sdtPr>
                                    <w:sdtContent>
                                      <w:r>
                                        <w:rPr>
                                          <w:szCs w:val="24"/>
                                          <w:lang w:eastAsia="lt-LT"/>
                                        </w:rPr>
                                        <w:t>149.4</w:t>
                                      </w:r>
                                    </w:sdtContent>
                                  </w:sdt>
                                  <w:r>
                                    <w:rPr>
                                      <w:szCs w:val="24"/>
                                      <w:lang w:eastAsia="lt-LT"/>
                                    </w:rPr>
                                    <w:t>. kiti žemėlapiai, kai planuojamos ūkinės veiklos pažeidžiamumas siejamas su kitomis rizikomis (pvz., šalia esantys pavojingi objektai, karstinio regiono zona), kuriame pažymimi pavojingieji objektai, valstybinės reikšmės objektai, potencialios grėsmės.“</w:t>
                                  </w:r>
                                </w:p>
                              </w:sdtContent>
                            </w:sdt>
                          </w:sdtContent>
                        </w:sdt>
                      </w:sdtContent>
                    </w:sdt>
                  </w:sdtContent>
                </w:sdt>
              </w:sdtContent>
            </w:sdt>
            <w:sdt>
              <w:sdtPr>
                <w:alias w:val="1.17 pp."/>
                <w:tag w:val="part_b13e60a19b1642e49afe1057c51ba9d6"/>
                <w:lock w:val="sdtLocked"/>
                <w:richText/>
              </w:sdtPr>
              <w:sdtContent>
                <w:p>
                  <w:pPr>
                    <w:widowControl w:val="0"/>
                    <w:suppressAutoHyphens/>
                    <w:ind w:firstLine="709"/>
                    <w:jc w:val="both"/>
                    <w:rPr>
                      <w:color w:val="000000"/>
                      <w:szCs w:val="24"/>
                      <w:shd w:val="clear" w:color="auto" w:fill="FFFFFF"/>
                      <w:lang w:eastAsia="ar-SA"/>
                    </w:rPr>
                  </w:pPr>
                  <w:sdt>
                    <w:sdtPr>
                      <w:alias w:val="Numeris"/>
                      <w:tag w:val="nr_b13e60a19b1642e49afe1057c51ba9d6"/>
                      <w:lock w:val="sdtLocked"/>
                      <w:richText/>
                    </w:sdtPr>
                    <w:sdtContent>
                      <w:r>
                        <w:rPr>
                          <w:color w:val="000000"/>
                          <w:szCs w:val="24"/>
                          <w:shd w:val="clear" w:color="auto" w:fill="FFFFFF"/>
                          <w:lang w:eastAsia="ar-SA"/>
                        </w:rPr>
                        <w:t>1.17</w:t>
                      </w:r>
                    </w:sdtContent>
                  </w:sdt>
                  <w:r>
                    <w:rPr>
                      <w:color w:val="000000"/>
                      <w:szCs w:val="24"/>
                      <w:shd w:val="clear" w:color="auto" w:fill="FFFFFF"/>
                      <w:lang w:eastAsia="ar-SA"/>
                    </w:rPr>
                    <w:t>. 1 priedo buvusius 154-167 punktus laikau atitinkamai 150-163 punktais.</w:t>
                  </w:r>
                </w:p>
              </w:sdtContent>
            </w:sdt>
            <w:sdt>
              <w:sdtPr>
                <w:alias w:val="1.18 pp."/>
                <w:tag w:val="part_7c6bcaacc59744908ab57555c5d9280c"/>
                <w:lock w:val="sdtLocked"/>
                <w:richText/>
              </w:sdtPr>
              <w:sdtContent>
                <w:p>
                  <w:pPr>
                    <w:widowControl w:val="0"/>
                    <w:suppressAutoHyphens/>
                    <w:ind w:firstLine="709"/>
                    <w:jc w:val="both"/>
                    <w:rPr>
                      <w:color w:val="000000"/>
                      <w:szCs w:val="24"/>
                      <w:shd w:val="clear" w:color="auto" w:fill="FFFFFF"/>
                      <w:lang w:eastAsia="ar-SA"/>
                    </w:rPr>
                  </w:pPr>
                  <w:sdt>
                    <w:sdtPr>
                      <w:alias w:val="Numeris"/>
                      <w:tag w:val="nr_7c6bcaacc59744908ab57555c5d9280c"/>
                      <w:lock w:val="sdtLocked"/>
                      <w:richText/>
                    </w:sdtPr>
                    <w:sdtContent>
                      <w:r>
                        <w:rPr>
                          <w:color w:val="000000"/>
                          <w:szCs w:val="24"/>
                          <w:shd w:val="clear" w:color="auto" w:fill="FFFFFF"/>
                          <w:lang w:eastAsia="ar-SA"/>
                        </w:rPr>
                        <w:t>1.18</w:t>
                      </w:r>
                    </w:sdtContent>
                  </w:sdt>
                  <w:r>
                    <w:rPr>
                      <w:color w:val="000000"/>
                      <w:szCs w:val="24"/>
                      <w:shd w:val="clear" w:color="auto" w:fill="FFFFFF"/>
                      <w:lang w:eastAsia="ar-SA"/>
                    </w:rPr>
                    <w:t>. 1 priedą papildau priedėliu (pridedama).</w:t>
                  </w:r>
                </w:p>
              </w:sdtContent>
            </w:sdt>
            <w:sdt>
              <w:sdtPr>
                <w:alias w:val="1.19 pp."/>
                <w:tag w:val="part_1408bdaa8cc940d7bea94df7eef5a616"/>
                <w:lock w:val="sdtLocked"/>
                <w:richText/>
              </w:sdtPr>
              <w:sdtContent>
                <w:p>
                  <w:pPr>
                    <w:widowControl w:val="0"/>
                    <w:suppressAutoHyphens/>
                    <w:ind w:firstLine="709"/>
                    <w:jc w:val="both"/>
                    <w:rPr>
                      <w:color w:val="000000"/>
                      <w:szCs w:val="24"/>
                      <w:shd w:val="clear" w:color="auto" w:fill="FFFFFF"/>
                      <w:lang w:eastAsia="ar-SA"/>
                    </w:rPr>
                  </w:pPr>
                  <w:sdt>
                    <w:sdtPr>
                      <w:alias w:val="Numeris"/>
                      <w:tag w:val="nr_1408bdaa8cc940d7bea94df7eef5a616"/>
                      <w:lock w:val="sdtLocked"/>
                      <w:richText/>
                    </w:sdtPr>
                    <w:sdtContent>
                      <w:r>
                        <w:rPr>
                          <w:color w:val="000000"/>
                          <w:szCs w:val="24"/>
                          <w:shd w:val="clear" w:color="auto" w:fill="FFFFFF"/>
                          <w:lang w:eastAsia="ar-SA"/>
                        </w:rPr>
                        <w:t>1.19</w:t>
                      </w:r>
                    </w:sdtContent>
                  </w:sdt>
                  <w:r>
                    <w:rPr>
                      <w:color w:val="000000"/>
                      <w:szCs w:val="24"/>
                      <w:shd w:val="clear" w:color="auto" w:fill="FFFFFF"/>
                      <w:lang w:eastAsia="ar-SA"/>
                    </w:rPr>
                    <w:t xml:space="preserve">. Pakeičiu 8 priedo 7 punktą </w:t>
                  </w:r>
                  <w:r>
                    <w:rPr>
                      <w:kern w:val="1"/>
                      <w:szCs w:val="24"/>
                      <w:lang w:eastAsia="hi-IN" w:bidi="hi-IN"/>
                    </w:rPr>
                    <w:t>ir jį išdėstau taip:</w:t>
                  </w:r>
                </w:p>
                <w:sdt>
                  <w:sdtPr>
                    <w:alias w:val="citata"/>
                    <w:tag w:val="part_c918f72e281a442dac2c926264ea3603"/>
                    <w:lock w:val="sdtLocked"/>
                    <w:richText/>
                  </w:sdtPr>
                  <w:sdtContent>
                    <w:sdt>
                      <w:sdtPr>
                        <w:alias w:val="7 p."/>
                        <w:tag w:val="part_078145b68a344492bb0e9ee790b195d0"/>
                        <w:lock w:val="sdtLocked"/>
                        <w:richText/>
                      </w:sdtPr>
                      <w:sdtContent>
                        <w:p>
                          <w:pPr>
                            <w:ind w:firstLine="720"/>
                            <w:jc w:val="both"/>
                          </w:pPr>
                          <w:r>
                            <w:t>„</w:t>
                          </w:r>
                          <w:sdt>
                            <w:sdtPr>
                              <w:alias w:val="Numeris"/>
                              <w:tag w:val="nr_078145b68a344492bb0e9ee790b195d0"/>
                              <w:lock w:val="sdtLocked"/>
                              <w:richText/>
                            </w:sdtPr>
                            <w:sdtContent>
                              <w:r>
                                <w:t>7</w:t>
                              </w:r>
                            </w:sdtContent>
                          </w:sdt>
                          <w:r>
                            <w:t xml:space="preserve">. </w:t>
                          </w:r>
                          <w:r>
                            <w:rPr>
                              <w:szCs w:val="24"/>
                            </w:rPr>
                            <w:t xml:space="preserve">Planuojamos ūkinės veiklos </w:t>
                          </w:r>
                          <w:r>
                            <w:t>vietos (alternatyvių vietų) ypatumai: apytikslio centro, linijinės infrastruktūros objekto atveju – pradžios ir pabaigos koordinatės (LKS’94 koordinačių sistemoje), atstumai iki gyvenamųjų ir kultūros paveldo vietovių, saugomų teritorijų ir kaimyninių valstybių, alternatyvių vietų pasirinkimo priežastys.“</w:t>
                          </w:r>
                        </w:p>
                      </w:sdtContent>
                    </w:sdt>
                  </w:sdtContent>
                </w:sdt>
              </w:sdtContent>
            </w:sdt>
          </w:sdtContent>
        </w:sdt>
        <w:sdt>
          <w:sdtPr>
            <w:alias w:val="2 p."/>
            <w:tag w:val="part_ce50d2b9a2f843909e2586d69e780312"/>
            <w:lock w:val="sdtLocked"/>
            <w:richText/>
          </w:sdtPr>
          <w:sdtContent>
            <w:p>
              <w:pPr>
                <w:ind w:firstLine="709"/>
                <w:jc w:val="both"/>
                <w:rPr>
                  <w:color w:val="000000"/>
                  <w:sz w:val="27"/>
                  <w:szCs w:val="27"/>
                  <w:lang w:eastAsia="lt-LT"/>
                </w:rPr>
              </w:pPr>
              <w:sdt>
                <w:sdtPr>
                  <w:alias w:val="Numeris"/>
                  <w:tag w:val="nr_ce50d2b9a2f843909e2586d69e780312"/>
                  <w:lock w:val="sdtLocked"/>
                  <w:richText/>
                </w:sdtPr>
                <w:sdtContent>
                  <w:r>
                    <w:rPr>
                      <w:color w:val="000000"/>
                      <w:sz w:val="27"/>
                      <w:szCs w:val="27"/>
                      <w:lang w:eastAsia="lt-LT"/>
                    </w:rPr>
                    <w:t>2</w:t>
                  </w:r>
                </w:sdtContent>
              </w:sdt>
              <w:r>
                <w:rPr>
                  <w:color w:val="000000"/>
                  <w:sz w:val="27"/>
                  <w:szCs w:val="27"/>
                  <w:lang w:eastAsia="lt-LT"/>
                </w:rPr>
                <w:t>. N u s t a t a u</w:t>
              </w:r>
              <w:r>
                <w:rPr>
                  <w:color w:val="000000"/>
                  <w:sz w:val="27"/>
                  <w:szCs w:val="27"/>
                  <w:shd w:val="clear" w:color="auto" w:fill="FFFFFF"/>
                  <w:lang w:eastAsia="lt-LT"/>
                </w:rPr>
                <w:t>, kad:</w:t>
              </w:r>
            </w:p>
            <w:sdt>
              <w:sdtPr>
                <w:alias w:val="2.1 pp."/>
                <w:tag w:val="part_270e59c56dac4449b9832b70e07c7582"/>
                <w:lock w:val="sdtLocked"/>
                <w:richText/>
              </w:sdtPr>
              <w:sdtContent>
                <w:p>
                  <w:pPr>
                    <w:ind w:firstLine="709"/>
                    <w:jc w:val="both"/>
                    <w:rPr>
                      <w:color w:val="000000"/>
                      <w:szCs w:val="24"/>
                      <w:lang w:eastAsia="lt-LT"/>
                    </w:rPr>
                  </w:pPr>
                  <w:sdt>
                    <w:sdtPr>
                      <w:alias w:val="Numeris"/>
                      <w:tag w:val="nr_270e59c56dac4449b9832b70e07c7582"/>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šis įsakymas, išskyrus šio įsakymo </w:t>
                  </w:r>
                  <w:r>
                    <w:rPr>
                      <w:color w:val="000000"/>
                      <w:szCs w:val="24"/>
                      <w:lang w:eastAsia="lt-LT"/>
                    </w:rPr>
                    <w:t>1.14 ir 1.18 papunkčius</w:t>
                  </w:r>
                  <w:r>
                    <w:rPr>
                      <w:color w:val="000000"/>
                      <w:szCs w:val="24"/>
                      <w:shd w:val="clear" w:color="auto" w:fill="FFFFFF"/>
                      <w:lang w:eastAsia="lt-LT"/>
                    </w:rPr>
                    <w:t>, įsigalioja 2022 m. lapkričio 1 d.;</w:t>
                  </w:r>
                </w:p>
              </w:sdtContent>
            </w:sdt>
            <w:sdt>
              <w:sdtPr>
                <w:alias w:val="2.2 pp."/>
                <w:tag w:val="part_80370629087f44b68e6beaf9a5e3222e"/>
                <w:lock w:val="sdtLocked"/>
                <w:richText/>
              </w:sdtPr>
              <w:sdtContent>
                <w:p>
                  <w:pPr>
                    <w:ind w:firstLine="709"/>
                    <w:jc w:val="both"/>
                    <w:rPr>
                      <w:color w:val="000000"/>
                      <w:spacing w:val="-2"/>
                      <w:bdr w:val="none" w:sz="0" w:space="0" w:color="auto" w:frame="1"/>
                      <w:lang w:eastAsia="lt-LT"/>
                    </w:rPr>
                  </w:pPr>
                  <w:sdt>
                    <w:sdtPr>
                      <w:alias w:val="Numeris"/>
                      <w:tag w:val="nr_80370629087f44b68e6beaf9a5e3222e"/>
                      <w:lock w:val="sdtLocked"/>
                      <w:richText/>
                    </w:sdtPr>
                    <w:sdtContent>
                      <w:r>
                        <w:rPr>
                          <w:color w:val="201F1E"/>
                          <w:bdr w:val="none" w:sz="0" w:space="0" w:color="auto" w:frame="1"/>
                          <w:shd w:val="clear" w:color="auto" w:fill="FFFFFF"/>
                          <w:lang w:eastAsia="lt-LT"/>
                        </w:rPr>
                        <w:t>2.2</w:t>
                      </w:r>
                    </w:sdtContent>
                  </w:sdt>
                  <w:r>
                    <w:rPr>
                      <w:color w:val="201F1E"/>
                      <w:bdr w:val="none" w:sz="0" w:space="0" w:color="auto" w:frame="1"/>
                      <w:shd w:val="clear" w:color="auto" w:fill="FFFFFF"/>
                      <w:lang w:eastAsia="lt-LT"/>
                    </w:rPr>
                    <w:t>.</w:t>
                  </w:r>
                  <w:r>
                    <w:rPr>
                      <w:color w:val="000000"/>
                      <w:lang w:eastAsia="lt-LT"/>
                    </w:rPr>
                    <w:t>  šiuo įsakymu pakeisto Planuojamos ūkinės veiklos poveikio aplinkai vertinimo tvarkos aprašo </w:t>
                  </w:r>
                  <w:r>
                    <w:rPr>
                      <w:color w:val="000000"/>
                      <w:spacing w:val="-2"/>
                      <w:bdr w:val="none" w:sz="0" w:space="0" w:color="auto" w:frame="1"/>
                      <w:lang w:eastAsia="lt-LT"/>
                    </w:rPr>
                    <w:t>1 priedo 101</w:t>
                  </w:r>
                  <w:r>
                    <w:rPr>
                      <w:color w:val="000000"/>
                      <w:spacing w:val="-2"/>
                      <w:bdr w:val="none" w:sz="0" w:space="0" w:color="auto" w:frame="1"/>
                      <w:vertAlign w:val="superscript"/>
                      <w:lang w:eastAsia="lt-LT"/>
                    </w:rPr>
                    <w:t>1 </w:t>
                  </w:r>
                  <w:r>
                    <w:rPr>
                      <w:color w:val="000000"/>
                      <w:spacing w:val="-2"/>
                      <w:bdr w:val="none" w:sz="0" w:space="0" w:color="auto" w:frame="1"/>
                      <w:lang w:eastAsia="lt-LT"/>
                    </w:rPr>
                    <w:t>punktas taikomas:</w:t>
                  </w:r>
                </w:p>
                <w:sdt>
                  <w:sdtPr>
                    <w:alias w:val="2.2.1 pp."/>
                    <w:tag w:val="part_618430e2510c49cc8dc77b1fe309ce23"/>
                    <w:lock w:val="sdtLocked"/>
                    <w:richText/>
                  </w:sdtPr>
                  <w:sdtContent>
                    <w:p>
                      <w:pPr>
                        <w:ind w:firstLine="709"/>
                        <w:jc w:val="both"/>
                        <w:rPr>
                          <w:color w:val="000000"/>
                          <w:spacing w:val="-2"/>
                          <w:bdr w:val="none" w:sz="0" w:space="0" w:color="auto" w:frame="1"/>
                          <w:shd w:val="clear" w:color="auto" w:fill="FFFFFF"/>
                          <w:lang w:eastAsia="lt-LT"/>
                        </w:rPr>
                      </w:pPr>
                      <w:sdt>
                        <w:sdtPr>
                          <w:alias w:val="Numeris"/>
                          <w:tag w:val="nr_618430e2510c49cc8dc77b1fe309ce23"/>
                          <w:lock w:val="sdtLocked"/>
                          <w:richText/>
                        </w:sdtPr>
                        <w:sdtContent>
                          <w:r>
                            <w:rPr>
                              <w:color w:val="000000"/>
                              <w:spacing w:val="-2"/>
                              <w:bdr w:val="none" w:sz="0" w:space="0" w:color="auto" w:frame="1"/>
                              <w:lang w:eastAsia="lt-LT"/>
                            </w:rPr>
                            <w:t>2.2.1</w:t>
                          </w:r>
                        </w:sdtContent>
                      </w:sdt>
                      <w:r>
                        <w:rPr>
                          <w:color w:val="000000"/>
                          <w:spacing w:val="-2"/>
                          <w:bdr w:val="none" w:sz="0" w:space="0" w:color="auto" w:frame="1"/>
                          <w:lang w:eastAsia="lt-LT"/>
                        </w:rPr>
                        <w:t>. </w:t>
                      </w:r>
                      <w:r>
                        <w:rPr>
                          <w:color w:val="000000"/>
                          <w:spacing w:val="-2"/>
                          <w:bdr w:val="none" w:sz="0" w:space="0" w:color="auto" w:frame="1"/>
                          <w:shd w:val="clear" w:color="auto" w:fill="FFFFFF"/>
                          <w:lang w:eastAsia="lt-LT"/>
                        </w:rPr>
                        <w:t xml:space="preserve">planuojamos ūkinės veiklos poveikio aplinkai vertinimo </w:t>
                      </w:r>
                      <w:r>
                        <w:rPr>
                          <w:color w:val="000000"/>
                          <w:lang w:eastAsia="lt-LT"/>
                        </w:rPr>
                        <w:t>ataskaitoms</w:t>
                      </w:r>
                      <w:r>
                        <w:rPr>
                          <w:color w:val="000000"/>
                          <w:spacing w:val="-2"/>
                          <w:bdr w:val="none" w:sz="0" w:space="0" w:color="auto" w:frame="1"/>
                          <w:shd w:val="clear" w:color="auto" w:fill="FFFFFF"/>
                          <w:lang w:eastAsia="lt-LT"/>
                        </w:rPr>
                        <w:t>, jei šios ataskaitos parengtos ir paviešintos iki šio įsakymo įsigaliojimo </w:t>
                      </w:r>
                      <w:r>
                        <w:rPr>
                          <w:color w:val="000000"/>
                          <w:bdr w:val="none" w:sz="0" w:space="0" w:color="auto" w:frame="1"/>
                          <w:shd w:val="clear" w:color="auto" w:fill="FFFFFF"/>
                          <w:lang w:eastAsia="lt-LT"/>
                        </w:rPr>
                        <w:t>vadovaujantis Lietuvos Respublikos planuojamos ūkinės veiklos poveikio aplinkai vertinimo įstatymo 10 straipsnio 3 dalyje nustatyta tvarka</w:t>
                      </w:r>
                      <w:r>
                        <w:rPr>
                          <w:color w:val="000000"/>
                          <w:lang w:eastAsia="lt-LT"/>
                        </w:rPr>
                        <w:t xml:space="preserve"> tik tai atvejais, </w:t>
                      </w:r>
                      <w:r>
                        <w:rPr>
                          <w:color w:val="000000"/>
                        </w:rPr>
                        <w:t>kai sprendimo priėmimo metu galiojančios nuostatos gerina prašymą pateikusio asmens padėtį;</w:t>
                      </w:r>
                    </w:p>
                  </w:sdtContent>
                </w:sdt>
                <w:sdt>
                  <w:sdtPr>
                    <w:alias w:val="2.2.2 pp."/>
                    <w:tag w:val="part_f8c4a7c6e71b449980fac6542fa09468"/>
                    <w:lock w:val="sdtLocked"/>
                    <w:richText/>
                  </w:sdtPr>
                  <w:sdtContent>
                    <w:p>
                      <w:pPr>
                        <w:ind w:firstLine="709"/>
                        <w:jc w:val="both"/>
                        <w:rPr>
                          <w:color w:val="000000"/>
                          <w:szCs w:val="24"/>
                          <w:lang w:eastAsia="lt-LT"/>
                        </w:rPr>
                      </w:pPr>
                      <w:sdt>
                        <w:sdtPr>
                          <w:alias w:val="Numeris"/>
                          <w:tag w:val="nr_f8c4a7c6e71b449980fac6542fa09468"/>
                          <w:lock w:val="sdtLocked"/>
                          <w:richText/>
                        </w:sdtPr>
                        <w:sdtContent>
                          <w:r>
                            <w:rPr>
                              <w:color w:val="000000"/>
                              <w:szCs w:val="24"/>
                              <w:lang w:eastAsia="lt-LT"/>
                            </w:rPr>
                            <w:t>2.2.2</w:t>
                          </w:r>
                        </w:sdtContent>
                      </w:sdt>
                      <w:r>
                        <w:rPr>
                          <w:color w:val="000000"/>
                          <w:szCs w:val="24"/>
                          <w:lang w:eastAsia="lt-LT"/>
                        </w:rPr>
                        <w:t>.</w:t>
                      </w:r>
                      <w:r>
                        <w:rPr>
                          <w:color w:val="000000"/>
                          <w:spacing w:val="-2"/>
                          <w:szCs w:val="24"/>
                          <w:bdr w:val="none" w:sz="0" w:space="0" w:color="auto" w:frame="1"/>
                          <w:shd w:val="clear" w:color="auto" w:fill="FFFFFF"/>
                          <w:lang w:eastAsia="lt-LT"/>
                        </w:rPr>
                        <w:t xml:space="preserve"> jei ataskaita iš esmės keičiama, taisoma ar papildoma ir pakartotinai viešinama po šio įsakymo įsigaliojimo</w:t>
                      </w:r>
                      <w:r>
                        <w:rPr>
                          <w:color w:val="000000"/>
                          <w:szCs w:val="24"/>
                          <w:bdr w:val="none" w:sz="0" w:space="0" w:color="auto" w:frame="1"/>
                          <w:shd w:val="clear" w:color="auto" w:fill="FFFFFF"/>
                          <w:lang w:eastAsia="lt-LT"/>
                        </w:rPr>
                        <w:t> Planuojamos ūkinės veiklos poveikio aplinkai vertinimo įstatymo 10 straipsnio 10 dalyje nustatyta tvarka</w:t>
                      </w:r>
                      <w:r>
                        <w:rPr>
                          <w:color w:val="000000"/>
                          <w:spacing w:val="-2"/>
                          <w:szCs w:val="24"/>
                          <w:bdr w:val="none" w:sz="0" w:space="0" w:color="auto" w:frame="1"/>
                          <w:shd w:val="clear" w:color="auto" w:fill="FFFFFF"/>
                          <w:lang w:eastAsia="lt-LT"/>
                        </w:rPr>
                        <w:t>.</w:t>
                      </w:r>
                    </w:p>
                  </w:sdtContent>
                </w:sdt>
              </w:sdtContent>
            </w:sdt>
            <w:sdt>
              <w:sdtPr>
                <w:alias w:val="2.3 pp."/>
                <w:tag w:val="part_f1f2b51cb29f42c1aa7388290758df67"/>
                <w:lock w:val="sdtLocked"/>
                <w:richText/>
              </w:sdtPr>
              <w:sdtContent>
                <w:p>
                  <w:pPr>
                    <w:ind w:firstLine="709"/>
                    <w:jc w:val="both"/>
                    <w:rPr>
                      <w:bCs/>
                      <w:color w:val="333333"/>
                      <w:szCs w:val="24"/>
                    </w:rPr>
                  </w:pPr>
                  <w:sdt>
                    <w:sdtPr>
                      <w:alias w:val="Numeris"/>
                      <w:tag w:val="nr_f1f2b51cb29f42c1aa7388290758df67"/>
                      <w:lock w:val="sdtLocked"/>
                      <w:richText/>
                    </w:sdtPr>
                    <w:sdtContent>
                      <w:r>
                        <w:rPr>
                          <w:bCs/>
                          <w:color w:val="333333"/>
                          <w:szCs w:val="24"/>
                        </w:rPr>
                        <w:t>2.3</w:t>
                      </w:r>
                    </w:sdtContent>
                  </w:sdt>
                  <w:r>
                    <w:rPr>
                      <w:bCs/>
                      <w:color w:val="333333"/>
                      <w:szCs w:val="24"/>
                    </w:rPr>
                    <w:t>. Vertingiausių šalies kraštovaizdžio panoramų apžvalgos taškų sąrašas, nurodytas Tvarkos aprašo 1 priedo priedėlyje, gali būti koreguojamas ne dažniau kaip kas 10 metų.</w:t>
                  </w:r>
                </w:p>
                <w:p>
                  <w:pPr>
                    <w:suppressAutoHyphens/>
                    <w:snapToGrid w:val="0"/>
                    <w:rPr>
                      <w:szCs w:val="24"/>
                    </w:rPr>
                  </w:pPr>
                </w:p>
                <w:p>
                  <w:pPr>
                    <w:suppressAutoHyphens/>
                    <w:snapToGrid w:val="0"/>
                    <w:rPr>
                      <w:szCs w:val="24"/>
                    </w:rPr>
                  </w:pPr>
                </w:p>
                <w:p>
                  <w:pPr>
                    <w:suppressAutoHyphens/>
                    <w:snapToGrid w:val="0"/>
                    <w:rPr>
                      <w:szCs w:val="24"/>
                    </w:rPr>
                  </w:pPr>
                </w:p>
              </w:sdtContent>
            </w:sdt>
          </w:sdtContent>
        </w:sdt>
        <w:sdt>
          <w:sdtPr>
            <w:alias w:val="signatura"/>
            <w:tag w:val="part_3745c78e75ce418b959e575332b3d4fc"/>
            <w:lock w:val="sdtLocked"/>
            <w:richText/>
          </w:sdtPr>
          <w:sdtContent>
            <w:p>
              <w:pPr>
                <w:suppressAutoHyphens/>
                <w:snapToGrid w:val="0"/>
                <w:rPr>
                  <w:lang w:eastAsia="lt-LT"/>
                </w:rPr>
              </w:pPr>
              <w:r>
                <w:rPr>
                  <w:szCs w:val="24"/>
                  <w:lang w:eastAsia="lt-LT"/>
                </w:rPr>
                <w:t>Aplinkos ministras</w:t>
              </w:r>
            </w:p>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type w:val="continuous"/>
      <w:pgSz w:w="11905" w:h="16837"/>
      <w:pgMar w:top="1134" w:right="567" w:bottom="1134" w:left="1701" w:header="284" w:footer="919" w:gutter="0"/>
      <w:cols w:space="1296"/>
      <w:formProt w:val="0"/>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DDB833" w16cid:durableId="25B8EC47"/>
  <w16cid:commentId w16cid:paraId="33C5C9B4" w16cid:durableId="25B8EC48"/>
  <w16cid:commentId w16cid:paraId="6517BCF9" w16cid:durableId="25B7AF36"/>
  <w16cid:commentId w16cid:paraId="3DA3B8BF" w16cid:durableId="25B8EC4A"/>
  <w16cid:commentId w16cid:paraId="01D02D3C" w16cid:durableId="25B7B02B"/>
  <w16cid:commentId w16cid:paraId="3C792A86" w16cid:durableId="25B8EC4C"/>
  <w16cid:commentId w16cid:paraId="593A0E53" w16cid:durableId="25B8EC4D"/>
  <w16cid:commentId w16cid:paraId="5EE890EC" w16cid:durableId="25B7B09C"/>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6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266748">
      <w:bodyDiv w:val="1"/>
      <w:marLeft w:val="0"/>
      <w:marRight w:val="0"/>
      <w:marTop w:val="0"/>
      <w:marBottom w:val="0"/>
      <w:divBdr>
        <w:top w:val="none" w:sz="0" w:space="0" w:color="auto"/>
        <w:left w:val="none" w:sz="0" w:space="0" w:color="auto"/>
        <w:bottom w:val="none" w:sz="0" w:space="0" w:color="auto"/>
        <w:right w:val="none" w:sz="0" w:space="0" w:color="auto"/>
      </w:divBdr>
      <w:divsChild>
        <w:div w:id="346953035">
          <w:marLeft w:val="0"/>
          <w:marRight w:val="0"/>
          <w:marTop w:val="0"/>
          <w:marBottom w:val="0"/>
          <w:divBdr>
            <w:top w:val="none" w:sz="0" w:space="0" w:color="auto"/>
            <w:left w:val="none" w:sz="0" w:space="0" w:color="auto"/>
            <w:bottom w:val="none" w:sz="0" w:space="0" w:color="auto"/>
            <w:right w:val="none" w:sz="0" w:space="0" w:color="auto"/>
          </w:divBdr>
        </w:div>
        <w:div w:id="1916621469">
          <w:marLeft w:val="0"/>
          <w:marRight w:val="0"/>
          <w:marTop w:val="0"/>
          <w:marBottom w:val="0"/>
          <w:divBdr>
            <w:top w:val="none" w:sz="0" w:space="0" w:color="auto"/>
            <w:left w:val="none" w:sz="0" w:space="0" w:color="auto"/>
            <w:bottom w:val="none" w:sz="0" w:space="0" w:color="auto"/>
            <w:right w:val="none" w:sz="0" w:space="0" w:color="auto"/>
          </w:divBdr>
        </w:div>
      </w:divsChild>
    </w:div>
    <w:div w:id="254679240">
      <w:bodyDiv w:val="1"/>
      <w:marLeft w:val="0"/>
      <w:marRight w:val="0"/>
      <w:marTop w:val="0"/>
      <w:marBottom w:val="0"/>
      <w:divBdr>
        <w:top w:val="none" w:sz="0" w:space="0" w:color="auto"/>
        <w:left w:val="none" w:sz="0" w:space="0" w:color="auto"/>
        <w:bottom w:val="none" w:sz="0" w:space="0" w:color="auto"/>
        <w:right w:val="none" w:sz="0" w:space="0" w:color="auto"/>
      </w:divBdr>
    </w:div>
    <w:div w:id="700204837">
      <w:bodyDiv w:val="1"/>
      <w:marLeft w:val="0"/>
      <w:marRight w:val="0"/>
      <w:marTop w:val="0"/>
      <w:marBottom w:val="0"/>
      <w:divBdr>
        <w:top w:val="none" w:sz="0" w:space="0" w:color="auto"/>
        <w:left w:val="none" w:sz="0" w:space="0" w:color="auto"/>
        <w:bottom w:val="none" w:sz="0" w:space="0" w:color="auto"/>
        <w:right w:val="none" w:sz="0" w:space="0" w:color="auto"/>
      </w:divBdr>
    </w:div>
    <w:div w:id="936402599">
      <w:bodyDiv w:val="1"/>
      <w:marLeft w:val="0"/>
      <w:marRight w:val="0"/>
      <w:marTop w:val="0"/>
      <w:marBottom w:val="0"/>
      <w:divBdr>
        <w:top w:val="none" w:sz="0" w:space="0" w:color="auto"/>
        <w:left w:val="none" w:sz="0" w:space="0" w:color="auto"/>
        <w:bottom w:val="none" w:sz="0" w:space="0" w:color="auto"/>
        <w:right w:val="none" w:sz="0" w:space="0" w:color="auto"/>
      </w:divBdr>
    </w:div>
    <w:div w:id="1158571474">
      <w:bodyDiv w:val="1"/>
      <w:marLeft w:val="0"/>
      <w:marRight w:val="0"/>
      <w:marTop w:val="0"/>
      <w:marBottom w:val="0"/>
      <w:divBdr>
        <w:top w:val="none" w:sz="0" w:space="0" w:color="auto"/>
        <w:left w:val="none" w:sz="0" w:space="0" w:color="auto"/>
        <w:bottom w:val="none" w:sz="0" w:space="0" w:color="auto"/>
        <w:right w:val="none" w:sz="0" w:space="0" w:color="auto"/>
      </w:divBdr>
    </w:div>
    <w:div w:id="1199782953">
      <w:bodyDiv w:val="1"/>
      <w:marLeft w:val="0"/>
      <w:marRight w:val="0"/>
      <w:marTop w:val="0"/>
      <w:marBottom w:val="0"/>
      <w:divBdr>
        <w:top w:val="none" w:sz="0" w:space="0" w:color="auto"/>
        <w:left w:val="none" w:sz="0" w:space="0" w:color="auto"/>
        <w:bottom w:val="none" w:sz="0" w:space="0" w:color="auto"/>
        <w:right w:val="none" w:sz="0" w:space="0" w:color="auto"/>
      </w:divBdr>
    </w:div>
    <w:div w:id="1608928399">
      <w:bodyDiv w:val="1"/>
      <w:marLeft w:val="0"/>
      <w:marRight w:val="0"/>
      <w:marTop w:val="0"/>
      <w:marBottom w:val="0"/>
      <w:divBdr>
        <w:top w:val="none" w:sz="0" w:space="0" w:color="auto"/>
        <w:left w:val="none" w:sz="0" w:space="0" w:color="auto"/>
        <w:bottom w:val="none" w:sz="0" w:space="0" w:color="auto"/>
        <w:right w:val="none" w:sz="0" w:space="0" w:color="auto"/>
      </w:divBdr>
      <w:divsChild>
        <w:div w:id="304047725">
          <w:marLeft w:val="0"/>
          <w:marRight w:val="0"/>
          <w:marTop w:val="0"/>
          <w:marBottom w:val="0"/>
          <w:divBdr>
            <w:top w:val="none" w:sz="0" w:space="0" w:color="auto"/>
            <w:left w:val="none" w:sz="0" w:space="0" w:color="auto"/>
            <w:bottom w:val="none" w:sz="0" w:space="0" w:color="auto"/>
            <w:right w:val="none" w:sz="0" w:space="0" w:color="auto"/>
          </w:divBdr>
        </w:div>
        <w:div w:id="241061279">
          <w:marLeft w:val="0"/>
          <w:marRight w:val="0"/>
          <w:marTop w:val="0"/>
          <w:marBottom w:val="0"/>
          <w:divBdr>
            <w:top w:val="none" w:sz="0" w:space="0" w:color="auto"/>
            <w:left w:val="none" w:sz="0" w:space="0" w:color="auto"/>
            <w:bottom w:val="none" w:sz="0" w:space="0" w:color="auto"/>
            <w:right w:val="none" w:sz="0" w:space="0" w:color="auto"/>
          </w:divBdr>
        </w:div>
      </w:divsChild>
    </w:div>
    <w:div w:id="2008483163">
      <w:bodyDiv w:val="1"/>
      <w:marLeft w:val="0"/>
      <w:marRight w:val="0"/>
      <w:marTop w:val="0"/>
      <w:marBottom w:val="0"/>
      <w:divBdr>
        <w:top w:val="none" w:sz="0" w:space="0" w:color="auto"/>
        <w:left w:val="none" w:sz="0" w:space="0" w:color="auto"/>
        <w:bottom w:val="none" w:sz="0" w:space="0" w:color="auto"/>
        <w:right w:val="none" w:sz="0" w:space="0" w:color="auto"/>
      </w:divBdr>
      <w:divsChild>
        <w:div w:id="1305044847">
          <w:marLeft w:val="0"/>
          <w:marRight w:val="0"/>
          <w:marTop w:val="0"/>
          <w:marBottom w:val="0"/>
          <w:divBdr>
            <w:top w:val="none" w:sz="0" w:space="0" w:color="auto"/>
            <w:left w:val="none" w:sz="0" w:space="0" w:color="auto"/>
            <w:bottom w:val="none" w:sz="0" w:space="0" w:color="auto"/>
            <w:right w:val="none" w:sz="0" w:space="0" w:color="auto"/>
          </w:divBdr>
        </w:div>
        <w:div w:id="1007752490">
          <w:marLeft w:val="0"/>
          <w:marRight w:val="0"/>
          <w:marTop w:val="0"/>
          <w:marBottom w:val="0"/>
          <w:divBdr>
            <w:top w:val="none" w:sz="0" w:space="0" w:color="auto"/>
            <w:left w:val="none" w:sz="0" w:space="0" w:color="auto"/>
            <w:bottom w:val="none" w:sz="0" w:space="0" w:color="auto"/>
            <w:right w:val="none" w:sz="0" w:space="0" w:color="auto"/>
          </w:divBdr>
        </w:div>
      </w:divsChild>
    </w:div>
    <w:div w:id="2025403187">
      <w:bodyDiv w:val="1"/>
      <w:marLeft w:val="0"/>
      <w:marRight w:val="0"/>
      <w:marTop w:val="0"/>
      <w:marBottom w:val="0"/>
      <w:divBdr>
        <w:top w:val="none" w:sz="0" w:space="0" w:color="auto"/>
        <w:left w:val="none" w:sz="0" w:space="0" w:color="auto"/>
        <w:bottom w:val="none" w:sz="0" w:space="0" w:color="auto"/>
        <w:right w:val="none" w:sz="0" w:space="0" w:color="auto"/>
      </w:divBdr>
      <w:divsChild>
        <w:div w:id="1177617352">
          <w:marLeft w:val="0"/>
          <w:marRight w:val="0"/>
          <w:marTop w:val="0"/>
          <w:marBottom w:val="0"/>
          <w:divBdr>
            <w:top w:val="none" w:sz="0" w:space="0" w:color="auto"/>
            <w:left w:val="none" w:sz="0" w:space="0" w:color="auto"/>
            <w:bottom w:val="none" w:sz="0" w:space="0" w:color="auto"/>
            <w:right w:val="none" w:sz="0" w:space="0" w:color="auto"/>
          </w:divBdr>
        </w:div>
        <w:div w:id="297760262">
          <w:marLeft w:val="0"/>
          <w:marRight w:val="0"/>
          <w:marTop w:val="0"/>
          <w:marBottom w:val="0"/>
          <w:divBdr>
            <w:top w:val="none" w:sz="0" w:space="0" w:color="auto"/>
            <w:left w:val="none" w:sz="0" w:space="0" w:color="auto"/>
            <w:bottom w:val="none" w:sz="0" w:space="0" w:color="auto"/>
            <w:right w:val="none" w:sz="0" w:space="0" w:color="auto"/>
          </w:divBdr>
          <w:divsChild>
            <w:div w:id="116149518">
              <w:marLeft w:val="0"/>
              <w:marRight w:val="0"/>
              <w:marTop w:val="0"/>
              <w:marBottom w:val="0"/>
              <w:divBdr>
                <w:top w:val="none" w:sz="0" w:space="0" w:color="auto"/>
                <w:left w:val="none" w:sz="0" w:space="0" w:color="auto"/>
                <w:bottom w:val="none" w:sz="0" w:space="0" w:color="auto"/>
                <w:right w:val="none" w:sz="0" w:space="0" w:color="auto"/>
              </w:divBdr>
            </w:div>
            <w:div w:id="1068839913">
              <w:marLeft w:val="0"/>
              <w:marRight w:val="0"/>
              <w:marTop w:val="0"/>
              <w:marBottom w:val="0"/>
              <w:divBdr>
                <w:top w:val="none" w:sz="0" w:space="0" w:color="auto"/>
                <w:left w:val="none" w:sz="0" w:space="0" w:color="auto"/>
                <w:bottom w:val="none" w:sz="0" w:space="0" w:color="auto"/>
                <w:right w:val="none" w:sz="0" w:space="0" w:color="auto"/>
              </w:divBdr>
            </w:div>
            <w:div w:id="4345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21"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80854f223bfb4b03b7c066528190ad53" PartId="b358d918a120441bba39defe47c24813">
    <Part Type="punktas" Nr="1" Abbr="1 p." DocPartId="5daa3d02253c4b439fe48a416943fe86" PartId="a3cb3d7b8418404b9eaf096ed7ba3b77">
      <Part Type="papunktis" Nr="1.1" Abbr="1.1 pp." DocPartId="1ea39b5cbb4e4d16b6e51fe6e6ac5ef0" PartId="e8ded87f947945fcb0d6cc9f84d159fd">
        <Part Type="citata" DocPartId="035ba125ec9748d68b47bc2a9eb63b3a" PartId="3c432c1fb07b4a6a83262dce3c5723b0">
          <Part Type="punktas" Nr="3" Abbr="3 p." DocPartId="811b6093361441c4b3665de5d6ee927d" PartId="c57394f08ce44eaf969aa1fc0f48f4c5"/>
        </Part>
      </Part>
      <Part Type="papunktis" Nr="1.2" Abbr="1.2 pp." DocPartId="a4069656d0894cb98bb32d3e4beb2cea" PartId="719593a81c374bf68589a6b5acc1e61b">
        <Part Type="citata" DocPartId="d679200df7664b9f9f8943b7e9320bec" PartId="7bc6cb3c6a2f4e75b4292faf97ced7fe">
          <Part Type="papunktis" Nr="11-1.5" Abbr="11-1.5 pp." DocPartId="30bd9704df6f482db336793410bb3e56" PartId="3dd95734952341069ceb3f78ef2f13b3"/>
        </Part>
      </Part>
      <Part Type="papunktis" Nr="1.3" Abbr="1.3 pp." DocPartId="6644d3ff9e9c4bc3aed597a4b2212c89" PartId="50a0251131aa44108b6fefa6556dac92">
        <Part Type="citata" DocPartId="316f4c8b3fa2404e9dbf9b60040c5b96" PartId="263d3f32eb8f4b82a1a5280d2531a4cb">
          <Part Type="punktas" Nr="31" Abbr="31 p." DocPartId="602c84b37a6043b6bca7c6c80d3159d6" PartId="a0b6c5dfc0794ed3b6c19ee827c45ece"/>
        </Part>
      </Part>
      <Part Type="papunktis" Nr="1.4" Abbr="1.4 pp." DocPartId="5df8611f2739448883d158ee6f33a739" PartId="b3963f25defa46b6bb250505d01f4006">
        <Part Type="citata" DocPartId="be077173683841838a2a2f4d2303d191" PartId="74996cab599e4ddeb7dcced6c6eb7ad5">
          <Part Type="punktas" Nr="42" Abbr="42 p." DocPartId="77f53e37fd2e4a27822d719197ecc561" PartId="412618f9048847fc9af9694e2bb27193"/>
        </Part>
      </Part>
      <Part Type="papunktis" Nr="1.5" Abbr="1.5 pp." DocPartId="a8111182040344fe94aff0bbeba47a26" PartId="fce86f10d424481cb70c43f2e960efb0">
        <Part Type="citata" DocPartId="5aaf97b20a2d41f18ab317ab83e9be02" PartId="86a41ceb3f99420693f72b708b5b7190">
          <Part Type="punktas" Nr="44" Abbr="44 p." DocPartId="c1e628148cd5485790aa08e75d436121" PartId="20ae6d09f12c42a1917cb6b3bd501704"/>
        </Part>
      </Part>
      <Part Type="papunktis" Nr="1.6" Abbr="1.6 pp." DocPartId="c62fb1f4f51847759932ca0024ebbe10" PartId="ff4134cffd334cf8ac871e914938c5be">
        <Part Type="citata" DocPartId="efc370ef87f442539a30498146de6085" PartId="6bfbb9cc607644e68a7e9761c577a0ee">
          <Part Type="punktas" Nr="47" Abbr="47 p." DocPartId="77c5a28c7a944ee2868cda96c9823ae2" PartId="221ed3a9b29048b9b338352664943681"/>
        </Part>
      </Part>
      <Part Type="papunktis" Nr="1.7" Abbr="1.7 pp." DocPartId="72b137cbd7734aee91c7ea6c172b72c8" PartId="0125c4b996404abb89112c7081f2863f">
        <Part Type="citata" DocPartId="08c31ef540f047c3bc068a8f59395147" PartId="692ed2b2b7a043e5aae950955c13e52f">
          <Part Type="punktas" Nr="47-1" Abbr="47-1 p." DocPartId="9fe9d07af64c4f31934f2e365a8d8ef0" PartId="aa5212ecf49640e7840a47c9916c24b0"/>
        </Part>
      </Part>
      <Part Type="papunktis" Nr="1.8" Abbr="1.8 pp." DocPartId="94b87a2f64da4b9ebffaced517c77269" PartId="a3351cf89ff54fa19afba60e26082c90">
        <Part Type="citata" DocPartId="605a950292c24dd6951bcf6af43fb420" PartId="d556d2952af84c209785bc7de4201105">
          <Part Type="punktas" Nr="47-2" Abbr="47-2 p." DocPartId="1bc5481c82af4506bbe4ec86a4cf42e0" PartId="a541481fd53a49f28b2b44afdcd4e01d"/>
        </Part>
      </Part>
      <Part Type="papunktis" Nr="1.9" Abbr="1.9 pp." DocPartId="095fa03c0aef4afaac0cdf870e6a70db" PartId="9fa80593cace4f38953ccfff7ab6e6a4">
        <Part Type="citata" DocPartId="0309675f7bb847ce9970240a9182119c" PartId="206fb4f402ca41a69dbd6642f574ec4a">
          <Part Type="punktas" Nr="56" Abbr="56 p." DocPartId="6907e4df94c54c03a5fb40bfe42c6a1a" PartId="09f1514af7614aa888b684b8228fffcc"/>
        </Part>
      </Part>
      <Part Type="papunktis" Nr="1.10" Abbr="1.10 pp." DocPartId="b50b4589315c4664bd3d715dd19364e5" PartId="421f0477fc7247069e55127f8eba8875">
        <Part Type="citata" DocPartId="62f205038f5d4bdf87dc4bc04f00b121" PartId="34171e0366604a9aade5f508fe48eb0a">
          <Part Type="punktas" Nr="64" Abbr="64 p." DocPartId="140d6277c26249eebc18c1cf0b5abbb5" PartId="37a508da28f64316bbbc418f3d562596"/>
        </Part>
      </Part>
      <Part Type="papunktis" Nr="1.11" Abbr="1.11 pp." DocPartId="2102c874df8e4bf6860451a89ee8dd90" PartId="737a2b8f076b49cea3cd2eaad095005e">
        <Part Type="citata" DocPartId="151f55c7828f423b958925d999003e99" PartId="36f45b7de705450fa3613ec82f57795b">
          <Part Type="punktas" Nr="73-1" Abbr="73-1 p." DocPartId="efdb4cd3988f44af96a59a44a81e0355" PartId="2ed5156ab4d94fe099d7045f22898b55"/>
        </Part>
      </Part>
      <Part Type="papunktis" Nr="1.12" Abbr="1.12 pp." DocPartId="d280c2dd0e434d538e8ca48c7bc0e833" PartId="ce0d120368554a4fa7cea315b04a7024">
        <Part Type="citata" DocPartId="436d9b2436f84f35b36eefc8fa5e6982" PartId="88d008bab9f84cc7b6babf7f4be9a446">
          <Part Type="pastraipa" DocPartId="e1f28c5a98e34976a7ba7970ae09e4a3" PartId="b0880013f60f40458acb4054cb911f1b"/>
        </Part>
      </Part>
      <Part Type="papunktis" Nr="1.13" Abbr="1.13 pp." DocPartId="f9784204ddc24479966367961f42370b" PartId="ab1b0a772f8b4fba8069c6eb677a49a2">
        <Part Type="citata" DocPartId="adbe8b1a456b48d6b448e34df52f6c74" PartId="793b86da5ca44554a1494f6cd32a2076">
          <Part Type="papunktis" Nr="75.1" Abbr="75.1 pp." DocPartId="05f939cc76d04b688ad31b382611106d" PartId="2682456f4cdc4f26831c121fe0aa6541"/>
        </Part>
      </Part>
      <Part Type="papunktis" Nr="1.14" Abbr="1.14 pp." DocPartId="dca59acd33f54a6cbc5c67bc3996491b" PartId="b6f375cdd2a04ba08a5f41079e56de0d">
        <Part Type="citata" DocPartId="6e52400294a747daaca9f69d5402bf37" PartId="25c3bc72aa374558a412573143372629">
          <Part Type="punktas" Nr="101-1" Abbr="101-1 p." DocPartId="79abc083a46f4193a78ebfd26deb9ac4" PartId="7b7aeebfa5154c1f8e03be7aef606153">
            <Part Type="papunktis" Nr="101-1.1" Abbr="101-1.1 pp." DocPartId="d4d73fd5c55b4f08930ce626126a780b" PartId="493eb95340ba4a719b83e6c158fb9340"/>
            <Part Type="papunktis" Nr="101-1.2" Abbr="101-1.2 pp." DocPartId="dabe37fe244242a4bc1cfc87e7ab501e" PartId="1c55e207cee547cd8b3e10c07dfc8550"/>
          </Part>
        </Part>
      </Part>
      <Part Type="papunktis" Nr="1.15" Abbr="1.15 pp." DocPartId="05e9632a23ae49e7906fe3137981fb2e" PartId="06f5fad9715147599c65b2a714686b56">
        <Part Type="citata" DocPartId="c59ad9e44573447c8a2cb8186ad30099" PartId="8b07259ac06948b1b32a708988b1eb59">
          <Part Type="punktas" Nr="136" Abbr="136 p." DocPartId="ddaa7fef48c44169b8fae1014215ec41" PartId="b9e72eafd36249098d826ca021addeef"/>
        </Part>
      </Part>
      <Part Type="papunktis" Nr="1.16" Abbr="1.16 pp." DocPartId="cef6c99e4dd74dc887ae35ec060cf513" PartId="7ad7b75cf54d4f4cb448c69ddfdd59f6">
        <Part Type="citata" DocPartId="bc6b92b29f53403cbbf8561f98bf2adc" PartId="f9083a1711b04f7dadea077858931a93">
          <Part Type="skirsnis" Nr="9" Title="RIZIKOS ANALIZĖ" DocPartId="fd2997fa14914fafbed4ee5b5c5b1bbc" PartId="9d131bd0f76941a9a894077d66503cc1">
            <Part Type="punktas" Nr="143" Abbr="143 p." DocPartId="81974481170d43e498ba79098ac7026f" PartId="f1ec183bbe4a499c9172b695dc96fd80">
              <Part Type="papunktis" Nr="143.1" Abbr="143.1 pp." DocPartId="cd76f32509794736a03628c339c42fc6" PartId="1b6ab945e6144087a3992e2975e9d7d8"/>
              <Part Type="papunktis" Nr="143.2" Abbr="143.2 pp." DocPartId="a3d47f66a0394797aeb263ddb0d44070" PartId="0d8c51f1120340738fa8ff37c42860b0"/>
              <Part Type="papunktis" Nr="143.3" Abbr="143.3 pp." DocPartId="970067c502c144c4900b43241c2a7595" PartId="a9e1aa9f37614ead825495dd9e51a8e4"/>
              <Part Type="papunktis" Nr="143.4" Abbr="143.4 pp." DocPartId="90300c57b65e4013a54f29070867f3bb" PartId="39686466c01f44eeac7e2390e6c3232d"/>
              <Part Type="papunktis" Nr="143.5" Abbr="143.5 pp." DocPartId="6460b2699db3475e94123659fde0305a" PartId="85b1dde58ff14ec289f37f6d4a094f53"/>
              <Part Type="papunktis" Nr="143.6" Abbr="143.6 pp." DocPartId="5d287c437d0e4686bed55a4626bf2042" PartId="dba05591222a4a3689a31ff807254884"/>
              <Part Type="papunktis" Nr="143.7" Abbr="143.7 pp." DocPartId="fe6054c4fb41430e9be87082898b91f8" PartId="2c30bca4069c4663967c9c81e3a5b94e"/>
              <Part Type="papunktis" Nr="143.8" Abbr="143.8 pp." DocPartId="4091a6c0a4574e74a6f3281aa86146bd" PartId="009b6926f94c407ea16923e883bea9d0"/>
            </Part>
            <Part Type="punktas" Nr="144" Abbr="144 p." DocPartId="ca0f7d8793604e21ba872147ed2bd56b" PartId="09a1cbae90fe4a2c92168cb6f278bb7f"/>
            <Part Type="punktas" Nr="145" Abbr="145 p." DocPartId="46f8676771154095bba963cfce9529f3" PartId="ea9c1286656f4ddaa216ccdae8cf6e8a"/>
            <Part Type="punktas" Nr="146" Abbr="146 p." DocPartId="4034a849075f407abb55693d93ed6ebb" PartId="55db31e43ad144f8bbedc8658207b20f">
              <Part Type="papunktis" Nr="146.1" Abbr="146.1 pp." DocPartId="6a0793e353ae4d3ba3a1963da22edb6c" PartId="ce78266d9f574077baa2b70b2a2a11b8"/>
              <Part Type="papunktis" Nr="146.2" Abbr="146.2 pp." DocPartId="96f39c58b14248799aedfea55cbba54f" PartId="27ddfba1ac1940a3896cb2c57b57758a"/>
              <Part Type="papunktis" Nr="146.3" Abbr="146.3 pp." DocPartId="ca0656de502c4cf490fe79e054b76725" PartId="8ebdfb9d92974a918df4f834e4a486c8">
                <Part Type="papunktis" Nr="146.3.1" Abbr="146.3.1 pp." DocPartId="fae3cc6182004b2eb2f6c19ad2d84bb5" PartId="774af0033b6242c3964f19388ffdb2ee"/>
                <Part Type="papunktis" Nr="146.3.2" Abbr="146.3.2 pp." DocPartId="a819b15783cc44edb106db8d5129de8e" PartId="77d4c2548d684e30936539c08a633622"/>
                <Part Type="papunktis" Nr="146.3.3" Abbr="146.3.3 pp." DocPartId="d460646044ba46e0befbe224bcfdd40b" PartId="ddce14d1f11949e39d96f1e04c7e08f4"/>
                <Part Type="papunktis" Nr="146.3.4" Abbr="146.3.4 pp." DocPartId="cdd0aae296d9491d9ba9dd92c73199da" PartId="a43e46c37cfe46ff9af9dcf7f6dd59f4"/>
                <Part Type="papunktis" Nr="146.3.5" Abbr="146.3.5 pp." DocPartId="6c62abce75d6469d85585581e0dcdd1a" PartId="8b2728e6f607444b950e167db39c03ba"/>
                <Part Type="papunktis" Nr="146.3.6" Abbr="146.3.6 pp." DocPartId="3d179f7387f249729b1c6c4ca889ba98" PartId="7b18a72e160147be8f6568f6295d9f7c"/>
                <Part Type="papunktis" Nr="146.3.7" Abbr="146.3.7 pp." DocPartId="c43f527fd3dd485b855a21cb068f1c0e" PartId="ffb751f87c5c4c3487d8522f9ebef40b"/>
                <Part Type="papunktis" Nr="146.3.8" Abbr="146.3.8 pp." DocPartId="2b287bba65cd440490398dc9f5d6d740" PartId="042c65b14800462eb8e156ca8c2451b5"/>
                <Part Type="papunktis" Nr="146.3.9" Abbr="146.3.9 pp." DocPartId="33e70782499c4f8faa64a721157d848e" PartId="6c0ee14ecbc1466482c096d819a89485"/>
                <Part Type="papunktis" Nr="146.3.10" Abbr="146.3.10 pp." DocPartId="1d000bc052a6466797259ba41ff80bc1" PartId="8504b671fea347d1aac0231155d7f259"/>
              </Part>
              <Part Type="papunktis" Nr="146.4" Abbr="146.4 pp." DocPartId="2d328d0cb8f6460180c301bf0e0727e2" PartId="b4e4e16b998d4709aa598d62be734e4c"/>
              <Part Type="papunktis" Nr="146.5" Abbr="146.5 pp." DocPartId="8a7630056510421a89dda1704c8110ca" PartId="a50529360c994ae3b8955d23dc60fc91"/>
              <Part Type="papunktis" Nr="146.6" Abbr="146.6 pp." DocPartId="b785f108d9fd43b9b64041ad8cef9474" PartId="c97ac94e659542659545e01e4cb317fd"/>
              <Part Type="papunktis" Nr="146.7" Abbr="146.7 pp." DocPartId="84b6c25ba4d44feea490808902fd3c19" PartId="cbeb07ac7be74475b3c9e7e2d7566b2a"/>
              <Part Type="papunktis" Nr="146.8" Abbr="146.8 pp." DocPartId="b2924b85f37b4ab7902179a292c860d0" PartId="c1a33cc085d045e1a934ae5036cddcff"/>
              <Part Type="papunktis" Nr="146.9" Abbr="146.9 pp." DocPartId="cf70491b880047289d7f7b50b39b9959" PartId="be36bf08255b4f3ca87b70957073945e"/>
            </Part>
            <Part Type="punktas" Nr="147" Abbr="147 p." DocPartId="a4a55c34446645ebb4e17c061ea8864a" PartId="ffc6e057d06b453ab5e9c4d654460af0"/>
            <Part Type="punktas" Nr="148" Abbr="148 p." DocPartId="168a18b2566c4d1aafd79a7fe9d175c2" PartId="4b1b197136e44836b4079a7f18a14163"/>
            <Part Type="punktas" Nr="149" Abbr="149 p." DocPartId="dce17c897389413f93ed17342e34572e" PartId="493d5f9b52894d328755783c3b41b3f6">
              <Part Type="papunktis" Nr="149.1" Abbr="149.1 pp." DocPartId="a9961e4acb4e4360ab51e50843a463a2" PartId="f185d909de8040acade2c9da0705db87"/>
              <Part Type="papunktis" Nr="149.2" Abbr="149.2 pp." DocPartId="18902f445d9547a48195d0ce851551e5" PartId="413246cb71724b438d00046844c345ee"/>
              <Part Type="papunktis" Nr="149.3" Abbr="149.3 pp." DocPartId="ccc56a19f8a54d01817bec6bd6ba532a" PartId="6a9b3577e18f47d6a0208bdbf07a30ee"/>
              <Part Type="papunktis" Nr="149.4" Abbr="149.4 pp." DocPartId="3c1ac90495554a82b1895ed198bce0b7" PartId="edf35aef99a24f1ab1f81d413ad3165f"/>
            </Part>
          </Part>
        </Part>
      </Part>
      <Part Type="papunktis" Nr="1.17" Abbr="1.17 pp." DocPartId="3a1fc6ee286649d49fc4f7e823fedbd9" PartId="b13e60a19b1642e49afe1057c51ba9d6"/>
      <Part Type="papunktis" Nr="1.18" Abbr="1.18 pp." DocPartId="8cc29b024591412ab39619936833a93b" PartId="7c6bcaacc59744908ab57555c5d9280c"/>
      <Part Type="papunktis" Nr="1.19" Abbr="1.19 pp." DocPartId="75b574b16d414f29b976bea1921b1b70" PartId="1408bdaa8cc940d7bea94df7eef5a616">
        <Part Type="citata" DocPartId="8fe23d531f644f2585b8f13695f10f12" PartId="c918f72e281a442dac2c926264ea3603">
          <Part Type="punktas" Nr="7" Abbr="7 p." DocPartId="64cdde5b23864b58acb9ac07b4e8ee6b" PartId="078145b68a344492bb0e9ee790b195d0"/>
        </Part>
      </Part>
    </Part>
    <Part Type="punktas" Nr="2" Abbr="2 p." DocPartId="865fd3baf8b448e18257e8f93e9bbf93" PartId="ce50d2b9a2f843909e2586d69e780312">
      <Part Type="papunktis" Nr="2.1" Abbr="2.1 pp." DocPartId="a4d51cbcd55e43a49b7d3531ed05bc52" PartId="270e59c56dac4449b9832b70e07c7582"/>
      <Part Type="papunktis" Nr="2.2" Abbr="2.2 pp." DocPartId="685fa05923ed44fbbea75f70973895cd" PartId="80370629087f44b68e6beaf9a5e3222e">
        <Part Type="papunktis" Nr="2.2.1" Abbr="2.2.1 pp." DocPartId="af2ec2a20af146fba02ad5fa3ab11716" PartId="618430e2510c49cc8dc77b1fe309ce23"/>
        <Part Type="papunktis" Nr="2.2.2" Abbr="2.2.2 pp." DocPartId="a204bb7d9a1b48928572a1d0e1f3ad9c" PartId="f8c4a7c6e71b449980fac6542fa09468"/>
      </Part>
      <Part Type="papunktis" Nr="2.3" Abbr="2.3 pp." DocPartId="9409b005ad5a4c25966b285d205c705b" PartId="f1f2b51cb29f42c1aa7388290758df67"/>
    </Part>
    <Part Type="signatura" DocPartId="b7b2ca44e07545299470fe4381269ea1" PartId="3745c78e75ce418b959e575332b3d4fc"/>
  </Part>
</Parts>
</file>

<file path=customXml/itemProps1.xml><?xml version="1.0" encoding="utf-8"?>
<ds:datastoreItem xmlns:ds="http://schemas.openxmlformats.org/officeDocument/2006/customXml" ds:itemID="{439FB708-5E2E-4EFC-8464-8F84457AB0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0C0030-B285-4E93-813B-64E1A6F64AC3}">
  <ds:schemaRefs>
    <ds:schemaRef ds:uri="http://schemas.microsoft.com/sharepoint/v3/contenttype/forms"/>
  </ds:schemaRefs>
</ds:datastoreItem>
</file>

<file path=customXml/itemProps3.xml><?xml version="1.0" encoding="utf-8"?>
<ds:datastoreItem xmlns:ds="http://schemas.openxmlformats.org/officeDocument/2006/customXml" ds:itemID="{EE77ED6D-DDBF-45EC-A00F-9E71F0462E13}">
  <ds:schemaRef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BF101D5-BFA2-4360-863C-0EE42C4CA8EB}">
  <ds:schemaRefs>
    <ds:schemaRef ds:uri="http://schemas.openxmlformats.org/officeDocument/2006/bibliography"/>
  </ds:schemaRefs>
</ds:datastoreItem>
</file>

<file path=customXml/itemProps5.xml><?xml version="1.0" encoding="utf-8"?>
<ds:datastoreItem xmlns:ds="http://schemas.openxmlformats.org/officeDocument/2006/customXml" ds:itemID="{D2EBE78C-FED2-4424-8F7E-D54BC7BA5B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3423</Words>
  <Characters>25201</Characters>
  <Application>Microsoft Office Word</Application>
  <DocSecurity>4</DocSecurity>
  <Lines>360</Lines>
  <Paragraphs>106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28518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terms:modified xsi:type="dcterms:W3CDTF">2022-02-17T16:50:00Z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