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commentsExtensible.xml" ContentType="application/vnd.openxmlformats-officedocument.wordprocessingml.commentsExtensible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1cef3a2e40742ca85d8a47fb402285a"/>
        <w:lock w:val="sdtLocked"/>
        <w:richText/>
      </w:sdtPr>
      <w:sdtContent>
        <w:p w14:paraId="1CAF791A" w14:textId="683D4DCB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2C5A2FB" w14:textId="1AE898DE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430A2411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77167272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33316A30" w14:textId="52E584A8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DĖL </w:t>
          </w:r>
          <w:r>
            <w:rPr>
              <w:rFonts w:eastAsia="Arial Unicode MS"/>
              <w:b/>
              <w:color w:val="000000"/>
              <w:szCs w:val="24"/>
              <w:shd w:val="clear" w:color="auto" w:fill="FFFFFF"/>
              <w:lang w:eastAsia="lt-LT"/>
            </w:rPr>
            <w:t xml:space="preserve">ŠIAULIŲ MIESTO SAVIVALDYBĖS BENDRUOMENINIŲ ORGANIZACIJŲ TARYBOS </w:t>
          </w:r>
          <w:r>
            <w:rPr>
              <w:rFonts w:eastAsia="Arial Unicode MS"/>
              <w:b/>
              <w:color w:val="000000"/>
              <w:szCs w:val="24"/>
              <w:lang w:eastAsia="lt-LT"/>
            </w:rPr>
            <w:t>SUDARYMO</w:t>
          </w:r>
        </w:p>
        <w:p w14:paraId="09C38723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2D23F912" w14:textId="4F256C1B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2025 m.                                     d. Nr. TSP - </w:t>
          </w:r>
        </w:p>
        <w:p w14:paraId="5816F996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0471C55D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f8e9f805c80d48b4b486c300c68b4124"/>
            <w:lock w:val="sdtLocked"/>
            <w:richText/>
          </w:sdtPr>
          <w:sdtContent>
            <w:p w14:paraId="1BAD3A68" w14:textId="5D85E9D8">
              <w:pPr>
                <w:widowControl w:val="0"/>
                <w:suppressAutoHyphens/>
                <w:ind w:firstLine="426"/>
                <w:jc w:val="both"/>
                <w:rPr>
                  <w:rFonts w:eastAsia="Arial Unicode MS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Vadovaudamasi Lietuvos Respublikos vietos savivaldos įstatymo 15 straipsnio 4 dalimi, </w:t>
              </w:r>
              <w:r>
                <w:rPr>
                  <w:rFonts w:eastAsia="Arial Unicode MS"/>
                  <w:color w:val="000000"/>
                  <w:szCs w:val="24"/>
                  <w:lang w:eastAsia="lt-LT"/>
                </w:rPr>
                <w:t>16 straipsnio 1 dalimi, Lietuvos Respublikos</w:t>
              </w:r>
              <w:r>
                <w:rPr>
                  <w:rFonts w:eastAsia="Arial Unicode MS"/>
                  <w:color w:val="FF0000"/>
                  <w:szCs w:val="24"/>
                  <w:lang w:eastAsia="lt-LT"/>
                </w:rPr>
                <w:t xml:space="preserve"> </w:t>
              </w:r>
              <w:r>
                <w:rPr>
                  <w:rFonts w:eastAsia="Arial Unicode MS"/>
                  <w:color w:val="000000"/>
                  <w:szCs w:val="24"/>
                  <w:lang w:eastAsia="lt-LT"/>
                </w:rPr>
                <w:t xml:space="preserve">bendruomeninių organizacijų plėtros įstatymo 8 straipsnio 1 dalimi, įgyvendindama Šiaulių miesto savivaldybės bendruomeninių organizacijų tarybos nuostatų, patvirtintų Šiaulių miesto savivaldybės tarybos 2022 m. balandžio 7 d. sprendimo Nr. T-101 „Dėl Šiaulių miesto savivaldybės bendruomeninių organizacijų tarybos nuostatų patvirtinimo“ 1 punktu, 13, 14, ir 15 punktus, atsižvelgdama į Šiaulių miesto savivaldybės mero 2025-11-18 raštą Nr. NVOG-129, „Dėl Savivaldybės tarybos narių delegavimo į Šiaulių miesto savivaldybės bendruomeninių organizacijų tarybą“, į Šiaulių miesto savivaldybės mero 2025 m. lapkričio 19 d. potvarkį Nr. M-1565 „Dėl Šiaulių miesto savivaldybės administracijos ir įstaigų darbuotojų delegavimo į Šiaulių miesto savivaldybės bendruomeninių organizacijų tarybą“ ir į Šiaulių apskrities bendruomenių konfederacijos 2025-11-17 raštą Nr. NVOG-124, 2025-11-18 raštą NVOG-127, Šiaulių miesto savivaldybės taryba  </w:t>
              </w:r>
              <w:r>
                <w:rPr>
                  <w:rFonts w:eastAsia="Arial Unicode MS"/>
                  <w:color w:val="000000"/>
                  <w:spacing w:val="40"/>
                  <w:szCs w:val="24"/>
                  <w:lang w:eastAsia="lt-LT"/>
                </w:rPr>
                <w:t>nusprendži</w:t>
              </w:r>
              <w:r>
                <w:rPr>
                  <w:rFonts w:eastAsia="Arial Unicode MS"/>
                  <w:color w:val="00000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dd6106817e3e4e36ba57e6ddb0662e86"/>
            <w:lock w:val="sdtLocked"/>
            <w:richText/>
          </w:sdtPr>
          <w:sdtContent>
            <w:p w14:paraId="5FA67568" w14:textId="0C94383D">
              <w:pPr>
                <w:widowControl w:val="0"/>
                <w:suppressAutoHyphens/>
                <w:ind w:firstLine="426"/>
                <w:jc w:val="both"/>
                <w:rPr>
                  <w:rFonts w:eastAsia="Arial Unicode MS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d6106817e3e4e36ba57e6ddb0662e86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Sudaryti šios sudėties</w:t>
              </w:r>
              <w:r>
                <w:rPr>
                  <w:rFonts w:eastAsia="Arial Unicode MS"/>
                  <w:color w:val="000000"/>
                  <w:szCs w:val="24"/>
                  <w:lang w:eastAsia="lt-LT"/>
                </w:rPr>
                <w:t xml:space="preserve"> Šiaulių miesto savivaldybės bendruomeninių organizacijų tarybą:</w:t>
              </w:r>
            </w:p>
            <w:p w14:paraId="17AF2CB4" w14:textId="00669923">
              <w:pPr>
                <w:spacing w:line="259" w:lineRule="auto"/>
                <w:ind w:firstLine="567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Malikas Agamalijevas, Šiaulių miesto savivaldybės tarybos narys;</w:t>
              </w:r>
            </w:p>
            <w:p w14:paraId="05BDAAC3" w14:textId="7A0F02BB">
              <w:pPr>
                <w:spacing w:line="259" w:lineRule="auto"/>
                <w:ind w:firstLine="567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Danutė Akaveckienė, Šiaulių miesto savivaldybės globos namų direktorė;</w:t>
              </w:r>
            </w:p>
            <w:p w14:paraId="00E17A4E" w14:textId="7FDE32AA">
              <w:pPr>
                <w:spacing w:line="259" w:lineRule="auto"/>
                <w:ind w:firstLine="567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Lina Janauskienė, Šiaulių miesto savivaldybės administracijos Sporto skyriaus vyriausioji specialistė;</w:t>
              </w:r>
            </w:p>
            <w:p w14:paraId="0A4A9ECC" w14:textId="1FA72294">
              <w:pPr>
                <w:spacing w:line="259" w:lineRule="auto"/>
                <w:ind w:firstLine="567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Olesia Kononenko, Zoknių bendruomenės pirmininkė;</w:t>
              </w:r>
            </w:p>
            <w:p w14:paraId="0BBD4D26" w14:textId="69E641E8">
              <w:pPr>
                <w:spacing w:line="259" w:lineRule="auto"/>
                <w:ind w:firstLine="567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Nijolė Malakauskienė, Šiaulių apskrities bendruomenių konfederacijos pirmininkė;</w:t>
              </w:r>
            </w:p>
            <w:p w14:paraId="2796B5DC" w14:textId="38D9527E">
              <w:pPr>
                <w:spacing w:line="259" w:lineRule="auto"/>
                <w:ind w:firstLine="567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Vytautas Pelaitis, Rėkyvos seniūnijos Vyturių bendruomenės pirmininkas;</w:t>
              </w:r>
            </w:p>
            <w:p w14:paraId="10FD2463" w14:textId="78D8B919">
              <w:pPr>
                <w:spacing w:line="259" w:lineRule="auto"/>
                <w:ind w:firstLine="567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Vida Pociuvienė, asociacijos Šiaulių bendruomenės pirmininkė;</w:t>
              </w:r>
            </w:p>
            <w:p w14:paraId="161DB8E6" w14:textId="2E68F8FE">
              <w:pPr>
                <w:spacing w:line="259" w:lineRule="auto"/>
                <w:ind w:firstLine="567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Gintautas Sitnikas, Šiaulių miesto savivaldybės tarybos narys;</w:t>
              </w:r>
            </w:p>
            <w:p w14:paraId="2397F3A2" w14:textId="5EA4C8C6">
              <w:pPr>
                <w:spacing w:line="259" w:lineRule="auto"/>
                <w:ind w:firstLine="567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Valdimaras Svalbonas, Šiaulių miesto savivaldybės tarybos narys;</w:t>
              </w:r>
            </w:p>
            <w:p w14:paraId="1229D01E" w14:textId="7BDB53ED">
              <w:pPr>
                <w:spacing w:line="259" w:lineRule="auto"/>
                <w:ind w:firstLine="567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Eglė Šimkevičienė, Šiaulių miesto savivaldybės administracijos Medelyno seniūnė;</w:t>
              </w:r>
            </w:p>
            <w:p w14:paraId="282FABD4" w14:textId="74561357">
              <w:pPr>
                <w:spacing w:line="259" w:lineRule="auto"/>
                <w:ind w:firstLine="567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Elvyra Užkuraitienė, Lieporių bendruomenės centro pirmininkė;</w:t>
              </w:r>
            </w:p>
            <w:p w14:paraId="3FC63D55" w14:textId="70328B53">
              <w:pPr>
                <w:spacing w:line="259" w:lineRule="auto"/>
                <w:ind w:firstLine="567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Aurimas Žvinys, Šiaulių miesto savivaldybės tarybos narys.</w:t>
              </w:r>
            </w:p>
          </w:sdtContent>
        </w:sdt>
        <w:sdt>
          <w:sdtPr>
            <w:alias w:val="2 p."/>
            <w:tag w:val="part_b288ede144df40a280d246299ef47096"/>
            <w:lock w:val="sdtLocked"/>
            <w:richText/>
          </w:sdtPr>
          <w:sdtContent>
            <w:p w14:paraId="3D189BAD" w14:textId="19C03D12">
              <w:pPr>
                <w:ind w:firstLine="567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b288ede144df40a280d246299ef47096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</w:rPr>
                <w:t>. Pripažinti netekusiu galios Šiaulių miesto savivaldybės tarybos 2022 m. gruodžio 1 d. sprendimą Nr. T-413 „Dėl Šiaulių miesto savivaldybės bendruomeninių organizacijų tarybos sudarymo“ su visais pakeitimais ir papildymais.</w:t>
              </w:r>
            </w:p>
            <w:p w14:paraId="48AD8431" w14:textId="3B5C0315">
              <w:pPr>
                <w:widowControl w:val="0"/>
                <w:tabs>
                  <w:tab w:val="left" w:pos="4253"/>
                  <w:tab w:val="right" w:pos="9570"/>
                </w:tabs>
                <w:suppressAutoHyphens/>
                <w:ind w:firstLine="567"/>
                <w:jc w:val="both"/>
                <w:rPr>
                  <w:rFonts w:eastAsia="HG Mincho Light J"/>
                  <w:color w:val="000000"/>
                  <w:sz w:val="18"/>
                  <w:szCs w:val="18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2"/>
                  <w:lang w:eastAsia="lt-LT"/>
                </w:rPr>
                <w:t>Šis sprendimas ne vėliau kaip per vieną mėnesį nuo jo įteikimo dienos gali</w:t>
              </w:r>
              <w:r>
                <w:rPr>
                  <w:rFonts w:eastAsia="HG Mincho Light J"/>
                  <w:color w:val="000000"/>
                  <w:sz w:val="18"/>
                  <w:szCs w:val="18"/>
                  <w:lang w:eastAsia="lt-LT"/>
                </w:rPr>
                <w:br/>
              </w:r>
              <w:r>
                <w:rPr>
                  <w:rFonts w:eastAsia="HG Mincho Light J"/>
                  <w:color w:val="000000"/>
                  <w:szCs w:val="22"/>
                  <w:lang w:eastAsia="lt-LT"/>
                </w:rPr>
                <w:t>būti skundžiamas paduodant skundą Lietuvos administracinių ginčų komisijos Šiaulių apygardos</w:t>
              </w:r>
              <w:r>
                <w:rPr>
                  <w:rFonts w:eastAsia="HG Mincho Light J"/>
                  <w:color w:val="000000"/>
                  <w:sz w:val="18"/>
                  <w:szCs w:val="18"/>
                  <w:lang w:eastAsia="lt-LT"/>
                </w:rPr>
                <w:br/>
              </w:r>
              <w:r>
                <w:rPr>
                  <w:rFonts w:eastAsia="HG Mincho Light J"/>
                  <w:color w:val="000000"/>
                  <w:szCs w:val="22"/>
                  <w:lang w:eastAsia="lt-LT"/>
                </w:rPr>
                <w:t>skyriui adresu: Dvaro g. 81, Šiauliai, arba Regionų administraciniam teismui bet</w:t>
              </w:r>
              <w:r>
                <w:rPr>
                  <w:rFonts w:eastAsia="HG Mincho Light J"/>
                  <w:color w:val="000000"/>
                  <w:sz w:val="18"/>
                  <w:szCs w:val="18"/>
                  <w:lang w:eastAsia="lt-LT"/>
                </w:rPr>
                <w:br/>
              </w:r>
              <w:r>
                <w:rPr>
                  <w:rFonts w:eastAsia="HG Mincho Light J"/>
                  <w:color w:val="000000"/>
                  <w:szCs w:val="22"/>
                  <w:lang w:eastAsia="lt-LT"/>
                </w:rPr>
                <w:t>kuriuose šio teismo rūmuose</w:t>
              </w:r>
            </w:p>
            <w:p w14:paraId="408BF2DF" w14:textId="53F12D6D">
              <w:pPr>
                <w:widowControl w:val="0"/>
                <w:tabs>
                  <w:tab w:val="left" w:pos="4253"/>
                  <w:tab w:val="right" w:pos="9570"/>
                </w:tabs>
                <w:suppressAutoHyphens/>
                <w:jc w:val="center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D818201" w14:textId="77777777">
              <w:pPr>
                <w:widowControl w:val="0"/>
                <w:tabs>
                  <w:tab w:val="left" w:pos="4253"/>
                  <w:tab w:val="right" w:pos="9570"/>
                </w:tabs>
                <w:suppressAutoHyphens/>
                <w:jc w:val="center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A3AB62E" w14:textId="77777777">
              <w:pPr>
                <w:widowControl w:val="0"/>
                <w:tabs>
                  <w:tab w:val="left" w:pos="4253"/>
                  <w:tab w:val="right" w:pos="9570"/>
                </w:tabs>
                <w:suppressAutoHyphens/>
                <w:jc w:val="center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a466ff18d27b4e149503e86f710cfc63"/>
            <w:lock w:val="sdtLocked"/>
            <w:richText/>
          </w:sdtPr>
          <w:sdtContent>
            <w:p w14:paraId="7F8B7644" w14:textId="39765D36">
              <w:pPr>
                <w:widowControl w:val="0"/>
                <w:tabs>
                  <w:tab w:val="left" w:pos="4253"/>
                  <w:tab w:val="right" w:pos="9570"/>
                </w:tabs>
                <w:suppressAutoHyphens/>
                <w:jc w:val="center"/>
                <w:rPr>
                  <w:rFonts w:eastAsia="HG Mincho Light J"/>
                  <w:strike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Savivaldybės meras </w:t>
                <w:tab/>
                <w:tab/>
              </w:r>
              <w:r>
                <w:rPr>
                  <w:rFonts w:eastAsia="HG Mincho Light J"/>
                  <w:strike/>
                  <w:color w:val="000000"/>
                  <w:szCs w:val="24"/>
                  <w:lang w:eastAsia="lt-LT"/>
                </w:rPr>
                <w:t xml:space="preserve"> </w:t>
              </w:r>
            </w:p>
            <w:p w14:paraId="24451521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default" r:id="rId6"/>
      <w:footerReference w:type="default" r:id="rId7"/>
      <w:footnotePr>
        <w:pos w:val="beneathText"/>
        <w:numRestart w:val="eachPage"/>
      </w:footnotePr>
      <w:endnotePr>
        <w:numFmt w:val="decimal"/>
      </w:endnotePr>
      <w:pgSz w:w="11906" w:h="16838"/>
      <w:pgMar w:top="1008" w:right="567" w:bottom="1135" w:left="1701" w:header="560" w:footer="697" w:gutter="0"/>
      <w:cols w:space="720"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1359CD7F" w16cex:dateUtc="2025-11-19T06:29:00Z"/>
  <w16cex:commentExtensible w16cex:durableId="3DFB1052" w16cex:dateUtc="2025-11-19T06:30:00Z"/>
</w16cex:commentsExtensible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76785B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02122168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HG Mincho Light J">
    <w:altName w:val="Cambria"/>
    <w:panose1 w:val="00000000000000000000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B3CF25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ED29F3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3CA724D9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DFD5A6" w14:textId="77777777">
    <w:pPr>
      <w:widowControl w:val="0"/>
      <w:tabs>
        <w:tab w:val="num" w:pos="0"/>
        <w:tab w:val="center" w:pos="4986"/>
        <w:tab w:val="right" w:pos="9972"/>
      </w:tabs>
      <w:suppressAutoHyphens/>
      <w:jc w:val="right"/>
      <w:rPr>
        <w:rFonts w:ascii="Thorndale" w:eastAsia="HG Mincho Light J" w:hAnsi="Thorndale"/>
        <w:b/>
        <w:color w:val="000000"/>
        <w:szCs w:val="24"/>
        <w:lang w:eastAsia="lt-LT"/>
      </w:rPr>
    </w:pPr>
    <w:r>
      <w:rPr>
        <w:rFonts w:ascii="Thorndale" w:eastAsia="HG Mincho Light J" w:hAnsi="Thorndale"/>
        <w:b/>
        <w:color w:val="000000"/>
        <w:szCs w:val="24"/>
        <w:lang w:eastAsia="lt-LT"/>
      </w:rPr>
      <w:t xml:space="preserve"> </w:t>
    </w:r>
    <w:r>
      <w:rPr>
        <w:rFonts w:ascii="Thorndale" w:eastAsia="HG Mincho Light J" w:hAnsi="Thorndale"/>
        <w:b/>
        <w:szCs w:val="24"/>
        <w:lang w:eastAsia="lt-LT"/>
      </w:rPr>
      <w:t>Projektas</w:t>
    </w:r>
  </w:p>
  <w:p w14:paraId="460592D1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15DFEB"/>
  <w15:chartTrackingRefBased/>
  <w15:docId w15:val="{0A104273-5DD8-4A07-BE08-ADFAFE6A960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1" Type="http://schemas.openxmlformats.org/officeDocument/2006/relationships/customXml" Target="../customXml/item1.xml"/>
  <Relationship Id="rId15" Type="http://schemas.microsoft.com/office/2018/08/relationships/commentsExtensible" Target="commentsExtensible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oter" Target="foot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538ec827df64605a29c184f5dbcffe3" PartId="b1cef3a2e40742ca85d8a47fb402285a">
    <Part Type="preambule" DocPartId="e8d1e8e697254475b36d65a21050bbdb" PartId="f8e9f805c80d48b4b486c300c68b4124"/>
    <Part Type="punktas" Nr="1" Abbr="1 p." DocPartId="574e0b40d8dd47e5afd554bbdbdf427f" PartId="dd6106817e3e4e36ba57e6ddb0662e86"/>
    <Part Type="punktas" Nr="2" Abbr="2 p." DocPartId="b67f6616aa3e4f9e957e21af73cc18c4" PartId="b288ede144df40a280d246299ef47096"/>
    <Part Type="signatura" DocPartId="5910972809484a10810015b01403fb77" PartId="a466ff18d27b4e149503e86f710cfc63"/>
  </Part>
</Parts>
</file>

<file path=customXml/itemProps1.xml><?xml version="1.0" encoding="utf-8"?>
<ds:datastoreItem xmlns:ds="http://schemas.openxmlformats.org/officeDocument/2006/customXml" ds:itemID="{F4A3CC83-F09F-4044-87AB-0C6CEA4BDF1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320</Words>
  <Characters>2407</Characters>
  <Application>Microsoft Office Word</Application>
  <DocSecurity>4</DocSecurity>
  <Lines>48</Lines>
  <Paragraphs>25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2025-11-19T13:49:00Z</dcterms:created>
  <dc:creator>Jurgita Vorevičienė</dc:creator>
  <lastModifiedBy>adlibuser</lastModifiedBy>
  <dcterms:modified xsi:type="dcterms:W3CDTF">2025-11-19T13:49:00Z</dcterms:modified>
  <revision>2</revision>
</coreProperties>
</file>