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24104F4D" w14:textId="77777777">
      <w:pPr>
        <w:tabs>
          <w:tab w:val="center" w:pos="4680"/>
          <w:tab w:val="right" w:pos="9360"/>
        </w:tabs>
        <w:rPr>
          <w:sz w:val="22"/>
          <w:szCs w:val="22"/>
          <w:lang w:val="en-US"/>
        </w:rPr>
      </w:pPr>
    </w:p>
    <w:p w14:paraId="7EDD2D5D" w14:textId="29C1F808">
      <w:pPr>
        <w:tabs>
          <w:tab w:val="center" w:pos="4680"/>
          <w:tab w:val="right" w:pos="9360"/>
        </w:tabs>
        <w:jc w:val="right"/>
        <w:rPr>
          <w:b/>
          <w:bCs/>
          <w:szCs w:val="24"/>
        </w:rPr>
      </w:pPr>
      <w:r>
        <w:rPr>
          <w:b/>
          <w:bCs/>
          <w:szCs w:val="24"/>
        </w:rPr>
        <w:t>Projektas</w:t>
      </w:r>
    </w:p>
    <w:p w14:paraId="062231D7" w14:textId="79A85C61">
      <w:pPr>
        <w:tabs>
          <w:tab w:val="center" w:pos="4680"/>
          <w:tab w:val="right" w:pos="9360"/>
        </w:tabs>
        <w:ind w:firstLine="1488"/>
        <w:jc w:val="center"/>
        <w:rPr>
          <w:szCs w:val="24"/>
          <w:lang w:eastAsia="lt-LT"/>
        </w:rPr>
      </w:pPr>
    </w:p>
    <w:p w14:paraId="4AECFCA2" w14:textId="77777777">
      <w:pPr>
        <w:tabs>
          <w:tab w:val="center" w:pos="4680"/>
          <w:tab w:val="right" w:pos="9360"/>
        </w:tabs>
        <w:jc w:val="center"/>
        <w:rPr>
          <w:b/>
          <w:bCs/>
          <w:spacing w:val="20"/>
          <w:szCs w:val="24"/>
        </w:rPr>
      </w:pPr>
    </w:p>
    <w:p w14:paraId="416D940C" w14:textId="77777777">
      <w:pPr>
        <w:tabs>
          <w:tab w:val="center" w:pos="4680"/>
          <w:tab w:val="right" w:pos="9360"/>
        </w:tabs>
        <w:jc w:val="center"/>
        <w:rPr>
          <w:b/>
          <w:bCs/>
          <w:szCs w:val="24"/>
        </w:rPr>
      </w:pPr>
      <w:r>
        <w:rPr>
          <w:b/>
          <w:bCs/>
          <w:szCs w:val="24"/>
        </w:rPr>
        <w:t>VIEŠOSIOS ĮSTAIGOS TRANSPORTO KOMPETENCIJŲ AGENTŪROS</w:t>
      </w:r>
    </w:p>
    <w:p w14:paraId="23D555AC" w14:textId="77777777">
      <w:pPr>
        <w:jc w:val="center"/>
        <w:rPr>
          <w:b/>
          <w:caps/>
          <w:szCs w:val="24"/>
        </w:rPr>
      </w:pPr>
      <w:r>
        <w:rPr>
          <w:b/>
          <w:caps/>
          <w:szCs w:val="24"/>
        </w:rPr>
        <w:t>DIREKTORIUS</w:t>
      </w:r>
    </w:p>
    <w:p w14:paraId="4A445BA2" w14:textId="77777777">
      <w:pPr>
        <w:jc w:val="center"/>
        <w:rPr>
          <w:b/>
          <w:caps/>
          <w:szCs w:val="24"/>
        </w:rPr>
      </w:pPr>
    </w:p>
    <w:p w14:paraId="3B7C3FE0" w14:textId="77777777">
      <w:pPr>
        <w:jc w:val="center"/>
        <w:rPr>
          <w:b/>
          <w:bCs/>
          <w:szCs w:val="24"/>
        </w:rPr>
      </w:pPr>
      <w:r>
        <w:rPr>
          <w:b/>
          <w:bCs/>
          <w:szCs w:val="24"/>
        </w:rPr>
        <w:t>ĮSAKYMAS</w:t>
      </w:r>
    </w:p>
    <w:p w14:paraId="3740BE84" w14:textId="77777777">
      <w:pPr>
        <w:jc w:val="center"/>
        <w:rPr>
          <w:b/>
          <w:bCs/>
          <w:szCs w:val="24"/>
        </w:rPr>
      </w:pPr>
      <w:r>
        <w:rPr>
          <w:b/>
          <w:bCs/>
          <w:szCs w:val="24"/>
        </w:rPr>
        <w:t>DĖL</w:t>
      </w:r>
      <w:r>
        <w:rPr>
          <w:b/>
          <w:caps/>
          <w:szCs w:val="24"/>
        </w:rPr>
        <w:t xml:space="preserve"> </w:t>
      </w:r>
      <w:r>
        <w:rPr>
          <w:b/>
          <w:bCs/>
          <w:caps/>
          <w:color w:val="000000"/>
          <w:szCs w:val="24"/>
        </w:rPr>
        <w:t>VIEŠOSIOS ĮSTAIGOS TRANSPORTO KOMPETENCIJŲ AGENTŪROS DIREKTORIAUS 2020 M. Birželio 5 D. ĮSAKYMO NR. 2-150 „</w:t>
      </w:r>
      <w:r>
        <w:rPr>
          <w:b/>
          <w:caps/>
          <w:szCs w:val="24"/>
        </w:rPr>
        <w:t>DĖL TECHNINĖS PRIEŽIŪROS ORGANIZACIJŲ PATVIRTINIMO IR JŲ NUOLATINĖS PRIEŽIŪROS PAGAL REGLAMENTO (EB) NR. 1321/2014 II PRIEDO (145 DALIES) REIKALAVIMUS APRAŠO IR TECHNINĖS PRIEŽIŪROS ORGANIZACIJOS VADOVO TVIRTINIMO APRAŠO PATVIRTINIMO</w:t>
      </w:r>
      <w:r>
        <w:rPr>
          <w:b/>
          <w:bCs/>
          <w:caps/>
          <w:color w:val="000000"/>
          <w:szCs w:val="24"/>
        </w:rPr>
        <w:t>“ PAKEITIMO</w:t>
      </w:r>
    </w:p>
    <w:p w14:paraId="304D9052" w14:textId="49D9B02F">
      <w:pPr>
        <w:jc w:val="center"/>
        <w:rPr>
          <w:b/>
          <w:caps/>
          <w:szCs w:val="24"/>
        </w:rPr>
      </w:pPr>
    </w:p>
    <w:p w14:paraId="4F04043B" w14:textId="77777777">
      <w:pPr>
        <w:jc w:val="center"/>
        <w:rPr>
          <w:b/>
          <w:bCs/>
          <w:szCs w:val="24"/>
        </w:rPr>
      </w:pPr>
    </w:p>
    <w:p w14:paraId="68231DDA" w14:textId="64896F37">
      <w:pPr>
        <w:tabs>
          <w:tab w:val="center" w:pos="4680"/>
          <w:tab w:val="right" w:pos="9360"/>
        </w:tabs>
        <w:jc w:val="center"/>
        <w:rPr>
          <w:szCs w:val="24"/>
        </w:rPr>
      </w:pPr>
      <w:r>
        <w:rPr>
          <w:szCs w:val="24"/>
        </w:rPr>
        <w:t xml:space="preserve">2022 m.                   d. Nr. </w:t>
      </w:r>
    </w:p>
    <w:p w14:paraId="263D2CE8" w14:textId="77777777">
      <w:pPr>
        <w:jc w:val="center"/>
        <w:rPr>
          <w:szCs w:val="24"/>
        </w:rPr>
      </w:pPr>
      <w:r>
        <w:rPr>
          <w:szCs w:val="24"/>
        </w:rPr>
        <w:t>Vilnius</w:t>
      </w:r>
    </w:p>
    <w:p w14:paraId="13F08BAA" w14:textId="5FFE4767">
      <w:pPr>
        <w:jc w:val="both"/>
        <w:rPr>
          <w:szCs w:val="24"/>
        </w:rPr>
      </w:pPr>
    </w:p>
    <w:p w14:paraId="390611A3" w14:textId="77777777">
      <w:pPr>
        <w:jc w:val="both"/>
        <w:rPr>
          <w:szCs w:val="24"/>
        </w:rPr>
      </w:pPr>
    </w:p>
    <w:p w14:paraId="14919D52" w14:textId="194A341A">
      <w:pPr>
        <w:ind w:firstLine="720"/>
        <w:jc w:val="both"/>
        <w:rPr>
          <w:szCs w:val="24"/>
        </w:rPr>
      </w:pPr>
      <w:r>
        <w:rPr>
          <w:spacing w:val="60"/>
          <w:kern w:val="24"/>
          <w:szCs w:val="24"/>
          <w:lang w:eastAsia="hi-IN" w:bidi="hi-IN"/>
        </w:rPr>
        <w:t>Pakeiči</w:t>
      </w:r>
      <w:r>
        <w:rPr>
          <w:kern w:val="24"/>
          <w:szCs w:val="24"/>
          <w:lang w:eastAsia="hi-IN" w:bidi="hi-IN"/>
        </w:rPr>
        <w:t>u</w:t>
      </w:r>
      <w:r>
        <w:rPr>
          <w:color w:val="000000"/>
          <w:szCs w:val="24"/>
          <w:lang w:eastAsia="en-GB"/>
        </w:rPr>
        <w:t xml:space="preserve"> </w:t>
      </w:r>
      <w:r>
        <w:rPr>
          <w:color w:val="000000"/>
        </w:rPr>
        <w:t xml:space="preserve">Techninės priežiūros organizacijų patvirtinimo ir jų nuolatinės priežiūros pagal Reglamento </w:t>
      </w:r>
      <w:fldSimple w:instr="HYPERLINK http://eur-lex.europa.eu/legal-content/LIT/TXT/?uri=CELEX:32014R1321&amp;locale=lt \t _blank">
        <w:r>
          <w:rPr>
            <w:color w:val="0000FF" w:themeColor="hyperlink"/>
            <w:u w:val="single"/>
          </w:rPr>
          <w:t>(EB) Nr. 1321/2014</w:t>
        </w:r>
      </w:fldSimple>
      <w:r>
        <w:rPr>
          <w:color w:val="000000"/>
        </w:rPr>
        <w:t xml:space="preserve"> II priedo (145 dalies) reikalavimus aprašą</w:t>
      </w:r>
      <w:r>
        <w:rPr>
          <w:color w:val="000000"/>
          <w:szCs w:val="24"/>
        </w:rPr>
        <w:t>, patvirtintą</w:t>
      </w:r>
      <w:r>
        <w:rPr>
          <w:szCs w:val="24"/>
          <w:lang w:eastAsia="en-GB"/>
        </w:rPr>
        <w:t xml:space="preserve"> viešosios įstaigos Transporto kompetencijų agentūros direktoriaus 2020 m. birželio 5 d. įsakymu Nr. </w:t>
      </w:r>
      <w:r>
        <w:rPr>
          <w:szCs w:val="24"/>
        </w:rPr>
        <w:t xml:space="preserve">2-150 </w:t>
      </w:r>
      <w:r>
        <w:rPr>
          <w:color w:val="000000"/>
          <w:szCs w:val="24"/>
        </w:rPr>
        <w:t>„</w:t>
      </w:r>
      <w:r>
        <w:rPr>
          <w:szCs w:val="24"/>
        </w:rPr>
        <w:t xml:space="preserve">Dėl </w:t>
      </w:r>
      <w:r>
        <w:rPr>
          <w:color w:val="000000"/>
          <w:szCs w:val="24"/>
        </w:rPr>
        <w:t xml:space="preserve">Techninės priežiūros </w:t>
      </w:r>
      <w:r>
        <w:rPr>
          <w:color w:val="000000"/>
        </w:rPr>
        <w:t xml:space="preserve">organizacijų patvirtinimo ir jų nuolatinės priežiūros pagal Reglamento </w:t>
      </w:r>
      <w:fldSimple w:instr="HYPERLINK http://eur-lex.europa.eu/legal-content/LIT/TXT/?uri=CELEX:32014R1321&amp;locale=lt \t _blank">
        <w:r>
          <w:rPr>
            <w:color w:val="0000FF" w:themeColor="hyperlink"/>
            <w:u w:val="single"/>
          </w:rPr>
          <w:t>(EB) Nr. 1321/2014</w:t>
        </w:r>
      </w:fldSimple>
      <w:r>
        <w:rPr>
          <w:color w:val="000000"/>
        </w:rPr>
        <w:t xml:space="preserve"> II priedo (145 dalies) reikalavimus</w:t>
      </w:r>
      <w:r>
        <w:rPr>
          <w:color w:val="000000"/>
          <w:szCs w:val="24"/>
        </w:rPr>
        <w:t xml:space="preserve"> aprašo ir </w:t>
      </w:r>
      <w:r>
        <w:rPr>
          <w:color w:val="000000"/>
        </w:rPr>
        <w:t>Techninės priežiūros organizacijos vadovo tvirtinimo aprašo</w:t>
      </w:r>
      <w:r>
        <w:rPr>
          <w:color w:val="000000"/>
          <w:szCs w:val="24"/>
          <w:lang w:eastAsia="en-GB"/>
        </w:rPr>
        <w:t xml:space="preserve"> patvirtinimo</w:t>
      </w:r>
      <w:r>
        <w:rPr>
          <w:szCs w:val="24"/>
        </w:rPr>
        <w:t>“,</w:t>
      </w:r>
      <w:r>
        <w:rPr>
          <w:color w:val="000000"/>
          <w:szCs w:val="24"/>
          <w:lang w:eastAsia="en-GB"/>
        </w:rPr>
        <w:t xml:space="preserve"> ir 44 punktą išdėstau taip:</w:t>
      </w:r>
    </w:p>
    <w:p w14:paraId="66E0CA12" w14:textId="51724A84">
      <w:pPr>
        <w:tabs>
          <w:tab w:val="left" w:pos="360"/>
        </w:tabs>
        <w:suppressAutoHyphens/>
        <w:ind w:firstLine="720"/>
        <w:jc w:val="both"/>
        <w:textAlignment w:val="baseline"/>
        <w:rPr>
          <w:color w:val="000000"/>
        </w:rPr>
      </w:pPr>
      <w:r>
        <w:rPr>
          <w:szCs w:val="24"/>
        </w:rPr>
        <w:t>„</w:t>
      </w:r>
      <w:r>
        <w:rPr>
          <w:szCs w:val="24"/>
        </w:rPr>
        <w:t>44</w:t>
      </w:r>
      <w:r>
        <w:rPr>
          <w:szCs w:val="24"/>
        </w:rPr>
        <w:t xml:space="preserve">. </w:t>
      </w:r>
      <w:r>
        <w:rPr>
          <w:color w:val="000000"/>
        </w:rPr>
        <w:t xml:space="preserve">Patvirtintos TPO linijinės techninės priežiūros stočių patikrinimai atliekami pagal aprašo 18.3, 18.4 papunkčiuose, 19–26 punktuose išdėstytą tvarką, bendradarbiaujant su šalies, kurios teritorijoje yra įsikūrusi TPO linijinės techninės priežiūros stotis, įgaliotąja institucija. TPO linijinės techninės priežiūros stočių patikrinimus TKA Civilinės aviacijos departamento Orlaivių skyriaus vadovas planuoja vadovaudamasis šiais kriterijais: </w:t>
      </w:r>
    </w:p>
    <w:p w14:paraId="7BE38090" w14:textId="28A1873E">
      <w:pPr>
        <w:tabs>
          <w:tab w:val="left" w:pos="360"/>
        </w:tabs>
        <w:suppressAutoHyphens/>
        <w:ind w:firstLine="720"/>
        <w:jc w:val="both"/>
        <w:textAlignment w:val="baseline"/>
        <w:rPr>
          <w:color w:val="000000"/>
        </w:rPr>
      </w:pPr>
      <w:r>
        <w:rPr>
          <w:color w:val="000000"/>
        </w:rPr>
        <w:t>44.1</w:t>
      </w:r>
      <w:r>
        <w:rPr>
          <w:color w:val="000000"/>
        </w:rPr>
        <w:t>. jei TPO turi 1 ar 2 linijinės techninės priežiūros stotis, kiekviena linijinės techninės priežiūros stotis tikrinama kartą per TPO priežiūros ciklą;</w:t>
      </w:r>
    </w:p>
    <w:p w14:paraId="14D050F8" w14:textId="57CE0E78">
      <w:pPr>
        <w:tabs>
          <w:tab w:val="left" w:pos="360"/>
        </w:tabs>
        <w:suppressAutoHyphens/>
        <w:ind w:firstLine="720"/>
        <w:jc w:val="both"/>
        <w:textAlignment w:val="baseline"/>
        <w:rPr>
          <w:color w:val="000000"/>
        </w:rPr>
      </w:pPr>
      <w:r>
        <w:rPr>
          <w:color w:val="000000"/>
        </w:rPr>
        <w:t>44.2</w:t>
      </w:r>
      <w:r>
        <w:rPr>
          <w:color w:val="000000"/>
        </w:rPr>
        <w:t>. jei TPO turi nuo 3 iki 5 linijinės techninės priežiūros stočių, per TPO priežiūros ciklą tikrinamos mažiausiai 3 linijinės techninės priežiūros stotys;</w:t>
      </w:r>
    </w:p>
    <w:p w14:paraId="71B18455" w14:textId="265AF7CB">
      <w:pPr>
        <w:tabs>
          <w:tab w:val="left" w:pos="360"/>
        </w:tabs>
        <w:suppressAutoHyphens/>
        <w:ind w:firstLine="720"/>
        <w:jc w:val="both"/>
        <w:textAlignment w:val="baseline"/>
        <w:rPr>
          <w:color w:val="000000"/>
        </w:rPr>
      </w:pPr>
      <w:r>
        <w:rPr>
          <w:color w:val="000000"/>
        </w:rPr>
        <w:t>44.3</w:t>
      </w:r>
      <w:r>
        <w:rPr>
          <w:color w:val="000000"/>
        </w:rPr>
        <w:t xml:space="preserve">. jei TPO turi daugiau nei 5 linijinės techninės priežiūros stotis, tikrinamų linijinės techninės priežiūros stočių skaičius nustatomas atsižvelgiant į atliekamą TPO vykdomos veiklos rizikingumo vertinimą, tačiau tikrinamų stočių skaičius per TPO priežiūros ciklą turi būti ne mažesnis  kaip 3;</w:t>
      </w:r>
    </w:p>
    <w:p w14:paraId="2F51FCC9" w14:textId="60A425DF">
      <w:pPr>
        <w:tabs>
          <w:tab w:val="left" w:pos="360"/>
        </w:tabs>
        <w:suppressAutoHyphens/>
        <w:ind w:firstLine="720"/>
        <w:jc w:val="both"/>
        <w:textAlignment w:val="baseline"/>
        <w:rPr>
          <w:color w:val="000000"/>
        </w:rPr>
      </w:pPr>
      <w:r>
        <w:rPr>
          <w:color w:val="000000"/>
        </w:rPr>
        <w:t>44.4</w:t>
      </w:r>
      <w:r>
        <w:rPr>
          <w:color w:val="000000"/>
        </w:rPr>
        <w:t>. aprašo 44.2 ir 44.3 papunkčiuose nurodytais atvejais tikrinamų linijinės priežiūros stočių pasirinkimas atliekamas atsižvelgiant į vykdomas techninės priežiūros darbų apimtis linijinėje techninės priežiūros stotyje, TKA turimą informaciją apie patvirtintos TPO veiklą, linijinės techninės priežiūros stoties vietą.“.</w:t>
      </w:r>
    </w:p>
    <w:p w14:paraId="5E482642" w14:textId="6B4A0AEF">
      <w:pPr>
        <w:spacing w:line="276" w:lineRule="auto"/>
        <w:jc w:val="both"/>
      </w:pPr>
    </w:p>
    <w:p w14:paraId="129261A5" w14:textId="14B8C34C">
      <w:pPr>
        <w:spacing w:line="276" w:lineRule="auto"/>
        <w:jc w:val="both"/>
      </w:pPr>
    </w:p>
    <w:p w14:paraId="0F28F19C" w14:textId="77777777">
      <w:pPr>
        <w:spacing w:line="276" w:lineRule="auto"/>
        <w:jc w:val="both"/>
      </w:pPr>
    </w:p>
    <w:p w14:paraId="10F0ABBD" w14:textId="146BB0CF">
      <w:pPr>
        <w:spacing w:line="276" w:lineRule="auto"/>
        <w:jc w:val="both"/>
        <w:rPr>
          <w:szCs w:val="24"/>
          <w:lang w:val="en-US"/>
        </w:rPr>
      </w:pPr>
      <w:r>
        <w:rPr>
          <w:szCs w:val="24"/>
        </w:rPr>
        <w:t>Direktorius</w:t>
        <w:tab/>
        <w:tab/>
        <w:tab/>
        <w:tab/>
        <w:tab/>
        <w:tab/>
        <w:tab/>
        <w:tab/>
        <w:tab/>
      </w:r>
    </w:p>
    <w:sectPr>
      <w:headerReference w:type="even" r:id="rId6"/>
      <w:headerReference w:type="default" r:id="rId7"/>
      <w:footerReference w:type="even" r:id="rId8"/>
      <w:footerReference w:type="default" r:id="rId9"/>
      <w:headerReference w:type="first" r:id="rId10"/>
      <w:footerReference w:type="first" r:id="rId11"/>
      <w:pgSz w:w="12240" w:h="15840"/>
      <w:pgMar w:top="1701" w:right="567" w:bottom="810" w:left="1701" w:header="720" w:footer="720"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362C8" w14:textId="77777777">
      <w:pPr>
        <w:rPr>
          <w:sz w:val="22"/>
          <w:szCs w:val="22"/>
          <w:lang w:val="en-US"/>
        </w:rPr>
      </w:pPr>
      <w:r>
        <w:rPr>
          <w:sz w:val="22"/>
          <w:szCs w:val="22"/>
          <w:lang w:val="en-US"/>
        </w:rPr>
        <w:separator/>
      </w:r>
    </w:p>
  </w:endnote>
  <w:endnote w:type="continuationSeparator" w:id="0">
    <w:p w14:paraId="6FEB7E79" w14:textId="77777777">
      <w:pPr>
        <w:rPr>
          <w:sz w:val="22"/>
          <w:szCs w:val="22"/>
          <w:lang w:val="en-US"/>
        </w:rPr>
      </w:pPr>
      <w:r>
        <w:rPr>
          <w:sz w:val="22"/>
          <w:szCs w:val="22"/>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9B84" w14:textId="77777777">
    <w:pPr>
      <w:tabs>
        <w:tab w:val="center" w:pos="4986"/>
        <w:tab w:val="right" w:pos="9972"/>
      </w:tabs>
      <w:rPr>
        <w:sz w:val="22"/>
        <w:szCs w:val="22"/>
        <w:lang w:val="en-US"/>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D2ED" w14:textId="77777777">
    <w:pPr>
      <w:tabs>
        <w:tab w:val="center" w:pos="4986"/>
        <w:tab w:val="right" w:pos="9972"/>
      </w:tabs>
      <w:rPr>
        <w:sz w:val="22"/>
        <w:szCs w:val="22"/>
        <w:lang w:val="en-US"/>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2A11" w14:textId="77777777">
    <w:pPr>
      <w:tabs>
        <w:tab w:val="center" w:pos="4986"/>
        <w:tab w:val="right" w:pos="9972"/>
      </w:tabs>
      <w:rPr>
        <w:sz w:val="22"/>
        <w:szCs w:val="22"/>
        <w:lang w:val="en-US"/>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9263" w14:textId="77777777">
      <w:pPr>
        <w:rPr>
          <w:sz w:val="22"/>
          <w:szCs w:val="22"/>
          <w:lang w:val="en-US"/>
        </w:rPr>
      </w:pPr>
      <w:r>
        <w:rPr>
          <w:sz w:val="22"/>
          <w:szCs w:val="22"/>
          <w:lang w:val="en-US"/>
        </w:rPr>
        <w:separator/>
      </w:r>
    </w:p>
  </w:footnote>
  <w:footnote w:type="continuationSeparator" w:id="0">
    <w:p w14:paraId="70C3AA5D" w14:textId="77777777">
      <w:pPr>
        <w:rPr>
          <w:sz w:val="22"/>
          <w:szCs w:val="22"/>
          <w:lang w:val="en-US"/>
        </w:rPr>
      </w:pPr>
      <w:r>
        <w:rPr>
          <w:sz w:val="22"/>
          <w:szCs w:val="22"/>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3283" w14:textId="77777777">
    <w:pPr>
      <w:tabs>
        <w:tab w:val="center" w:pos="4680"/>
        <w:tab w:val="right" w:pos="9360"/>
      </w:tabs>
      <w:rPr>
        <w:sz w:val="22"/>
        <w:szCs w:val="22"/>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DC2D" w14:textId="77777777">
    <w:pPr>
      <w:tabs>
        <w:tab w:val="center" w:pos="4680"/>
        <w:tab w:val="right" w:pos="9360"/>
      </w:tabs>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lang w:val="en-US"/>
      </w:rPr>
      <w:t>2</w:t>
    </w:r>
    <w:r>
      <w:rPr>
        <w:sz w:val="22"/>
        <w:szCs w:val="22"/>
        <w:lang w:val="en-US"/>
      </w:rPr>
      <w:fldChar w:fldCharType="end"/>
    </w:r>
  </w:p>
  <w:p w14:paraId="3A2B822A" w14:textId="77777777">
    <w:pPr>
      <w:tabs>
        <w:tab w:val="center" w:pos="4680"/>
        <w:tab w:val="right" w:pos="9360"/>
      </w:tabs>
      <w:rPr>
        <w:sz w:val="22"/>
        <w:szCs w:val="22"/>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ACC4"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37D3"/>
  <w15:chartTrackingRefBased/>
  <w15:docId w15:val="{989D6797-C05A-48F8-8BE9-AE505DD2D60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2140</Characters>
  <Application>Microsoft Office Word</Application>
  <DocSecurity>4</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2022-07-07T05:28:00Z</dcterms:created>
  <dc:creator>Vita Kavaliūnaitė</dc:creator>
  <lastModifiedBy>adlibuser</lastModifiedBy>
  <dcterms:modified xsi:type="dcterms:W3CDTF">2022-07-07T05:28:00Z</dcterms:modified>
  <revision>2</revision>
</coreProperties>
</file>