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36f2a8ef9344410f9af3c9cd8324beb1"/>
        <w:lock w:val="sdtLocked"/>
        <w:richText/>
      </w:sdtPr>
      <w:sdtContent>
        <w:p>
          <w:pPr>
            <w:tabs>
              <w:tab w:val="left" w:pos="17016"/>
            </w:tabs>
            <w:suppressAutoHyphens/>
            <w:ind w:left="8508"/>
            <w:rPr>
              <w:b/>
              <w:bCs/>
              <w:szCs w:val="24"/>
              <w:lang w:eastAsia="ar-SA"/>
            </w:rPr>
          </w:pPr>
        </w:p>
        <w:p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</w:p>
        <w:p>
          <w:pPr>
            <w:suppressAutoHyphens/>
            <w:jc w:val="center"/>
            <w:rPr>
              <w:rFonts w:eastAsia="Lucida Sans Unicode"/>
              <w:b/>
              <w:szCs w:val="24"/>
              <w:lang w:eastAsia="ar-SA"/>
            </w:rPr>
          </w:pPr>
          <w:r>
            <w:rPr>
              <w:rFonts w:eastAsia="Lucida Sans Unicode"/>
              <w:b/>
              <w:szCs w:val="24"/>
              <w:lang w:eastAsia="ar-SA"/>
            </w:rPr>
            <w:t>ŠIAULIŲ MIESTO SAVIVALDYBĖS TARYBA</w:t>
          </w:r>
        </w:p>
        <w:p>
          <w:pPr>
            <w:widowControl w:val="0"/>
            <w:suppressAutoHyphens/>
            <w:jc w:val="center"/>
            <w:rPr>
              <w:rFonts w:eastAsia="Lucida Sans Unicode"/>
              <w:b/>
              <w:szCs w:val="24"/>
              <w:lang w:eastAsia="ar-SA"/>
            </w:rPr>
          </w:pPr>
        </w:p>
        <w:p>
          <w:pPr>
            <w:widowControl w:val="0"/>
            <w:suppressAutoHyphens/>
            <w:jc w:val="center"/>
            <w:rPr>
              <w:rFonts w:eastAsia="Lucida Sans Unicode"/>
              <w:b/>
              <w:szCs w:val="24"/>
              <w:shd w:val="clear" w:color="auto" w:fill="FFFFFF"/>
              <w:lang w:eastAsia="ar-SA"/>
            </w:rPr>
          </w:pPr>
          <w:r>
            <w:rPr>
              <w:rFonts w:eastAsia="Lucida Sans Unicode"/>
              <w:b/>
              <w:szCs w:val="24"/>
              <w:shd w:val="clear" w:color="auto" w:fill="FFFFFF"/>
              <w:lang w:eastAsia="ar-SA"/>
            </w:rPr>
            <w:t>SPRENDIMAS</w:t>
          </w:r>
        </w:p>
        <w:p>
          <w:pPr>
            <w:widowControl w:val="0"/>
            <w:suppressAutoHyphens/>
            <w:jc w:val="center"/>
            <w:rPr>
              <w:rFonts w:eastAsia="Lucida Sans Unicode"/>
              <w:b/>
              <w:bCs/>
              <w:caps/>
              <w:szCs w:val="24"/>
              <w:shd w:val="clear" w:color="auto" w:fill="FFFFFF"/>
            </w:rPr>
          </w:pPr>
          <w:r>
            <w:rPr>
              <w:rFonts w:eastAsia="Lucida Sans Unicode"/>
              <w:b/>
              <w:bCs/>
              <w:caps/>
              <w:szCs w:val="24"/>
              <w:shd w:val="clear" w:color="auto" w:fill="FFFFFF"/>
              <w:lang w:eastAsia="ar-SA"/>
            </w:rPr>
            <w:t xml:space="preserve">DĖL </w:t>
          </w:r>
          <w:r>
            <w:rPr>
              <w:rFonts w:eastAsia="Lucida Sans Unicode"/>
              <w:b/>
              <w:bCs/>
              <w:caps/>
              <w:szCs w:val="24"/>
              <w:shd w:val="clear" w:color="auto" w:fill="FFFFFF"/>
            </w:rPr>
            <w:t>ŠIAULIŲ miesto SAVIVALDYBĖS 2025–2027 METŲ STRATEGINIO VEIKLOS PLANO PATVIRTINIMO</w:t>
          </w:r>
        </w:p>
        <w:p>
          <w:pPr>
            <w:widowControl w:val="0"/>
            <w:suppressAutoHyphens/>
            <w:jc w:val="center"/>
            <w:rPr>
              <w:rFonts w:eastAsia="Lucida Sans Unicode"/>
              <w:b/>
              <w:caps/>
              <w:szCs w:val="24"/>
              <w:lang w:eastAsia="ar-SA"/>
            </w:rPr>
          </w:pPr>
        </w:p>
        <w:p>
          <w:pPr>
            <w:widowControl w:val="0"/>
            <w:suppressAutoHyphens/>
            <w:jc w:val="center"/>
            <w:rPr>
              <w:rFonts w:eastAsia="Lucida Sans Unicode"/>
              <w:szCs w:val="24"/>
              <w:shd w:val="clear" w:color="auto" w:fill="FFFFFF"/>
              <w:lang w:eastAsia="ar-SA"/>
            </w:rPr>
          </w:pPr>
          <w:r>
            <w:rPr>
              <w:rFonts w:eastAsia="Lucida Sans Unicode"/>
              <w:szCs w:val="24"/>
              <w:shd w:val="clear" w:color="auto" w:fill="FFFFFF"/>
              <w:lang w:eastAsia="ar-SA"/>
            </w:rPr>
            <w:t>2025 m.</w:t>
          </w:r>
          <w:r>
            <w:rPr>
              <w:rFonts w:eastAsia="Lucida Sans Unicode"/>
              <w:color w:val="FF0000"/>
              <w:szCs w:val="24"/>
              <w:shd w:val="clear" w:color="auto" w:fill="FFFFFF"/>
              <w:lang w:eastAsia="ar-SA"/>
            </w:rPr>
            <w:t xml:space="preserve">           </w:t>
          </w:r>
          <w:r>
            <w:rPr>
              <w:rFonts w:eastAsia="Lucida Sans Unicode"/>
              <w:szCs w:val="24"/>
              <w:shd w:val="clear" w:color="auto" w:fill="FFFFFF"/>
              <w:lang w:eastAsia="ar-SA"/>
            </w:rPr>
            <w:t xml:space="preserve">  d. Nr. T-</w:t>
          </w:r>
        </w:p>
        <w:p>
          <w:pPr>
            <w:widowControl w:val="0"/>
            <w:suppressAutoHyphens/>
            <w:jc w:val="center"/>
            <w:rPr>
              <w:rFonts w:eastAsia="Lucida Sans Unicode"/>
              <w:szCs w:val="24"/>
              <w:shd w:val="clear" w:color="auto" w:fill="FFFFFF"/>
              <w:lang w:eastAsia="ar-SA"/>
            </w:rPr>
          </w:pPr>
          <w:r>
            <w:rPr>
              <w:rFonts w:eastAsia="Lucida Sans Unicode"/>
              <w:szCs w:val="24"/>
              <w:shd w:val="clear" w:color="auto" w:fill="FFFFFF"/>
              <w:lang w:eastAsia="ar-SA"/>
            </w:rPr>
            <w:t>Šiauliai</w:t>
          </w:r>
        </w:p>
        <w:p>
          <w:pPr>
            <w:widowControl w:val="0"/>
            <w:suppressAutoHyphens/>
            <w:jc w:val="center"/>
            <w:rPr>
              <w:rFonts w:eastAsia="Lucida Sans Unicode"/>
              <w:szCs w:val="24"/>
              <w:shd w:val="clear" w:color="auto" w:fill="FFFFFF"/>
              <w:lang w:eastAsia="ar-SA"/>
            </w:rPr>
          </w:pPr>
        </w:p>
        <w:p>
          <w:pPr>
            <w:widowControl w:val="0"/>
            <w:suppressAutoHyphens/>
            <w:jc w:val="center"/>
            <w:rPr>
              <w:rFonts w:eastAsia="Lucida Sans Unicode"/>
              <w:szCs w:val="24"/>
              <w:shd w:val="clear" w:color="auto" w:fill="FFFFFF"/>
              <w:lang w:eastAsia="ar-SA"/>
            </w:rPr>
          </w:pPr>
        </w:p>
        <w:sdt>
          <w:sdtPr>
            <w:alias w:val="preambule"/>
            <w:tag w:val="part_c3730cda7f274fc5b293b6d4d2c0e9a4"/>
            <w:lock w:val="sdtLocked"/>
            <w:richText/>
          </w:sdtPr>
          <w:sdtContent>
            <w:p>
              <w:pPr>
                <w:widowControl w:val="0"/>
                <w:suppressAutoHyphens/>
                <w:ind w:right="45" w:firstLine="720"/>
                <w:jc w:val="both"/>
                <w:rPr>
                  <w:rFonts w:eastAsia="Lucida Sans Unicode"/>
                  <w:color w:val="000000"/>
                  <w:shd w:val="clear" w:color="auto" w:fill="FFFFFF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</w:rPr>
                <w:t xml:space="preserve">Vadovaudamasi </w:t>
              </w:r>
              <w:r>
                <w:rPr>
                  <w:rFonts w:eastAsia="Lucida Sans Unicode"/>
                  <w:color w:val="000000"/>
                  <w:shd w:val="clear" w:color="auto" w:fill="FFFFFF"/>
                </w:rPr>
                <w:t xml:space="preserve">Lietuvos Respublikos vietos savivaldos įstatymo </w:t>
              </w:r>
              <w:r>
                <w:rPr>
                  <w:rFonts w:eastAsia="Calibri"/>
                  <w:szCs w:val="24"/>
                  <w:lang w:val="en-US"/>
                </w:rPr>
                <w:t>15</w:t>
              </w:r>
              <w:r>
                <w:rPr>
                  <w:rFonts w:eastAsia="Calibri"/>
                  <w:szCs w:val="24"/>
                </w:rPr>
                <w:t xml:space="preserve"> </w:t>
              </w:r>
              <w:r>
                <w:rPr>
                  <w:rFonts w:eastAsia="Courier New"/>
                  <w:szCs w:val="24"/>
                  <w:lang w:eastAsia="lt-LT"/>
                </w:rPr>
                <w:t>straipsnio</w:t>
              </w:r>
              <w:r>
                <w:rPr>
                  <w:rFonts w:eastAsia="Calibri"/>
                  <w:szCs w:val="24"/>
                  <w:lang w:val="en-US"/>
                </w:rPr>
                <w:t xml:space="preserve"> 2 </w:t>
              </w:r>
              <w:r>
                <w:rPr>
                  <w:rFonts w:eastAsia="Calibri"/>
                  <w:szCs w:val="24"/>
                </w:rPr>
                <w:t xml:space="preserve">dalies 32 punktu, </w:t>
              </w:r>
              <w:r>
                <w:rPr>
                  <w:rFonts w:eastAsia="Courier New"/>
                  <w:szCs w:val="24"/>
                  <w:lang w:eastAsia="lt-LT"/>
                </w:rPr>
                <w:t>Lietuvos Respublikos strateginio valdymo įstatymo</w:t>
              </w:r>
              <w:r>
                <w:rPr>
                  <w:rFonts w:ascii="Calibri" w:eastAsia="Courier New" w:hAnsi="Calibri"/>
                  <w:sz w:val="22"/>
                  <w:szCs w:val="22"/>
                  <w:lang w:eastAsia="lt-LT"/>
                </w:rPr>
                <w:t xml:space="preserve"> </w:t>
              </w:r>
              <w:r>
                <w:rPr>
                  <w:rFonts w:eastAsia="Courier New"/>
                  <w:szCs w:val="24"/>
                  <w:lang w:eastAsia="lt-LT"/>
                </w:rPr>
                <w:t>24 straipsnio</w:t>
              </w:r>
              <w:r>
                <w:rPr>
                  <w:rFonts w:ascii="Calibri" w:eastAsia="Courier New" w:hAnsi="Calibri"/>
                  <w:sz w:val="22"/>
                  <w:szCs w:val="22"/>
                  <w:lang w:eastAsia="lt-LT"/>
                </w:rPr>
                <w:t xml:space="preserve"> </w:t>
              </w:r>
              <w:r>
                <w:rPr>
                  <w:rFonts w:eastAsia="Courier New"/>
                  <w:szCs w:val="24"/>
                  <w:lang w:eastAsia="lt-LT"/>
                </w:rPr>
                <w:t xml:space="preserve">2 dalimi </w:t>
              </w:r>
              <w:r>
                <w:rPr>
                  <w:rFonts w:eastAsia="Lucida Sans Unicode"/>
                  <w:color w:val="000000"/>
                  <w:shd w:val="clear" w:color="auto" w:fill="FFFFFF"/>
                </w:rPr>
                <w:t>ir įgyvendindama Šiaulių miesto savivaldybės tarybos 2024 m. birželio 6 d. sprendimą Nr. T-202 „Dėl Šiaulių miesto 2025–2033 metų strateginio plėtros plano patvirtinimo“, Šiaulių savivaldybės taryba</w:t>
              </w:r>
              <w:r>
                <w:rPr>
                  <w:rFonts w:eastAsia="Lucida Sans Unicode"/>
                  <w:color w:val="000000"/>
                  <w:spacing w:val="40"/>
                  <w:shd w:val="clear" w:color="auto" w:fill="FFFFFF"/>
                </w:rPr>
                <w:t xml:space="preserve"> nusprendžia</w:t>
              </w:r>
              <w:r>
                <w:rPr>
                  <w:rFonts w:eastAsia="Lucida Sans Unicode"/>
                  <w:color w:val="000000"/>
                  <w:shd w:val="clear" w:color="auto" w:fill="FFFFFF"/>
                </w:rPr>
                <w:t>:</w:t>
              </w:r>
            </w:p>
          </w:sdtContent>
        </w:sdt>
        <w:sdt>
          <w:sdtPr>
            <w:alias w:val="1 p."/>
            <w:tag w:val="part_47b5675f52364bce8fe96b69d0763665"/>
            <w:lock w:val="sdtLocked"/>
            <w:richText/>
          </w:sdtPr>
          <w:sdtContent>
            <w:p>
              <w:pPr>
                <w:widowControl w:val="0"/>
                <w:suppressAutoHyphens/>
                <w:ind w:right="45" w:firstLine="720"/>
                <w:jc w:val="both"/>
                <w:rPr>
                  <w:rFonts w:eastAsia="Lucida Sans Unicode"/>
                  <w:color w:val="000000"/>
                  <w:shd w:val="clear" w:color="auto" w:fill="FFFFFF"/>
                </w:rPr>
              </w:pPr>
              <w:sdt>
                <w:sdtPr>
                  <w:alias w:val="Numeris"/>
                  <w:tag w:val="nr_47b5675f52364bce8fe96b69d0763665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color w:val="000000"/>
                      <w:shd w:val="clear" w:color="auto" w:fill="FFFFFF"/>
                    </w:rPr>
                    <w:t>1</w:t>
                  </w:r>
                </w:sdtContent>
              </w:sdt>
              <w:r>
                <w:rPr>
                  <w:rFonts w:eastAsia="Lucida Sans Unicode"/>
                  <w:color w:val="000000"/>
                  <w:shd w:val="clear" w:color="auto" w:fill="FFFFFF"/>
                </w:rPr>
                <w:t>. Patvirtinti Šiaulių miesto savivaldybės 2025–2027 metų strateginį veiklos planą (pridedama).</w:t>
              </w:r>
            </w:p>
          </w:sdtContent>
        </w:sdt>
        <w:sdt>
          <w:sdtPr>
            <w:alias w:val="2 p."/>
            <w:tag w:val="part_80d909529e9a473e875dce33caac405f"/>
            <w:lock w:val="sdtLocked"/>
            <w:richText/>
          </w:sdtPr>
          <w:sdtContent>
            <w:p>
              <w:pPr>
                <w:widowControl w:val="0"/>
                <w:suppressAutoHyphens/>
                <w:ind w:right="45" w:firstLine="720"/>
                <w:jc w:val="both"/>
                <w:rPr>
                  <w:rFonts w:eastAsia="Lucida Sans Unicode"/>
                  <w:color w:val="000000"/>
                  <w:shd w:val="clear" w:color="auto" w:fill="FFFFFF"/>
                </w:rPr>
              </w:pPr>
              <w:sdt>
                <w:sdtPr>
                  <w:alias w:val="Numeris"/>
                  <w:tag w:val="nr_80d909529e9a473e875dce33caac405f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color w:val="000000"/>
                      <w:shd w:val="clear" w:color="auto" w:fill="FFFFFF"/>
                    </w:rPr>
                    <w:t>2</w:t>
                  </w:r>
                </w:sdtContent>
              </w:sdt>
              <w:r>
                <w:rPr>
                  <w:rFonts w:eastAsia="Lucida Sans Unicode"/>
                  <w:color w:val="000000"/>
                  <w:shd w:val="clear" w:color="auto" w:fill="FFFFFF"/>
                </w:rPr>
                <w:t xml:space="preserve">.  Pripažinti netekusiu galios Šiaulių savivaldybės tarybos 2024 m. vasario 1 d. sprendimą Nr. T-1 „Dėl Šiaulių miesto savivaldybės 2024</w:t>
              </w:r>
              <w:r>
                <w:rPr>
                  <w:rFonts w:eastAsia="Lucida Sans Unicode"/>
                  <w:bCs/>
                  <w:szCs w:val="24"/>
                  <w:shd w:val="clear" w:color="auto" w:fill="FFFFFF"/>
                </w:rPr>
                <w:t>–</w:t>
              </w:r>
              <w:r>
                <w:rPr>
                  <w:rFonts w:eastAsia="Lucida Sans Unicode"/>
                  <w:color w:val="000000"/>
                  <w:shd w:val="clear" w:color="auto" w:fill="FFFFFF"/>
                </w:rPr>
                <w:t>2026 metų strateginio veiklos plano patvirtinimo“ su visais pakeitimais ir papildymais.</w:t>
              </w:r>
            </w:p>
            <w:p>
              <w:pPr>
                <w:tabs>
                  <w:tab w:val="left" w:pos="1276"/>
                </w:tabs>
                <w:suppressAutoHyphens/>
                <w:spacing w:line="259" w:lineRule="auto"/>
                <w:ind w:firstLine="1276"/>
                <w:jc w:val="both"/>
                <w:rPr>
                  <w:rFonts w:eastAsia="Calibri"/>
                  <w:szCs w:val="24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widowControl w:val="0"/>
                <w:suppressAutoHyphens/>
                <w:ind w:right="45"/>
                <w:jc w:val="both"/>
                <w:rPr>
                  <w:rFonts w:eastAsia="Lucida Sans Unicode"/>
                  <w:color w:val="000000"/>
                  <w:shd w:val="clear" w:color="auto" w:fill="FFFFFF"/>
                </w:rPr>
              </w:pPr>
            </w:p>
            <w:p>
              <w:pPr>
                <w:widowControl w:val="0"/>
                <w:suppressAutoHyphens/>
                <w:ind w:right="45"/>
                <w:jc w:val="both"/>
                <w:rPr>
                  <w:rFonts w:eastAsia="Lucida Sans Unicode"/>
                  <w:color w:val="000000"/>
                  <w:shd w:val="clear" w:color="auto" w:fill="FFFFFF"/>
                </w:rPr>
              </w:pPr>
            </w:p>
            <w:p>
              <w:pPr>
                <w:widowControl w:val="0"/>
                <w:suppressAutoHyphens/>
                <w:ind w:right="45"/>
                <w:jc w:val="both"/>
                <w:rPr>
                  <w:rFonts w:eastAsia="Lucida Sans Unicode"/>
                  <w:color w:val="000000"/>
                  <w:shd w:val="clear" w:color="auto" w:fill="FFFFFF"/>
                </w:rPr>
              </w:pPr>
            </w:p>
            <w:p>
              <w:pPr>
                <w:widowControl w:val="0"/>
                <w:suppressAutoHyphens/>
                <w:ind w:right="45"/>
                <w:jc w:val="both"/>
                <w:rPr>
                  <w:rFonts w:eastAsia="Lucida Sans Unicode"/>
                  <w:color w:val="000000"/>
                  <w:shd w:val="clear" w:color="auto" w:fill="FFFFFF"/>
                </w:rPr>
              </w:pPr>
            </w:p>
            <w:p>
              <w:pPr>
                <w:widowControl w:val="0"/>
                <w:suppressAutoHyphens/>
                <w:ind w:right="45" w:firstLine="720"/>
                <w:jc w:val="both"/>
                <w:rPr>
                  <w:rFonts w:eastAsia="Lucida Sans Unicode"/>
                  <w:color w:val="000000"/>
                  <w:shd w:val="clear" w:color="auto" w:fill="FFFFFF"/>
                </w:rPr>
              </w:pPr>
            </w:p>
            <w:p>
              <w:pPr>
                <w:widowControl w:val="0"/>
                <w:suppressAutoHyphens/>
                <w:ind w:right="45"/>
                <w:jc w:val="both"/>
                <w:rPr>
                  <w:rFonts w:eastAsia="Lucida Sans Unicode"/>
                  <w:color w:val="000000"/>
                  <w:shd w:val="clear" w:color="auto" w:fill="FFFFFF"/>
                </w:rPr>
              </w:pPr>
            </w:p>
            <w:p>
              <w:pPr>
                <w:widowControl w:val="0"/>
                <w:suppressAutoHyphens/>
                <w:ind w:right="45"/>
                <w:jc w:val="both"/>
                <w:rPr>
                  <w:rFonts w:eastAsia="Lucida Sans Unicode"/>
                  <w:color w:val="000000"/>
                  <w:shd w:val="clear" w:color="auto" w:fill="FFFFFF"/>
                </w:rPr>
              </w:pPr>
            </w:p>
            <w:p>
              <w:pPr>
                <w:widowControl w:val="0"/>
                <w:suppressAutoHyphens/>
                <w:ind w:right="45" w:firstLine="720"/>
                <w:jc w:val="both"/>
                <w:rPr>
                  <w:rFonts w:eastAsia="Lucida Sans Unicode"/>
                  <w:color w:val="000000"/>
                  <w:shd w:val="clear" w:color="auto" w:fill="FFFFFF"/>
                </w:rPr>
              </w:pPr>
            </w:p>
            <w:p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444a73b0c1114f8ab9dd0e3b61e227ec"/>
            <w:lock w:val="sdtLocked"/>
            <w:richText/>
          </w:sdtPr>
          <w:sdtContent>
            <w:p>
              <w:pPr>
                <w:suppressAutoHyphens/>
                <w:jc w:val="both"/>
                <w:rPr>
                  <w:szCs w:val="24"/>
                  <w:shd w:val="clear" w:color="auto" w:fill="FFFFFF"/>
                  <w:lang w:eastAsia="ar-SA"/>
                </w:rPr>
              </w:pPr>
              <w:r>
                <w:rPr>
                  <w:szCs w:val="24"/>
                  <w:shd w:val="clear" w:color="auto" w:fill="FFFFFF"/>
                  <w:lang w:eastAsia="ar-SA"/>
                </w:rPr>
                <w:t>Savivaldybės meras</w:t>
                <w:tab/>
                <w:tab/>
                <w:tab/>
                <w:tab/>
                <w:tab/>
                <w:t xml:space="preserve"> </w:t>
              </w:r>
            </w:p>
            <w:p>
              <w:pPr>
                <w:suppressAutoHyphens/>
                <w:jc w:val="both"/>
                <w:rPr>
                  <w:szCs w:val="24"/>
                  <w:shd w:val="clear" w:color="auto" w:fill="FFFFFF"/>
                  <w:lang w:eastAsia="ar-SA"/>
                </w:rPr>
              </w:pPr>
            </w:p>
            <w:p>
              <w:pPr>
                <w:suppressAutoHyphens/>
                <w:jc w:val="both"/>
                <w:rPr>
                  <w:szCs w:val="24"/>
                  <w:shd w:val="clear" w:color="auto" w:fill="FFFFFF"/>
                  <w:lang w:eastAsia="ar-SA"/>
                </w:rPr>
              </w:pPr>
            </w:p>
            <w:p/>
            <w:p>
              <w:pPr>
                <w:suppressAutoHyphens/>
                <w:spacing w:after="160" w:line="259" w:lineRule="auto"/>
                <w:rPr>
                  <w:rFonts w:ascii="Calibri" w:eastAsia="Calibri" w:hAnsi="Calibri"/>
                  <w:sz w:val="22"/>
                  <w:szCs w:val="22"/>
                </w:rPr>
              </w:pPr>
            </w:p>
            <w:p>
              <w:pPr>
                <w:suppressAutoHyphens/>
                <w:spacing w:after="160" w:line="259" w:lineRule="auto"/>
                <w:rPr>
                  <w:rFonts w:ascii="Calibri" w:eastAsia="Calibri" w:hAnsi="Calibri"/>
                  <w:sz w:val="22"/>
                  <w:szCs w:val="22"/>
                </w:rPr>
              </w:pPr>
            </w:p>
            <w:p>
              <w:pPr>
                <w:suppressAutoHyphens/>
                <w:spacing w:after="160" w:line="259" w:lineRule="auto"/>
                <w:rPr>
                  <w:rFonts w:ascii="Calibri" w:eastAsia="Calibri" w:hAnsi="Calibri"/>
                  <w:sz w:val="22"/>
                  <w:szCs w:val="22"/>
                </w:rPr>
              </w:pPr>
            </w:p>
            <w:p>
              <w:pPr>
                <w:suppressAutoHyphens/>
                <w:spacing w:after="160" w:line="259" w:lineRule="auto"/>
                <w:rPr>
                  <w:rFonts w:ascii="Calibri" w:eastAsia="Calibri" w:hAnsi="Calibri"/>
                  <w:sz w:val="22"/>
                  <w:szCs w:val="22"/>
                </w:rPr>
              </w:pPr>
            </w:p>
          </w:sdtContent>
        </w:sdt>
      </w:sdtContent>
    </w:sdt>
    <w:sectPr>
      <w:headerReference w:type="default" r:id="rId7"/>
      <w:pgSz w:w="12240" w:h="15840"/>
      <w:pgMar w:top="1134" w:right="567" w:bottom="1134" w:left="1701" w:header="567" w:footer="0" w:gutter="0"/>
      <w:cols w:space="1296"/>
      <w:formProt w:val="0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suppressAutoHyphens/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endnote>
  <w:endnote w:type="continuationSeparator" w:id="0">
    <w:p>
      <w:pPr>
        <w:suppressAutoHyphens/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suppressAutoHyphens/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footnote>
  <w:footnote w:type="continuationSeparator" w:id="0">
    <w:p>
      <w:pPr>
        <w:suppressAutoHyphens/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suppressAutoHyphens/>
      <w:spacing w:after="160" w:line="259" w:lineRule="auto"/>
      <w:jc w:val="right"/>
      <w:rPr>
        <w:rFonts w:eastAsia="Calibri"/>
        <w:b/>
        <w:sz w:val="20"/>
      </w:rPr>
    </w:pPr>
    <w:r>
      <w:rPr>
        <w:rFonts w:eastAsia="Calibri"/>
        <w:b/>
        <w:sz w:val="20"/>
      </w:rPr>
      <w:t>Projekto</w:t>
    </w:r>
  </w:p>
  <w:p>
    <w:pPr>
      <w:suppressAutoHyphens/>
      <w:spacing w:after="160" w:line="259" w:lineRule="auto"/>
      <w:jc w:val="right"/>
      <w:rPr>
        <w:rFonts w:eastAsia="Calibri"/>
        <w:b/>
        <w:sz w:val="20"/>
      </w:rPr>
    </w:pPr>
    <w:r>
      <w:rPr>
        <w:rFonts w:eastAsia="Calibri"/>
        <w:b/>
        <w:sz w:val="20"/>
      </w:rPr>
      <w:t>Nauja redakcija</w:t>
    </w:r>
  </w:p>
  <w:p>
    <w:pPr>
      <w:tabs>
        <w:tab w:val="center" w:pos="4819"/>
        <w:tab w:val="right" w:pos="9638"/>
      </w:tabs>
      <w:suppressAutoHyphens/>
      <w:rPr>
        <w:szCs w:val="24"/>
        <w:lang w:val="en-GB"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6D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23061449-4AE1-4F26-85A1-4EF41FA0E1D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fontTable" Target="fontTable.xml"/>
  <Relationship Id="rId9" Type="http://schemas.openxmlformats.org/officeDocument/2006/relationships/theme" Target="theme/theme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daf88e45efd547bb9ec5d7db1d8f6a84" PartId="36f2a8ef9344410f9af3c9cd8324beb1">
    <Part Type="preambule" DocPartId="c23ef4fc035d42f38f87506d1779ea94" PartId="c3730cda7f274fc5b293b6d4d2c0e9a4"/>
    <Part Type="punktas" Nr="1" Abbr="1 p." DocPartId="ce4977dfdf4942a4accf6b5e48a02541" PartId="47b5675f52364bce8fe96b69d0763665"/>
    <Part Type="punktas" Nr="2" Abbr="2 p." DocPartId="c9f0f444ac8a467f8c8ba07b43a3402f" PartId="80d909529e9a473e875dce33caac405f"/>
    <Part Type="signatura" DocPartId="ec19bdcd51154bd2a6e42da3f9f70671" PartId="444a73b0c1114f8ab9dd0e3b61e227ec"/>
  </Part>
</Parts>
</file>

<file path=customXml/itemProps1.xml><?xml version="1.0" encoding="utf-8"?>
<ds:datastoreItem xmlns:ds="http://schemas.openxmlformats.org/officeDocument/2006/customXml" ds:itemID="{0F952A86-DB55-4E8C-97E5-2A281F26812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5CDA96E-C3E9-4735-A6A8-641C89E53EB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121</Words>
  <Characters>802</Characters>
  <Application>Microsoft Office Word</Application>
  <DocSecurity>4</DocSecurity>
  <Lines>40</Lines>
  <Paragraphs>10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2025-01-27T09:53:00Z</dcterms:created>
  <dc:creator>Simona Čerkesienė</dc:creator>
  <dc:language>en-US</dc:language>
  <lastModifiedBy>adlibuser</lastModifiedBy>
  <dcterms:modified xsi:type="dcterms:W3CDTF">2025-01-27T09:53:00Z</dcterms:modified>
  <revision>2</revision>
</coreProperties>
</file>