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ce503c2452491f946c0b81675df97d"/>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2025-03-07 Nr. TR-85</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2021 M. RUGPJŪČIO 30 D. SPRENDIMO Nr. 1-224 „DĖL MARIJAMPOLĖS SAVIVALDYBĖS APDOVANOJIMŲ TVARKOS APRAŠO PATVIRTINIMO“ PAKEITIMO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e95a77c3f585434097b3d5165614fd51"/>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22 straipsnio 10 dalimi, Marijampolės savivaldybės taryba </w:t>
              </w:r>
              <w:r>
                <w:rPr>
                  <w:rFonts w:ascii="Verdana" w:hAnsi="Verdana"/>
                  <w:spacing w:val="20"/>
                  <w:szCs w:val="24"/>
                  <w:lang w:eastAsia="lt-LT"/>
                </w:rPr>
                <w:t>nusprendžia</w:t>
              </w:r>
              <w:r>
                <w:rPr>
                  <w:rFonts w:ascii="Verdana" w:hAnsi="Verdana"/>
                  <w:szCs w:val="24"/>
                  <w:lang w:eastAsia="lt-LT"/>
                </w:rPr>
                <w:t>:</w:t>
              </w:r>
            </w:p>
          </w:sdtContent>
        </w:sdt>
        <w:sdt>
          <w:sdtPr>
            <w:alias w:val="1 p."/>
            <w:tag w:val="part_ad4d8452d18043498cb7291b9f1cfa9c"/>
            <w:lock w:val="sdtLocked"/>
            <w:richText/>
          </w:sdtPr>
          <w:sdtContent>
            <w:p>
              <w:pPr>
                <w:ind w:firstLine="720"/>
                <w:jc w:val="both"/>
                <w:rPr>
                  <w:rFonts w:ascii="Verdana" w:hAnsi="Verdana"/>
                  <w:szCs w:val="24"/>
                  <w:lang w:eastAsia="lt-LT"/>
                </w:rPr>
              </w:pPr>
              <w:sdt>
                <w:sdtPr>
                  <w:alias w:val="Numeris"/>
                  <w:tag w:val="nr_ad4d8452d18043498cb7291b9f1cfa9c"/>
                  <w:lock w:val="sdtLocked"/>
                  <w:richText/>
                </w:sdtPr>
                <w:sdtContent>
                  <w:r>
                    <w:rPr>
                      <w:rFonts w:ascii="Verdana" w:hAnsi="Verdana"/>
                      <w:szCs w:val="24"/>
                      <w:lang w:eastAsia="lt-LT"/>
                    </w:rPr>
                    <w:t>1</w:t>
                  </w:r>
                </w:sdtContent>
              </w:sdt>
              <w:r>
                <w:rPr>
                  <w:rFonts w:ascii="Verdana" w:hAnsi="Verdana"/>
                  <w:szCs w:val="24"/>
                  <w:lang w:eastAsia="lt-LT"/>
                </w:rPr>
                <w:t xml:space="preserve">. Pakeisti Marijampolės savivaldybės apdovanojimų tvarkos aprašą, patvirtintą Marijampolės savivaldybės tarybos 2021 m. rugpjūčio 30 d. sprendimu Nr. </w:t>
              </w:r>
              <w:r>
                <w:rPr>
                  <w:rFonts w:ascii="Verdana" w:hAnsi="Verdana"/>
                  <w:szCs w:val="24"/>
                  <w:lang w:eastAsia="lt-LT"/>
                </w:rPr>
                <w:t>1-224</w:t>
              </w:r>
              <w:r>
                <w:rPr>
                  <w:rFonts w:ascii="Verdana" w:hAnsi="Verdana"/>
                  <w:szCs w:val="24"/>
                  <w:lang w:eastAsia="lt-LT"/>
                </w:rPr>
                <w:t xml:space="preserve"> „Dėl Marijampolės savivaldybės apdovanojimų tvarkos aprašo patvirtinimo“, ir 18 punktą išdėstyti taip:</w:t>
              </w:r>
            </w:p>
            <w:sdt>
              <w:sdtPr>
                <w:alias w:val="citata"/>
                <w:tag w:val="part_2c2a6f0f6bd840aba1311dcc1ffa3d69"/>
                <w:lock w:val="sdtLocked"/>
                <w:richText/>
              </w:sdtPr>
              <w:sdtContent>
                <w:sdt>
                  <w:sdtPr>
                    <w:alias w:val="18 p."/>
                    <w:tag w:val="part_3c147fa5523944beb4188423fe514e40"/>
                    <w:lock w:val="sdtLocked"/>
                    <w:richText/>
                  </w:sdtPr>
                  <w:sdtContent>
                    <w:p>
                      <w:pPr>
                        <w:ind w:firstLine="720"/>
                        <w:jc w:val="both"/>
                        <w:rPr>
                          <w:rFonts w:ascii="Verdana" w:hAnsi="Verdana"/>
                          <w:szCs w:val="24"/>
                          <w:lang w:eastAsia="lt-LT"/>
                        </w:rPr>
                      </w:pPr>
                      <w:r>
                        <w:rPr>
                          <w:rFonts w:ascii="Verdana" w:hAnsi="Verdana"/>
                          <w:szCs w:val="24"/>
                          <w:lang w:eastAsia="lt-LT"/>
                        </w:rPr>
                        <w:t>„</w:t>
                      </w:r>
                      <w:sdt>
                        <w:sdtPr>
                          <w:alias w:val="Numeris"/>
                          <w:tag w:val="nr_3c147fa5523944beb4188423fe514e40"/>
                          <w:lock w:val="sdtLocked"/>
                          <w:richText/>
                        </w:sdtPr>
                        <w:sdtContent>
                          <w:r>
                            <w:rPr>
                              <w:rFonts w:ascii="Verdana" w:hAnsi="Verdana"/>
                              <w:szCs w:val="24"/>
                              <w:lang w:eastAsia="lt-LT"/>
                            </w:rPr>
                            <w:t>18</w:t>
                          </w:r>
                        </w:sdtContent>
                      </w:sdt>
                      <w:r>
                        <w:rPr>
                          <w:rFonts w:ascii="Verdana" w:hAnsi="Verdana"/>
                          <w:szCs w:val="24"/>
                          <w:lang w:eastAsia="lt-LT"/>
                        </w:rPr>
                        <w:t>. Komisijos sprendimai priimami posėdyje dalyvaujančių Komisijos narių balsų dauguma. Jeigu balsai pasiskirsto po lygiai (laikoma, kad balsai pasiskirstė po lygiai tada, kai balsų „už“ gauta tiek pat, kiek „prieš“, taip pat kai balsų „už“ gauta tiek pat, kiek „prieš“ ir susilaikiusiųjų kartu sudėjus), balsuojama dar kartą. Jeigu balsavus dar kartą balsai pasiskirsto po lygiai, skelbiama pertrauka, kurios metu komisijos nariai kartu su posėdžio pirmininku aptaria nesutarimus dėl sprendimo, derina pozicijas ir siekia kompromiso. Pertraukos trukmė negali būti ilgesnė nei 30 minučių. Konkrečią pertraukos trukmę nustato Komisija. Po pertraukos balsavimas tęsiamas balsuojant trečią kartą. Jei ir po šio balsavimo balsai pasiskirsto po lygiai, laikoma, kad sprendimas nepriimtas.“.</w:t>
                      </w:r>
                    </w:p>
                    <w:p>
                      <w:pPr>
                        <w:jc w:val="both"/>
                        <w:rPr>
                          <w:rFonts w:ascii="Verdana" w:hAnsi="Verdana"/>
                          <w:szCs w:val="24"/>
                          <w:lang w:eastAsia="lt-LT"/>
                        </w:rPr>
                      </w:pPr>
                    </w:p>
                    <w:p>
                      <w:pPr>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sdtContent>
                </w:sdt>
              </w:sdtContent>
            </w:sdt>
            <w:sdt>
              <w:sdtPr>
                <w:alias w:val="lentele"/>
                <w:tag w:val="part_5bd4b5e71ee74ca1800a3b81658942b8"/>
                <w:lock w:val="sdtLocked"/>
                <w:richText/>
              </w:sdtPr>
              <w:sdtContent>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pastraipa"/>
                <w:tag w:val="part_ef2ddc5132ca4d07b20098cf3806396c"/>
                <w:lock w:val="sdtLocked"/>
                <w:richText/>
              </w:sdtPr>
              <w:sdtContent>
                <w:p>
                  <w:pPr>
                    <w:rPr>
                      <w:rFonts w:ascii="Verdana" w:hAnsi="Verdana"/>
                      <w:szCs w:val="24"/>
                      <w:lang w:eastAsia="lt-LT"/>
                    </w:rPr>
                  </w:pPr>
                  <w:r>
                    <w:rPr>
                      <w:rFonts w:ascii="Verdana" w:hAnsi="Verdana"/>
                      <w:szCs w:val="24"/>
                      <w:lang w:eastAsia="lt-LT"/>
                    </w:rPr>
                    <w:t>Neringa Tumelienė</w:t>
                  </w:r>
                </w:p>
              </w:sdtContent>
            </w:sdt>
            <w:sdt>
              <w:sdtPr>
                <w:alias w:val="pastraipa"/>
                <w:tag w:val="part_7ee637ffab8543aabfac18bfb0aeaa86"/>
                <w:lock w:val="sdtLocked"/>
                <w:richText/>
              </w:sdtPr>
              <w:sdtContent>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jc w:val="both"/>
                    <w:rPr>
                      <w:rFonts w:ascii="Verdana" w:hAnsi="Verdana"/>
                      <w:bCs/>
                      <w:szCs w:val="24"/>
                      <w:lang w:eastAsia="lt-LT"/>
                    </w:rPr>
                  </w:pPr>
                </w:p>
                <w:p>
                  <w:pPr>
                    <w:jc w:val="center"/>
                    <w:rPr>
                      <w:rFonts w:ascii="Verdana" w:hAnsi="Verdana"/>
                      <w:b/>
                      <w:szCs w:val="24"/>
                      <w:lang w:eastAsia="lt-LT"/>
                    </w:rPr>
                  </w:pPr>
                </w:p>
              </w:sdtContent>
            </w:sdt>
          </w:sdtContent>
        </w:sdt>
        <w:sdt>
          <w:sdtPr>
            <w:alias w:val="skirsnis"/>
            <w:tag w:val="part_61dcbda0c0414a0d9cb75652696a2931"/>
            <w:lock w:val="sdtLocked"/>
            <w:richText/>
          </w:sdtPr>
          <w:sdtContent>
            <w:p>
              <w:pPr>
                <w:jc w:val="center"/>
                <w:rPr>
                  <w:rFonts w:ascii="Verdana" w:hAnsi="Verdana"/>
                  <w:b/>
                  <w:szCs w:val="24"/>
                  <w:lang w:eastAsia="lt-LT"/>
                </w:rPr>
              </w:pPr>
              <w:sdt>
                <w:sdtPr>
                  <w:alias w:val="Pavadinimas"/>
                  <w:tag w:val="title_61dcbda0c0414a0d9cb75652696a2931"/>
                  <w:lock w:val="sdtLocked"/>
                  <w:richText/>
                </w:sdtPr>
                <w:sdtContent>
                  <w:r>
                    <w:rPr>
                      <w:rFonts w:ascii="Verdana" w:hAnsi="Verdana"/>
                      <w:b/>
                      <w:szCs w:val="24"/>
                      <w:lang w:eastAsia="lt-LT"/>
                    </w:rPr>
                    <w:t>MARIJAMPOLĖS SAVIVALDYBĖS ADMINISTRACIJOS</w:t>
                  </w:r>
                </w:sdtContent>
              </w:sdt>
            </w:p>
          </w:sdtContent>
        </w:sdt>
        <w:sdt>
          <w:sdtPr>
            <w:alias w:val="skyrius"/>
            <w:tag w:val="part_653587f0ec1144a28d2be006972f1fcd"/>
            <w:lock w:val="sdtLocked"/>
            <w:richText/>
          </w:sdtPr>
          <w:sdtContent>
            <w:p>
              <w:pPr>
                <w:jc w:val="center"/>
                <w:rPr>
                  <w:rFonts w:ascii="Verdana" w:hAnsi="Verdana"/>
                  <w:szCs w:val="24"/>
                  <w:lang w:eastAsia="lt-LT"/>
                </w:rPr>
              </w:pPr>
              <w:r>
                <w:rPr>
                  <w:rFonts w:ascii="Verdana" w:hAnsi="Verdana"/>
                  <w:b/>
                  <w:szCs w:val="24"/>
                  <w:lang w:eastAsia="lt-LT"/>
                </w:rPr>
                <w:t>KOMUNIKACIJOS SKYRIUS</w:t>
              </w:r>
            </w:p>
            <w:p>
              <w:pPr>
                <w:tabs>
                  <w:tab w:val="left" w:pos="5557"/>
                  <w:tab w:val="left" w:pos="6840"/>
                  <w:tab w:val="left" w:pos="7020"/>
                </w:tabs>
                <w:rPr>
                  <w:rFonts w:ascii="Verdana" w:hAnsi="Verdana"/>
                  <w:szCs w:val="24"/>
                  <w:lang w:eastAsia="lt-LT"/>
                </w:rPr>
              </w:pPr>
            </w:p>
            <w:sdt>
              <w:sdtPr>
                <w:alias w:val="Pavadinimas"/>
                <w:tag w:val="title_653587f0ec1144a28d2be006972f1fcd"/>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MARIJAMPOLĖS SAVIVALDYBĖS TARYBOS 2021 M. RUGPJŪČIO 30 D. SPRENDIMO Nr. 1-224 „DĖL MARIJAMPOLĖS SAVIVALDYBĖS APDOVANOJIMŲ TVARKOS APRAŠO PATVIRTINIMO“ PAKEITIMO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jc w:val="both"/>
                      <w:rPr>
                        <w:rFonts w:ascii="Verdana" w:hAnsi="Verdana"/>
                        <w:bCs/>
                        <w:szCs w:val="24"/>
                        <w:lang w:eastAsia="lt-LT"/>
                      </w:rPr>
                    </w:pPr>
                    <w:r>
                      <w:rPr>
                        <w:rFonts w:ascii="Verdana" w:hAnsi="Verdana"/>
                        <w:bCs/>
                        <w:szCs w:val="24"/>
                        <w:lang w:eastAsia="lt-LT"/>
                      </w:rPr>
                      <w:t>Dėl Marijampolės savivaldybės tarybos 2021 m. rugpjūčio 30 d. Sprendimo Nr. 1-224 „Dėl Marijampolės savivaldybės apdovanojimų tvarkos aprašo patvirtinimo“ pakeitimo</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Pasikeitus Lietuvos Respublikos vietos savivaldos įstatymui, siekiant atitikti galiojantį teisinį reglamentavimą keičiamas Marijampolės savivaldybės šeimos komisijos nuostatų punktas.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Patvirtinus punkto pakeitimą Marijampolės savivaldybės apdovanojimų aprašas bus atnaujintas ir atitiks galiojantį teisinį reglamentavimą.</w:t>
                    </w:r>
                  </w:p>
                  <w:p>
                    <w:pPr>
                      <w:rPr>
                        <w:rFonts w:ascii="Verdana" w:hAnsi="Verdana"/>
                        <w:strike/>
                        <w:szCs w:val="24"/>
                        <w:lang w:eastAsia="lt-LT"/>
                      </w:rPr>
                    </w:pPr>
                    <w:r>
                      <w:rPr>
                        <w:rFonts w:ascii="Verdana" w:hAnsi="Verdana"/>
                        <w:szCs w:val="24"/>
                        <w:lang w:eastAsia="lt-LT"/>
                      </w:rPr>
                      <w:t xml:space="preserve">Neigiamų pasekmių nenumatoma. </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Nėra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Nėra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Neringa Tumelienė, M</w:t>
                    </w:r>
                    <w:r>
                      <w:rPr>
                        <w:rFonts w:ascii="Verdana" w:hAnsi="Verdana"/>
                        <w:bCs/>
                        <w:szCs w:val="24"/>
                        <w:lang w:eastAsia="lt-LT"/>
                      </w:rPr>
                      <w:t>arijampolės savivaldybės administracijos Komunikacijos skyriaus vedėja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Vertinimo atlikti nereikia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tabs>
                        <w:tab w:val="left" w:pos="1170"/>
                      </w:tabs>
                      <w:jc w:val="both"/>
                      <w:rPr>
                        <w:rFonts w:ascii="Verdana" w:hAnsi="Verdana"/>
                        <w:szCs w:val="24"/>
                        <w:lang w:eastAsia="lt-LT"/>
                      </w:rPr>
                    </w:pPr>
                    <w:r>
                      <w:rPr>
                        <w:rFonts w:ascii="Verdana" w:hAnsi="Verdana"/>
                        <w:szCs w:val="24"/>
                        <w:lang w:eastAsia="lt-LT"/>
                      </w:rPr>
                      <w:t>Teisės ir civilinės metrikacijos skyriumi,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Neringa Tumelienė, M</w:t>
                    </w:r>
                    <w:r>
                      <w:rPr>
                        <w:rFonts w:ascii="Verdana" w:hAnsi="Verdana"/>
                        <w:bCs/>
                        <w:szCs w:val="24"/>
                        <w:lang w:eastAsia="lt-LT"/>
                      </w:rPr>
                      <w:t>arijampolės savivaldybės administracijos Komunikacijos skyriaus vedėja</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Marijampolės savivaldybės apdovanojimų komisijos nariams</w:t>
                    </w:r>
                  </w:p>
                  <w:p>
                    <w:pPr>
                      <w:rPr>
                        <w:szCs w:val="24"/>
                        <w:lang w:eastAsia="lt-LT"/>
                      </w:rPr>
                    </w:pPr>
                  </w:p>
                </w:tc>
              </w:tr>
            </w:tbl>
            <w:p>
              <w:pPr>
                <w:rPr>
                  <w:rFonts w:ascii="Verdana" w:hAnsi="Verdana"/>
                  <w:szCs w:val="24"/>
                  <w:lang w:eastAsia="lt-LT"/>
                </w:rPr>
              </w:pPr>
            </w:p>
          </w:sdtContent>
        </w:sdt>
      </w:sdtContent>
    </w:sdt>
    <w:sectPr>
      <w:headerReference w:type="first" r:id="rId14"/>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0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2977CA42-D2DB-4FE7-BEAD-7CDFB28E25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1108699684">
      <w:bodyDiv w:val="1"/>
      <w:marLeft w:val="0"/>
      <w:marRight w:val="0"/>
      <w:marTop w:val="0"/>
      <w:marBottom w:val="0"/>
      <w:divBdr>
        <w:top w:val="none" w:sz="0" w:space="0" w:color="auto"/>
        <w:left w:val="none" w:sz="0" w:space="0" w:color="auto"/>
        <w:bottom w:val="none" w:sz="0" w:space="0" w:color="auto"/>
        <w:right w:val="none" w:sz="0" w:space="0" w:color="auto"/>
      </w:divBdr>
    </w:div>
    <w:div w:id="1332299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da4ca9244348ec8dfffef931515b6d" PartId="3ace503c2452491f946c0b81675df97d">
    <Part Type="preambule" DocPartId="5cf53d15aa5c454dabade36acad92ba6" PartId="e95a77c3f585434097b3d5165614fd51"/>
    <Part Type="punktas" Nr="1" Abbr="1 p." DocPartId="8fab57a41dd24097b5f91959049a01f2" PartId="ad4d8452d18043498cb7291b9f1cfa9c">
      <Part Type="citata" DocPartId="9d4edc152e594204babbd47b7b4702fd" PartId="2c2a6f0f6bd840aba1311dcc1ffa3d69">
        <Part Type="punktas" Nr="18" Abbr="18 p." DocPartId="591911b115b14684aacf780dd80ddfc8" PartId="3c147fa5523944beb4188423fe514e40"/>
      </Part>
      <Part Type="lentele" DocPartId="759e720528bd47d2a634f81f7b6206cb" PartId="5bd4b5e71ee74ca1800a3b81658942b8"/>
      <Part Type="pastraipa" DocPartId="9bb36409696541c993bc0d1669a9378c" PartId="ef2ddc5132ca4d07b20098cf3806396c"/>
      <Part Type="pastraipa" DocPartId="82225b6f448746d281afa2e8e0332bfc" PartId="7ee637ffab8543aabfac18bfb0aeaa86"/>
    </Part>
    <Part Type="skirsnis" Title="MARIJAMPOLĖS SAVIVALDYBĖS ADMINISTRACIJOS" DocPartId="de0a793113b04b54ab60aa9c1f478798" PartId="61dcbda0c0414a0d9cb75652696a2931"/>
    <Part Type="skyrius" Nr="999" Title="AIŠKINAMASIS RAŠTAS DĖL MARIJAMPOLĖS SAVIVALDYBĖS TARYBOS 2021 M. RUGPJŪČIO 30 D. SPRENDIMO Nr. 1-224 „DĖL MARIJAMPOLĖS SAVIVALDYBĖS APDOVANOJIMŲ TVARKOS APRAŠO PATVIRTINIMO“ PAKEITIMO" DocPartId="12bc9f0df4924b0cb228380ec8caf4f1" PartId="653587f0ec1144a28d2be006972f1fcd"/>
  </Part>
</Parts>
</file>

<file path=customXml/itemProps1.xml><?xml version="1.0" encoding="utf-8"?>
<ds:datastoreItem xmlns:ds="http://schemas.openxmlformats.org/officeDocument/2006/customXml" ds:itemID="{B7186E8A-208F-43E0-AB7D-D9BA4BE22D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404</Words>
  <Characters>3086</Characters>
  <Application>Microsoft Office Word</Application>
  <DocSecurity>4</DocSecurity>
  <Lines>128</Lines>
  <Paragraphs>42</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3448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2025-03-07T13:59:00Z</dcterms:created>
  <dc:creator>Jolita Žukelienė</dc:creator>
  <lastModifiedBy>adlibuser</lastModifiedBy>
  <lastPrinted>1899-12-31T22:00:00Z</lastPrinted>
  <dcterms:modified xsi:type="dcterms:W3CDTF">2025-03-07T13:59:00Z</dcterms:modified>
  <revision>2</revision>
  <dc:title/>
</coreProperties>
</file>