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ac6f2d0f69dc483e988ea2ac76379f84"/>
        <w:lock w:val="sdtLocked"/>
        <w:richText/>
      </w:sdtPr>
      <w:sdtContent>
        <w:p w14:paraId="71F3ED25" w14:textId="77777777">
          <w:pPr>
            <w:tabs>
              <w:tab w:val="center" w:pos="4153"/>
              <w:tab w:val="right" w:pos="9100"/>
            </w:tabs>
            <w:suppressAutoHyphens/>
            <w:rPr>
              <w:rFonts w:ascii="Tahoma" w:hAnsi="Tahoma" w:cs="Tahoma"/>
              <w:spacing w:val="10"/>
              <w:sz w:val="20"/>
              <w:lang w:eastAsia="zh-CN"/>
            </w:rPr>
          </w:pPr>
        </w:p>
        <w:p w14:paraId="382C783B" w14:textId="7A7D43B8">
          <w:pPr>
            <w:suppressAutoHyphens/>
            <w:spacing w:line="276" w:lineRule="auto"/>
            <w:ind w:firstLine="8505"/>
            <w:rPr>
              <w:b/>
              <w:bCs/>
              <w:szCs w:val="24"/>
              <w:lang w:eastAsia="zh-CN"/>
            </w:rPr>
          </w:pPr>
          <w:r>
            <w:rPr>
              <w:b/>
              <w:bCs/>
              <w:szCs w:val="24"/>
              <w:lang w:eastAsia="zh-CN"/>
            </w:rPr>
            <w:t>Projektas</w:t>
          </w:r>
        </w:p>
        <w:p w14:paraId="1642BCE5" w14:textId="77777777">
          <w:pPr>
            <w:suppressAutoHyphens/>
            <w:spacing w:line="276" w:lineRule="auto"/>
            <w:jc w:val="center"/>
            <w:rPr>
              <w:b/>
              <w:bCs/>
              <w:szCs w:val="24"/>
              <w:lang w:eastAsia="zh-CN"/>
            </w:rPr>
          </w:pPr>
        </w:p>
        <w:p w14:paraId="19554F65" w14:textId="77777777">
          <w:pPr>
            <w:suppressAutoHyphens/>
            <w:spacing w:line="276" w:lineRule="auto"/>
            <w:jc w:val="center"/>
            <w:rPr>
              <w:b/>
              <w:bCs/>
              <w:szCs w:val="24"/>
              <w:lang w:eastAsia="zh-CN"/>
            </w:rPr>
          </w:pPr>
        </w:p>
        <w:p w14:paraId="78D3A3FD" w14:textId="77777777">
          <w:pPr>
            <w:suppressAutoHyphens/>
            <w:spacing w:line="276" w:lineRule="auto"/>
            <w:jc w:val="center"/>
            <w:rPr>
              <w:b/>
              <w:bCs/>
              <w:szCs w:val="24"/>
              <w:lang w:eastAsia="zh-CN"/>
            </w:rPr>
          </w:pPr>
          <w:r>
            <w:rPr>
              <w:b/>
              <w:bCs/>
              <w:szCs w:val="24"/>
              <w:lang w:eastAsia="zh-CN"/>
            </w:rPr>
            <w:t>LIETUVOS RESPUBLIKOS APLINKOS MINISTRAS</w:t>
          </w:r>
        </w:p>
        <w:p w14:paraId="6A4719FE" w14:textId="77777777">
          <w:pPr>
            <w:suppressAutoHyphens/>
            <w:spacing w:line="276" w:lineRule="auto"/>
            <w:jc w:val="center"/>
            <w:rPr>
              <w:b/>
              <w:bCs/>
              <w:szCs w:val="24"/>
              <w:lang w:eastAsia="zh-CN"/>
            </w:rPr>
          </w:pPr>
        </w:p>
        <w:p w14:paraId="44BD137E" w14:textId="77777777">
          <w:pPr>
            <w:spacing w:line="276" w:lineRule="auto"/>
            <w:jc w:val="center"/>
            <w:textAlignment w:val="baseline"/>
            <w:rPr>
              <w:b/>
              <w:bCs/>
              <w:lang w:eastAsia="zh-CN"/>
            </w:rPr>
          </w:pPr>
          <w:r>
            <w:rPr>
              <w:b/>
              <w:bCs/>
              <w:szCs w:val="24"/>
              <w:lang w:eastAsia="en-GB"/>
            </w:rPr>
            <w:t>ĮSAKYMAS</w:t>
          </w:r>
        </w:p>
        <w:p w14:paraId="24A1AA08" w14:textId="77777777">
          <w:pPr>
            <w:spacing w:line="276" w:lineRule="auto"/>
            <w:jc w:val="center"/>
            <w:textAlignment w:val="baseline"/>
            <w:rPr>
              <w:szCs w:val="24"/>
              <w:lang w:eastAsia="en-GB"/>
            </w:rPr>
          </w:pPr>
          <w:r>
            <w:rPr>
              <w:b/>
              <w:bCs/>
              <w:caps/>
              <w:color w:val="000000"/>
              <w:szCs w:val="24"/>
              <w:shd w:val="clear" w:color="auto" w:fill="FFFFFF"/>
              <w:lang w:eastAsia="en-GB"/>
            </w:rPr>
            <w:t>DĖL LIETUVOS RESPUBLIKOS APLINKOS MINISTRO 2013 M. LIEPOS 15 D. ĮSAKYMO NR. D1-528 „DĖL TARŠOS INTEGRUOTOS PREVENCIJOS IR KONTROLĖS LEIDIMŲ IŠDAVIMO, PAKEITIMO IR GALIOJIMO PANAIKINIMO TAISYKLIŲ PATVIRTINIMO“ PAKEITIMO</w:t>
          </w:r>
          <w:r>
            <w:rPr>
              <w:szCs w:val="24"/>
              <w:lang w:eastAsia="en-GB"/>
            </w:rPr>
            <w:t> </w:t>
          </w:r>
        </w:p>
        <w:p w14:paraId="6904C5E7" w14:textId="77777777">
          <w:pPr>
            <w:spacing w:line="276" w:lineRule="auto"/>
            <w:jc w:val="center"/>
            <w:textAlignment w:val="baseline"/>
            <w:rPr>
              <w:rFonts w:ascii="Segoe UI" w:hAnsi="Segoe UI" w:cs="Segoe UI"/>
              <w:szCs w:val="24"/>
              <w:lang w:eastAsia="en-GB"/>
            </w:rPr>
          </w:pPr>
        </w:p>
        <w:p w14:paraId="77291651" w14:textId="77777777">
          <w:pPr>
            <w:spacing w:line="276" w:lineRule="auto"/>
            <w:jc w:val="center"/>
            <w:textAlignment w:val="baseline"/>
            <w:rPr>
              <w:rFonts w:ascii="Segoe UI" w:hAnsi="Segoe UI" w:cs="Segoe UI"/>
              <w:szCs w:val="24"/>
              <w:lang w:eastAsia="en-GB"/>
            </w:rPr>
          </w:pPr>
          <w:r>
            <w:rPr>
              <w:szCs w:val="24"/>
              <w:lang w:eastAsia="en-GB"/>
            </w:rPr>
            <w:t xml:space="preserve">2023 m.              d. Nr.  </w:t>
          </w:r>
        </w:p>
        <w:p w14:paraId="7E4A14BD" w14:textId="77777777">
          <w:pPr>
            <w:spacing w:line="276" w:lineRule="auto"/>
            <w:jc w:val="center"/>
            <w:textAlignment w:val="baseline"/>
            <w:rPr>
              <w:szCs w:val="24"/>
              <w:lang w:eastAsia="en-GB"/>
            </w:rPr>
          </w:pPr>
          <w:r>
            <w:rPr>
              <w:szCs w:val="24"/>
              <w:lang w:eastAsia="en-GB"/>
            </w:rPr>
            <w:t>Vilnius </w:t>
            <w:br/>
          </w:r>
        </w:p>
        <w:sdt>
          <w:sdtPr>
            <w:alias w:val="1 p."/>
            <w:tag w:val="part_4a3ee125688f40f393fb9a7b3ebf1718"/>
            <w:lock w:val="sdtLocked"/>
            <w:richText/>
          </w:sdtPr>
          <w:sdtContent>
            <w:p w14:paraId="7B0A857A" w14:textId="5937EB44">
              <w:pPr>
                <w:tabs>
                  <w:tab w:val="left" w:pos="993"/>
                </w:tabs>
                <w:suppressAutoHyphens/>
                <w:spacing w:line="276" w:lineRule="auto"/>
                <w:ind w:firstLine="567"/>
                <w:jc w:val="both"/>
                <w:textAlignment w:val="baseline"/>
                <w:rPr>
                  <w:bCs/>
                  <w:szCs w:val="24"/>
                  <w:lang w:eastAsia="lt-LT"/>
                </w:rPr>
              </w:pPr>
              <w:sdt>
                <w:sdtPr>
                  <w:alias w:val="Numeris"/>
                  <w:tag w:val="nr_4a3ee125688f40f393fb9a7b3ebf1718"/>
                  <w:lock w:val="sdtLocked"/>
                  <w:richText/>
                </w:sdtPr>
                <w:sdtContent>
                  <w:r>
                    <w:rPr>
                      <w:bCs/>
                      <w:szCs w:val="24"/>
                      <w:lang w:eastAsia="lt-LT"/>
                    </w:rPr>
                    <w:t>1</w:t>
                  </w:r>
                </w:sdtContent>
              </w:sdt>
              <w:r>
                <w:rPr>
                  <w:bCs/>
                  <w:szCs w:val="24"/>
                  <w:lang w:eastAsia="lt-LT"/>
                </w:rPr>
                <w:t xml:space="preserve">. </w:t>
              </w:r>
              <w:r>
                <w:rPr>
                  <w:bCs/>
                  <w:spacing w:val="60"/>
                  <w:szCs w:val="24"/>
                  <w:lang w:eastAsia="lt-LT"/>
                </w:rPr>
                <w:t>Pakeičiu</w:t>
              </w:r>
              <w:r>
                <w:rPr>
                  <w:bCs/>
                  <w:szCs w:val="24"/>
                  <w:lang w:eastAsia="lt-LT"/>
                </w:rPr>
                <w:t xml:space="preserve"> Taršos integruotos prevencijos ir kontrolės leidimų išdavimo, pakeitimo ir galiojimo panaikinimo taisykles, patvirtintas Lietuvos Respublikos aplinkos ministro 2013 m. liepos 15 d. įsakymu Nr. D1-528 „Dėl Taršos integruotos prevencijos ir kontrolės leidimų išdavimo, pakeitimo ir galiojimo panaikinimo taisyklių patvirtinimo“:</w:t>
              </w:r>
            </w:p>
            <w:sdt>
              <w:sdtPr>
                <w:alias w:val="1.1 pp."/>
                <w:tag w:val="part_cd786d66648e4e28ba3facb23121ea37"/>
                <w:lock w:val="sdtLocked"/>
                <w:richText/>
              </w:sdtPr>
              <w:sdtContent>
                <w:p w14:paraId="329C12B5" w14:textId="77777777">
                  <w:pPr>
                    <w:tabs>
                      <w:tab w:val="left" w:pos="993"/>
                    </w:tabs>
                    <w:suppressAutoHyphens/>
                    <w:spacing w:line="276" w:lineRule="auto"/>
                    <w:ind w:firstLine="567"/>
                    <w:jc w:val="both"/>
                    <w:textAlignment w:val="baseline"/>
                    <w:rPr>
                      <w:bCs/>
                      <w:szCs w:val="24"/>
                      <w:lang w:eastAsia="lt-LT"/>
                    </w:rPr>
                  </w:pPr>
                  <w:sdt>
                    <w:sdtPr>
                      <w:alias w:val="Numeris"/>
                      <w:tag w:val="nr_cd786d66648e4e28ba3facb23121ea37"/>
                      <w:lock w:val="sdtLocked"/>
                      <w:richText/>
                    </w:sdtPr>
                    <w:sdtContent>
                      <w:r>
                        <w:rPr>
                          <w:bCs/>
                          <w:szCs w:val="24"/>
                          <w:lang w:eastAsia="lt-LT"/>
                        </w:rPr>
                        <w:t>1.1</w:t>
                      </w:r>
                    </w:sdtContent>
                  </w:sdt>
                  <w:r>
                    <w:rPr>
                      <w:bCs/>
                      <w:szCs w:val="24"/>
                      <w:lang w:eastAsia="lt-LT"/>
                    </w:rPr>
                    <w:t>. Pakeičiu 3 punktą ir jį išdėstau taip:</w:t>
                  </w:r>
                </w:p>
                <w:sdt>
                  <w:sdtPr>
                    <w:alias w:val="citata"/>
                    <w:tag w:val="part_b94cb68246724bf19189501b7a686965"/>
                    <w:lock w:val="sdtLocked"/>
                    <w:richText/>
                  </w:sdtPr>
                  <w:sdtContent>
                    <w:sdt>
                      <w:sdtPr>
                        <w:alias w:val="3 p."/>
                        <w:tag w:val="part_80df6b3aa1c94ddba4c38466bcd5edb2"/>
                        <w:lock w:val="sdtLocked"/>
                        <w:richText/>
                      </w:sdtPr>
                      <w:sdtContent>
                        <w:p w14:paraId="288670A3" w14:textId="48FC1AE9">
                          <w:pPr>
                            <w:tabs>
                              <w:tab w:val="left" w:pos="993"/>
                            </w:tabs>
                            <w:suppressAutoHyphens/>
                            <w:spacing w:line="276" w:lineRule="auto"/>
                            <w:ind w:firstLine="567"/>
                            <w:jc w:val="both"/>
                            <w:textAlignment w:val="baseline"/>
                            <w:rPr>
                              <w:bCs/>
                              <w:szCs w:val="24"/>
                              <w:lang w:eastAsia="lt-LT"/>
                            </w:rPr>
                          </w:pPr>
                          <w:r>
                            <w:rPr>
                              <w:bCs/>
                              <w:szCs w:val="24"/>
                              <w:lang w:eastAsia="lt-LT"/>
                            </w:rPr>
                            <w:t>„</w:t>
                          </w:r>
                          <w:sdt>
                            <w:sdtPr>
                              <w:alias w:val="Numeris"/>
                              <w:tag w:val="nr_80df6b3aa1c94ddba4c38466bcd5edb2"/>
                              <w:lock w:val="sdtLocked"/>
                              <w:richText/>
                            </w:sdtPr>
                            <w:sdtContent>
                              <w:r>
                                <w:rPr>
                                  <w:bCs/>
                                  <w:szCs w:val="24"/>
                                  <w:lang w:eastAsia="lt-LT"/>
                                </w:rPr>
                                <w:t>3</w:t>
                              </w:r>
                            </w:sdtContent>
                          </w:sdt>
                          <w:r>
                            <w:rPr>
                              <w:bCs/>
                              <w:szCs w:val="24"/>
                              <w:lang w:eastAsia="lt-LT"/>
                            </w:rPr>
                            <w:t xml:space="preserve">. Taisyklės parengtos įgyvendinant 2003 m. spalio 13 d. Europos Parlamento ir Tarybos direktyvą </w:t>
                          </w:r>
                          <w:fldSimple w:instr="HYPERLINK http://eur-lex.europa.eu/legal-content/LIT/TXT/?uri=CELEX:32003L0087&amp;locale=lt \t _blank">
                            <w:r>
                              <w:rPr>
                                <w:bCs/>
                                <w:szCs w:val="24"/>
                                <w:lang w:eastAsia="lt-LT"/>
                                <w:u w:val="single"/>
                                <w:color w:val="0000FF" w:themeColor="hyperlink"/>
                              </w:rPr>
                              <w:t>2003/87/EB</w:t>
                            </w:r>
                          </w:fldSimple>
                          <w:r>
                            <w:rPr>
                              <w:bCs/>
                              <w:szCs w:val="24"/>
                              <w:lang w:eastAsia="lt-LT"/>
                            </w:rPr>
                            <w:t xml:space="preserve">, nustatančią šiltnamio efektą sukeliančių dujų emisijos leidimų sistemą Bendrijoje ir iš dalies keičiančią Tarybos direktyvą </w:t>
                          </w:r>
                          <w:fldSimple w:instr="HYPERLINK http://eur-lex.europa.eu/legal-content/LIT/TXT/?uri=CELEX:31996L0061&amp;locale=lt \t _blank">
                            <w:r>
                              <w:rPr>
                                <w:bCs/>
                                <w:szCs w:val="24"/>
                                <w:lang w:eastAsia="lt-LT"/>
                                <w:u w:val="single"/>
                                <w:color w:val="0000FF" w:themeColor="hyperlink"/>
                              </w:rPr>
                              <w:t>96/61/EB</w:t>
                            </w:r>
                          </w:fldSimple>
                          <w:r>
                            <w:rPr>
                              <w:bCs/>
                              <w:szCs w:val="24"/>
                              <w:lang w:eastAsia="lt-LT"/>
                            </w:rPr>
                            <w:t xml:space="preserve"> su paskutiniais pakeitimais, padarytais 2023 m. gegužės 10 d. Europos Parlamento ir Tarybos direktyva (ES) 2023/959, 2010 m. lapkričio 24 d. Europos Parlamento ir Tarybos direktyvą </w:t>
                          </w:r>
                          <w:fldSimple w:instr="HYPERLINK http://eur-lex.europa.eu/legal-content/LIT/TXT/?uri=CELEX:32010L0075&amp;locale=lt \t _blank">
                            <w:r>
                              <w:rPr>
                                <w:bCs/>
                                <w:szCs w:val="24"/>
                                <w:lang w:eastAsia="lt-LT"/>
                                <w:u w:val="single"/>
                                <w:color w:val="0000FF" w:themeColor="hyperlink"/>
                              </w:rPr>
                              <w:t>2010/75/ES</w:t>
                            </w:r>
                          </w:fldSimple>
                          <w:r>
                            <w:rPr>
                              <w:bCs/>
                              <w:szCs w:val="24"/>
                              <w:lang w:eastAsia="lt-LT"/>
                            </w:rPr>
                            <w:t xml:space="preserve"> dėl pramoninių išmetamų teršalų (taršos integruotos prevencijos ir kontrolės) (toliau – TIPK direktyva) ir </w:t>
                          </w:r>
                          <w:r>
                            <w:rPr>
                              <w:bCs/>
                              <w:color w:val="000000"/>
                              <w:szCs w:val="24"/>
                              <w:lang w:eastAsia="zh-CN"/>
                            </w:rPr>
                            <w:t xml:space="preserve">2011 m. gruodžio 13 d. Europos Parlamento ir Tarybos direktyvą </w:t>
                          </w:r>
                          <w:fldSimple w:instr="HYPERLINK http://eur-lex.europa.eu/legal-content/LIT/TXT/?uri=CELEX:32011L0092&amp;locale=lt \t _blank">
                            <w:r>
                              <w:rPr>
                                <w:bCs/>
                                <w:color w:val="0000FF" w:themeColor="hyperlink"/>
                                <w:szCs w:val="24"/>
                                <w:lang w:eastAsia="zh-CN"/>
                                <w:u w:val="single"/>
                              </w:rPr>
                              <w:t>2011/92/ES</w:t>
                            </w:r>
                          </w:fldSimple>
                          <w:r>
                            <w:rPr>
                              <w:bCs/>
                              <w:color w:val="000000"/>
                              <w:szCs w:val="24"/>
                              <w:lang w:eastAsia="zh-CN"/>
                            </w:rPr>
                            <w:t xml:space="preserve"> dėl tam tikrų valstybės ir privačių projektų poveikio aplinkai vertinimo su paskutiniais pakeitimais, padarytais 2014 m. balandžio 16 d. Europos Parlamento ir Tarybos direktyva </w:t>
                          </w:r>
                          <w:fldSimple w:instr="HYPERLINK http://eur-lex.europa.eu/legal-content/LIT/TXT/?uri=CELEX:32014L0052&amp;locale=lt \t _blank">
                            <w:r>
                              <w:rPr>
                                <w:bCs/>
                                <w:color w:val="0000FF" w:themeColor="hyperlink"/>
                                <w:szCs w:val="24"/>
                                <w:lang w:eastAsia="zh-CN"/>
                                <w:u w:val="single"/>
                              </w:rPr>
                              <w:t>2014/52/ES</w:t>
                            </w:r>
                          </w:fldSimple>
                          <w:r>
                            <w:rPr>
                              <w:bCs/>
                              <w:szCs w:val="24"/>
                              <w:lang w:eastAsia="lt-LT"/>
                            </w:rPr>
                            <w:t>.“</w:t>
                          </w:r>
                        </w:p>
                      </w:sdtContent>
                    </w:sdt>
                  </w:sdtContent>
                </w:sdt>
              </w:sdtContent>
            </w:sdt>
            <w:sdt>
              <w:sdtPr>
                <w:alias w:val="1.2 pp."/>
                <w:tag w:val="part_ce83588fb671476ea2ba6480a72cdd78"/>
                <w:lock w:val="sdtLocked"/>
                <w:richText/>
              </w:sdtPr>
              <w:sdtContent>
                <w:p w14:paraId="71E72082" w14:textId="77777777">
                  <w:pPr>
                    <w:tabs>
                      <w:tab w:val="left" w:pos="993"/>
                    </w:tabs>
                    <w:suppressAutoHyphens/>
                    <w:spacing w:line="276" w:lineRule="auto"/>
                    <w:ind w:firstLine="567"/>
                    <w:jc w:val="both"/>
                    <w:textAlignment w:val="baseline"/>
                    <w:rPr>
                      <w:bCs/>
                      <w:szCs w:val="24"/>
                      <w:lang w:eastAsia="lt-LT"/>
                    </w:rPr>
                  </w:pPr>
                  <w:sdt>
                    <w:sdtPr>
                      <w:alias w:val="Numeris"/>
                      <w:tag w:val="nr_ce83588fb671476ea2ba6480a72cdd78"/>
                      <w:lock w:val="sdtLocked"/>
                      <w:richText/>
                    </w:sdtPr>
                    <w:sdtContent>
                      <w:r>
                        <w:rPr>
                          <w:bCs/>
                          <w:szCs w:val="24"/>
                          <w:lang w:eastAsia="lt-LT"/>
                        </w:rPr>
                        <w:t>1.2</w:t>
                      </w:r>
                    </w:sdtContent>
                  </w:sdt>
                  <w:r>
                    <w:rPr>
                      <w:bCs/>
                      <w:szCs w:val="24"/>
                      <w:lang w:eastAsia="lt-LT"/>
                    </w:rPr>
                    <w:t>. Pripažįstu netekusiu galios 7.13 papunktį.</w:t>
                  </w:r>
                </w:p>
              </w:sdtContent>
            </w:sdt>
            <w:sdt>
              <w:sdtPr>
                <w:alias w:val="1.3 pp."/>
                <w:tag w:val="part_d9a8ccd9cbe54776846ce3db9c6ed659"/>
                <w:lock w:val="sdtLocked"/>
                <w:richText/>
              </w:sdtPr>
              <w:sdtContent>
                <w:p w14:paraId="2114BD6A" w14:textId="77777777">
                  <w:pPr>
                    <w:tabs>
                      <w:tab w:val="left" w:pos="993"/>
                    </w:tabs>
                    <w:suppressAutoHyphens/>
                    <w:spacing w:line="276" w:lineRule="auto"/>
                    <w:ind w:firstLine="567"/>
                    <w:jc w:val="both"/>
                    <w:textAlignment w:val="baseline"/>
                    <w:rPr>
                      <w:bCs/>
                      <w:szCs w:val="24"/>
                      <w:lang w:eastAsia="lt-LT"/>
                    </w:rPr>
                  </w:pPr>
                  <w:sdt>
                    <w:sdtPr>
                      <w:alias w:val="Numeris"/>
                      <w:tag w:val="nr_d9a8ccd9cbe54776846ce3db9c6ed659"/>
                      <w:lock w:val="sdtLocked"/>
                      <w:richText/>
                    </w:sdtPr>
                    <w:sdtContent>
                      <w:r>
                        <w:rPr>
                          <w:bCs/>
                          <w:szCs w:val="24"/>
                          <w:lang w:eastAsia="lt-LT"/>
                        </w:rPr>
                        <w:t>1.3</w:t>
                      </w:r>
                    </w:sdtContent>
                  </w:sdt>
                  <w:r>
                    <w:rPr>
                      <w:bCs/>
                      <w:szCs w:val="24"/>
                      <w:lang w:eastAsia="lt-LT"/>
                    </w:rPr>
                    <w:t>. Pripažįstu netekusiu galios 7.17 papunktį.</w:t>
                  </w:r>
                </w:p>
              </w:sdtContent>
            </w:sdt>
            <w:sdt>
              <w:sdtPr>
                <w:alias w:val="1.4 pp."/>
                <w:tag w:val="part_e4301a120f514c5ebb50ed5ef7e47640"/>
                <w:lock w:val="sdtLocked"/>
                <w:richText/>
              </w:sdtPr>
              <w:sdtContent>
                <w:p w14:paraId="08F904DA" w14:textId="48B5720C">
                  <w:pPr>
                    <w:tabs>
                      <w:tab w:val="left" w:pos="993"/>
                    </w:tabs>
                    <w:suppressAutoHyphens/>
                    <w:spacing w:line="276" w:lineRule="auto"/>
                    <w:ind w:firstLine="567"/>
                    <w:jc w:val="both"/>
                    <w:textAlignment w:val="baseline"/>
                    <w:rPr>
                      <w:szCs w:val="24"/>
                      <w:lang w:eastAsia="lt-LT"/>
                    </w:rPr>
                  </w:pPr>
                  <w:sdt>
                    <w:sdtPr>
                      <w:alias w:val="Numeris"/>
                      <w:tag w:val="nr_e4301a120f514c5ebb50ed5ef7e47640"/>
                      <w:lock w:val="sdtLocked"/>
                      <w:richText/>
                    </w:sdtPr>
                    <w:sdtContent>
                      <w:r>
                        <w:rPr>
                          <w:szCs w:val="24"/>
                          <w:lang w:eastAsia="lt-LT"/>
                        </w:rPr>
                        <w:t>1.4</w:t>
                      </w:r>
                    </w:sdtContent>
                  </w:sdt>
                  <w:r>
                    <w:rPr>
                      <w:szCs w:val="24"/>
                      <w:lang w:eastAsia="lt-LT"/>
                    </w:rPr>
                    <w:t>. Pakeičiu 8 punktą ir jį išdėstau taip:</w:t>
                  </w:r>
                </w:p>
                <w:sdt>
                  <w:sdtPr>
                    <w:alias w:val="citata"/>
                    <w:tag w:val="part_c78a83c65a784f988fbd36af491dbd00"/>
                    <w:lock w:val="sdtLocked"/>
                    <w:richText/>
                  </w:sdtPr>
                  <w:sdtContent>
                    <w:sdt>
                      <w:sdtPr>
                        <w:alias w:val="8 p."/>
                        <w:tag w:val="part_ca71e2b1d3dd49dab833b64755ff9e60"/>
                        <w:lock w:val="sdtLocked"/>
                        <w:richText/>
                      </w:sdtPr>
                      <w:sdtContent>
                        <w:p w14:paraId="5D25EC27" w14:textId="61A7B91D">
                          <w:pPr>
                            <w:tabs>
                              <w:tab w:val="left" w:pos="993"/>
                            </w:tabs>
                            <w:suppressAutoHyphens/>
                            <w:spacing w:line="276" w:lineRule="auto"/>
                            <w:ind w:firstLine="567"/>
                            <w:jc w:val="both"/>
                            <w:textAlignment w:val="baseline"/>
                            <w:rPr>
                              <w:color w:val="000000"/>
                              <w:szCs w:val="24"/>
                              <w:lang w:eastAsia="lt-LT"/>
                            </w:rPr>
                          </w:pPr>
                          <w:r>
                            <w:rPr>
                              <w:szCs w:val="24"/>
                              <w:lang w:eastAsia="lt-LT"/>
                            </w:rPr>
                            <w:t>„</w:t>
                          </w:r>
                          <w:sdt>
                            <w:sdtPr>
                              <w:alias w:val="Numeris"/>
                              <w:tag w:val="nr_ca71e2b1d3dd49dab833b64755ff9e60"/>
                              <w:lock w:val="sdtLocked"/>
                              <w:richText/>
                            </w:sdtPr>
                            <w:sdtContent>
                              <w:r>
                                <w:rPr>
                                  <w:color w:val="000000"/>
                                  <w:szCs w:val="24"/>
                                  <w:lang w:eastAsia="zh-CN"/>
                                </w:rPr>
                                <w:t>8</w:t>
                              </w:r>
                            </w:sdtContent>
                          </w:sdt>
                          <w:r>
                            <w:rPr>
                              <w:color w:val="000000"/>
                              <w:szCs w:val="24"/>
                              <w:lang w:eastAsia="zh-CN"/>
                            </w:rPr>
                            <w:t>. Sąvoka „visuomenė“ taikoma kaip apibrėžta Lietuvos Respublikos planuojamos ūkinės veiklos poveikio aplinkai vertinimo įstatyme; sąvoka „požeminis vanduo“ taikoma kaip apibrėžta Lietuvos Respublikos žemės gelmių įstatyme; sąvoka „vardinė (nominali) šiluminė galia“ taikoma kaip apibrėžta Lietuvos Respublikos energetikos įstatyme.“</w:t>
                          </w:r>
                        </w:p>
                      </w:sdtContent>
                    </w:sdt>
                  </w:sdtContent>
                </w:sdt>
              </w:sdtContent>
            </w:sdt>
            <w:sdt>
              <w:sdtPr>
                <w:alias w:val="1.5 pp."/>
                <w:tag w:val="part_04a413933b884dbf850ee9d23d0d792c"/>
                <w:lock w:val="sdtLocked"/>
                <w:richText/>
              </w:sdtPr>
              <w:sdtContent>
                <w:p w14:paraId="7E8A3465" w14:textId="23E9EC4D">
                  <w:pPr>
                    <w:tabs>
                      <w:tab w:val="left" w:pos="993"/>
                    </w:tabs>
                    <w:suppressAutoHyphens/>
                    <w:spacing w:line="276" w:lineRule="auto"/>
                    <w:ind w:firstLine="567"/>
                    <w:jc w:val="both"/>
                    <w:textAlignment w:val="baseline"/>
                    <w:rPr>
                      <w:szCs w:val="24"/>
                      <w:lang w:eastAsia="lt-LT"/>
                    </w:rPr>
                  </w:pPr>
                  <w:sdt>
                    <w:sdtPr>
                      <w:alias w:val="Numeris"/>
                      <w:tag w:val="nr_04a413933b884dbf850ee9d23d0d792c"/>
                      <w:lock w:val="sdtLocked"/>
                      <w:richText/>
                    </w:sdtPr>
                    <w:sdtContent>
                      <w:r>
                        <w:rPr>
                          <w:szCs w:val="24"/>
                          <w:lang w:eastAsia="lt-LT"/>
                        </w:rPr>
                        <w:t>1.5</w:t>
                      </w:r>
                    </w:sdtContent>
                  </w:sdt>
                  <w:r>
                    <w:rPr>
                      <w:szCs w:val="24"/>
                      <w:lang w:eastAsia="lt-LT"/>
                    </w:rPr>
                    <w:t>. Pakeičiu 9 punktą ir jį išdėstau taip:</w:t>
                  </w:r>
                </w:p>
                <w:sdt>
                  <w:sdtPr>
                    <w:alias w:val="citata"/>
                    <w:tag w:val="part_3d3f987f63584fdb98c7b43e0944acce"/>
                    <w:lock w:val="sdtLocked"/>
                    <w:richText/>
                  </w:sdtPr>
                  <w:sdtContent>
                    <w:sdt>
                      <w:sdtPr>
                        <w:alias w:val="9 p."/>
                        <w:tag w:val="part_f410384252e6463395c3d1eac40e99b2"/>
                        <w:lock w:val="sdtLocked"/>
                        <w:richText/>
                      </w:sdtPr>
                      <w:sdtContent>
                        <w:p w14:paraId="331BD3DD" w14:textId="44E3BB56">
                          <w:pPr>
                            <w:tabs>
                              <w:tab w:val="left" w:pos="993"/>
                            </w:tabs>
                            <w:suppressAutoHyphens/>
                            <w:spacing w:line="276" w:lineRule="auto"/>
                            <w:ind w:firstLine="567"/>
                            <w:jc w:val="both"/>
                            <w:textAlignment w:val="baseline"/>
                            <w:rPr>
                              <w:szCs w:val="24"/>
                              <w:lang w:eastAsia="lt-LT"/>
                            </w:rPr>
                          </w:pPr>
                          <w:r>
                            <w:rPr>
                              <w:color w:val="000000"/>
                              <w:szCs w:val="24"/>
                              <w:lang w:eastAsia="zh-CN"/>
                            </w:rPr>
                            <w:t>„</w:t>
                          </w:r>
                          <w:sdt>
                            <w:sdtPr>
                              <w:alias w:val="Numeris"/>
                              <w:tag w:val="nr_f410384252e6463395c3d1eac40e99b2"/>
                              <w:lock w:val="sdtLocked"/>
                              <w:richText/>
                            </w:sdtPr>
                            <w:sdtContent>
                              <w:r>
                                <w:rPr>
                                  <w:color w:val="000000"/>
                                  <w:szCs w:val="24"/>
                                  <w:lang w:eastAsia="zh-CN"/>
                                </w:rPr>
                                <w:t>9</w:t>
                              </w:r>
                            </w:sdtContent>
                          </w:sdt>
                          <w:r>
                            <w:rPr>
                              <w:color w:val="000000"/>
                              <w:szCs w:val="24"/>
                              <w:lang w:eastAsia="zh-CN"/>
                            </w:rPr>
                            <w:t>. Kitos Taisyklėse vartojamos sąvokos atitinka Lietuvos Respublikos civiliniame kodekse, Lietuvos Respublikos aplinkos apsaugos įstatyme, Lietuvos Respublikos klimato kaitos valdymo įstatyme, Lietuvos Respublikos atliekų tvarkymo įstatyme, Lietuvos Respublikos vandens įstatyme, Planuojamos ūkinės veiklos poveikio aplinkai vertinimo įstatyme, Lietuvos Respublikos aplinkos oro apsaugos įstatyme apibrėžtas sąvokas.“</w:t>
                          </w:r>
                        </w:p>
                      </w:sdtContent>
                    </w:sdt>
                  </w:sdtContent>
                </w:sdt>
              </w:sdtContent>
            </w:sdt>
            <w:sdt>
              <w:sdtPr>
                <w:alias w:val="1.6 pp."/>
                <w:tag w:val="part_a7cd7680f568446db7bfd5cf6e84f5a0"/>
                <w:lock w:val="sdtLocked"/>
                <w:richText/>
              </w:sdtPr>
              <w:sdtContent>
                <w:p w14:paraId="39BFA6FD" w14:textId="77777777">
                  <w:pPr>
                    <w:tabs>
                      <w:tab w:val="left" w:pos="993"/>
                    </w:tabs>
                    <w:suppressAutoHyphens/>
                    <w:spacing w:line="276" w:lineRule="auto"/>
                    <w:ind w:firstLine="567"/>
                    <w:jc w:val="both"/>
                    <w:textAlignment w:val="baseline"/>
                    <w:rPr>
                      <w:bCs/>
                      <w:szCs w:val="24"/>
                      <w:lang w:eastAsia="lt-LT"/>
                    </w:rPr>
                  </w:pPr>
                  <w:sdt>
                    <w:sdtPr>
                      <w:alias w:val="Numeris"/>
                      <w:tag w:val="nr_a7cd7680f568446db7bfd5cf6e84f5a0"/>
                      <w:lock w:val="sdtLocked"/>
                      <w:richText/>
                    </w:sdtPr>
                    <w:sdtContent>
                      <w:r>
                        <w:rPr>
                          <w:bCs/>
                          <w:szCs w:val="24"/>
                          <w:lang w:eastAsia="lt-LT"/>
                        </w:rPr>
                        <w:t>1.6</w:t>
                      </w:r>
                    </w:sdtContent>
                  </w:sdt>
                  <w:r>
                    <w:rPr>
                      <w:bCs/>
                      <w:szCs w:val="24"/>
                      <w:lang w:eastAsia="lt-LT"/>
                    </w:rPr>
                    <w:t>. Pakeičiu 21.3 papunktį ir jį išdėstau taip:</w:t>
                  </w:r>
                </w:p>
                <w:sdt>
                  <w:sdtPr>
                    <w:alias w:val="citata"/>
                    <w:tag w:val="part_3b3d776786c04e67bf6208e312a36354"/>
                    <w:lock w:val="sdtLocked"/>
                    <w:richText/>
                  </w:sdtPr>
                  <w:sdtContent>
                    <w:sdt>
                      <w:sdtPr>
                        <w:alias w:val="21.3 pp."/>
                        <w:tag w:val="part_61b21615c5554ac0a7a84091304539bc"/>
                        <w:lock w:val="sdtLocked"/>
                        <w:richText/>
                      </w:sdtPr>
                      <w:sdtContent>
                        <w:p w14:paraId="001174E0" w14:textId="58F23516">
                          <w:pPr>
                            <w:tabs>
                              <w:tab w:val="left" w:pos="993"/>
                            </w:tabs>
                            <w:suppressAutoHyphens/>
                            <w:spacing w:line="276" w:lineRule="auto"/>
                            <w:ind w:firstLine="567"/>
                            <w:jc w:val="both"/>
                            <w:textAlignment w:val="baseline"/>
                            <w:rPr>
                              <w:bCs/>
                              <w:szCs w:val="24"/>
                              <w:lang w:eastAsia="lt-LT"/>
                            </w:rPr>
                          </w:pPr>
                          <w:r>
                            <w:rPr>
                              <w:bCs/>
                              <w:szCs w:val="24"/>
                              <w:lang w:eastAsia="lt-LT"/>
                            </w:rPr>
                            <w:t>„</w:t>
                          </w:r>
                          <w:sdt>
                            <w:sdtPr>
                              <w:alias w:val="Numeris"/>
                              <w:tag w:val="nr_61b21615c5554ac0a7a84091304539bc"/>
                              <w:lock w:val="sdtLocked"/>
                              <w:richText/>
                            </w:sdtPr>
                            <w:sdtContent>
                              <w:r>
                                <w:rPr>
                                  <w:bCs/>
                                  <w:szCs w:val="24"/>
                                  <w:lang w:eastAsia="lt-LT"/>
                                </w:rPr>
                                <w:t>21.3</w:t>
                              </w:r>
                            </w:sdtContent>
                          </w:sdt>
                          <w:r>
                            <w:rPr>
                              <w:bCs/>
                              <w:szCs w:val="24"/>
                              <w:lang w:eastAsia="lt-LT"/>
                            </w:rPr>
                            <w:t>. įrenginys ir jame vykdoma Taisyklių 1 priede išvardintų rūšių veikla ir toje pačioje vietoje vykdoma veikla, tiesiogiai techniškai susijusi su Taisyklių 1 priede išvardinta veikla; gamybos (projektinis) pajėgumas arba vardinė (nominali) šiluminė galia; vardinę (nominalią) šiluminę galią patvirtinančiu dokumentu laikomas įrenginio (katilo) gamintojo išduotas dokumentas arba pagal Energetikos įstatymą Lietuvos Respublikos energetikos ministerijos nustatyta tvarka kompetentingos institucijos išduotas dokumentas.“</w:t>
                          </w:r>
                        </w:p>
                      </w:sdtContent>
                    </w:sdt>
                  </w:sdtContent>
                </w:sdt>
              </w:sdtContent>
            </w:sdt>
            <w:sdt>
              <w:sdtPr>
                <w:alias w:val="1.7 pp."/>
                <w:tag w:val="part_05c363d5cc9d4080999fced1f2fe5e32"/>
                <w:lock w:val="sdtLocked"/>
                <w:richText/>
              </w:sdtPr>
              <w:sdtContent>
                <w:p w14:paraId="489BF09C" w14:textId="7B531F5C">
                  <w:pPr>
                    <w:tabs>
                      <w:tab w:val="left" w:pos="993"/>
                    </w:tabs>
                    <w:suppressAutoHyphens/>
                    <w:spacing w:line="276" w:lineRule="auto"/>
                    <w:ind w:firstLine="567"/>
                    <w:jc w:val="both"/>
                    <w:textAlignment w:val="baseline"/>
                    <w:rPr>
                      <w:szCs w:val="24"/>
                      <w:lang w:eastAsia="lt-LT"/>
                    </w:rPr>
                  </w:pPr>
                  <w:sdt>
                    <w:sdtPr>
                      <w:alias w:val="Numeris"/>
                      <w:tag w:val="nr_05c363d5cc9d4080999fced1f2fe5e32"/>
                      <w:lock w:val="sdtLocked"/>
                      <w:richText/>
                    </w:sdtPr>
                    <w:sdtContent>
                      <w:r>
                        <w:rPr>
                          <w:szCs w:val="24"/>
                          <w:lang w:eastAsia="lt-LT"/>
                        </w:rPr>
                        <w:t>1.7</w:t>
                      </w:r>
                    </w:sdtContent>
                  </w:sdt>
                  <w:r>
                    <w:rPr>
                      <w:szCs w:val="24"/>
                      <w:lang w:eastAsia="lt-LT"/>
                    </w:rPr>
                    <w:t>. Pakeičiu 21.12 papunktį ir jį išdėstau taip:</w:t>
                  </w:r>
                </w:p>
                <w:sdt>
                  <w:sdtPr>
                    <w:alias w:val="citata"/>
                    <w:tag w:val="part_32b587e2c4f048bea0ca3db0ecc6eb95"/>
                    <w:lock w:val="sdtLocked"/>
                    <w:richText/>
                  </w:sdtPr>
                  <w:sdtContent>
                    <w:sdt>
                      <w:sdtPr>
                        <w:alias w:val="21.12 pp."/>
                        <w:tag w:val="part_67b385cad0674909922e02e1c7ab5e64"/>
                        <w:lock w:val="sdtLocked"/>
                        <w:richText/>
                      </w:sdtPr>
                      <w:sdtContent>
                        <w:p w14:paraId="216A70E2" w14:textId="6F96AC9A">
                          <w:pPr>
                            <w:tabs>
                              <w:tab w:val="left" w:pos="993"/>
                            </w:tabs>
                            <w:suppressAutoHyphens/>
                            <w:spacing w:line="276" w:lineRule="auto"/>
                            <w:ind w:firstLine="567"/>
                            <w:jc w:val="both"/>
                            <w:textAlignment w:val="baseline"/>
                            <w:rPr>
                              <w:color w:val="000000"/>
                              <w:szCs w:val="24"/>
                              <w:lang w:eastAsia="zh-CN"/>
                            </w:rPr>
                          </w:pPr>
                          <w:r>
                            <w:rPr>
                              <w:bCs/>
                              <w:szCs w:val="24"/>
                              <w:lang w:eastAsia="lt-LT"/>
                            </w:rPr>
                            <w:t>„</w:t>
                          </w:r>
                          <w:sdt>
                            <w:sdtPr>
                              <w:alias w:val="Numeris"/>
                              <w:tag w:val="nr_67b385cad0674909922e02e1c7ab5e64"/>
                              <w:lock w:val="sdtLocked"/>
                              <w:richText/>
                            </w:sdtPr>
                            <w:sdtContent>
                              <w:r>
                                <w:rPr>
                                  <w:color w:val="000000"/>
                                  <w:szCs w:val="24"/>
                                  <w:lang w:eastAsia="zh-CN"/>
                                </w:rPr>
                                <w:t>21.12</w:t>
                              </w:r>
                            </w:sdtContent>
                          </w:sdt>
                          <w:r>
                            <w:rPr>
                              <w:color w:val="000000"/>
                              <w:szCs w:val="24"/>
                              <w:lang w:eastAsia="zh-CN"/>
                            </w:rPr>
                            <w:t>. veiklos rūšys ir įrenginio šaltiniai, iš kurių į atmosferą išmetamos šiltnamio efektą sukeliančios dujos (toliau – ŠESD), nurodytos Lietuvos Respublikos klimato kaitos valdymo įstatymo 1 priede;“.</w:t>
                          </w:r>
                        </w:p>
                      </w:sdtContent>
                    </w:sdt>
                  </w:sdtContent>
                </w:sdt>
              </w:sdtContent>
            </w:sdt>
            <w:sdt>
              <w:sdtPr>
                <w:alias w:val="1.8 pp."/>
                <w:tag w:val="part_f40509bf881c45728ed384b2ed597cd2"/>
                <w:lock w:val="sdtLocked"/>
                <w:richText/>
              </w:sdtPr>
              <w:sdtContent>
                <w:p w14:paraId="6578E48A" w14:textId="5958C800">
                  <w:pPr>
                    <w:tabs>
                      <w:tab w:val="left" w:pos="993"/>
                    </w:tabs>
                    <w:suppressAutoHyphens/>
                    <w:spacing w:line="276" w:lineRule="auto"/>
                    <w:ind w:firstLine="567"/>
                    <w:jc w:val="both"/>
                    <w:textAlignment w:val="baseline"/>
                    <w:rPr>
                      <w:bCs/>
                      <w:szCs w:val="24"/>
                      <w:lang w:eastAsia="lt-LT"/>
                    </w:rPr>
                  </w:pPr>
                  <w:sdt>
                    <w:sdtPr>
                      <w:alias w:val="Numeris"/>
                      <w:tag w:val="nr_f40509bf881c45728ed384b2ed597cd2"/>
                      <w:lock w:val="sdtLocked"/>
                      <w:richText/>
                    </w:sdtPr>
                    <w:sdtContent>
                      <w:r>
                        <w:rPr>
                          <w:bCs/>
                          <w:szCs w:val="24"/>
                          <w:lang w:eastAsia="lt-LT"/>
                        </w:rPr>
                        <w:t>1.8</w:t>
                      </w:r>
                    </w:sdtContent>
                  </w:sdt>
                  <w:r>
                    <w:rPr>
                      <w:bCs/>
                      <w:szCs w:val="24"/>
                      <w:lang w:eastAsia="lt-LT"/>
                    </w:rPr>
                    <w:t>. Pakeičiu 22.13 papunktį ir jį išdėstau taip:</w:t>
                  </w:r>
                </w:p>
                <w:sdt>
                  <w:sdtPr>
                    <w:alias w:val="citata"/>
                    <w:tag w:val="part_735ad6c26bc5497180336bf57f636fad"/>
                    <w:lock w:val="sdtLocked"/>
                    <w:richText/>
                  </w:sdtPr>
                  <w:sdtContent>
                    <w:sdt>
                      <w:sdtPr>
                        <w:alias w:val="22.13 pp."/>
                        <w:tag w:val="part_a16e731ad527488e995c8b75c9cc6667"/>
                        <w:lock w:val="sdtLocked"/>
                        <w:richText/>
                      </w:sdtPr>
                      <w:sdtContent>
                        <w:p w14:paraId="79446A24" w14:textId="71252718">
                          <w:pPr>
                            <w:spacing w:line="276" w:lineRule="auto"/>
                            <w:ind w:firstLine="567"/>
                            <w:jc w:val="both"/>
                            <w:rPr>
                              <w:szCs w:val="24"/>
                              <w:lang w:eastAsia="lt-LT"/>
                            </w:rPr>
                          </w:pPr>
                          <w:r>
                            <w:rPr>
                              <w:color w:val="000000"/>
                              <w:szCs w:val="24"/>
                              <w:lang w:eastAsia="zh-CN"/>
                            </w:rPr>
                            <w:t>„</w:t>
                          </w:r>
                          <w:sdt>
                            <w:sdtPr>
                              <w:alias w:val="Numeris"/>
                              <w:tag w:val="nr_a16e731ad527488e995c8b75c9cc6667"/>
                              <w:lock w:val="sdtLocked"/>
                              <w:richText/>
                            </w:sdtPr>
                            <w:sdtContent>
                              <w:r>
                                <w:rPr>
                                  <w:color w:val="000000"/>
                                  <w:szCs w:val="24"/>
                                  <w:lang w:eastAsia="zh-CN"/>
                                </w:rPr>
                                <w:t>22.13</w:t>
                              </w:r>
                            </w:sdtContent>
                          </w:sdt>
                          <w:r>
                            <w:rPr>
                              <w:color w:val="000000"/>
                              <w:szCs w:val="24"/>
                              <w:lang w:eastAsia="zh-CN"/>
                            </w:rPr>
                            <w:t xml:space="preserve">. teršalų sklaidos aplinkos ore skaičiavimo rezultatai (aprašomoji medžiaga ir žemėlapiai) su pažymėtomis teritorijomis, kuriose užtikrinamas teršalo ribinės aplinkos oro užterštumo vertės laikymasis; teršalų sklaidos aplinkos ore skaičiavimo modelio pasirinkimo pagal Aplinkos apsaugos agentūros direktoriaus tvirtinamas ūkinės veiklos poveikiui aplinkos orui vertinti teršalų sklaidos skaičiavimo modelių pasirinkimo rekomendacijas, pagrindimas; pagal Aplinkos apsaugos agentūros direktoriaus tvirtinamas foninio aplinkos oro užterštumo duomenų naudojimo ūkinės veiklos poveikiui aplinkos orui įvertinti rekomendacijas naudoti foninio aplinkos oro užterštumo duomenys; pagal Teršalų sklaidos skaičiavimo modelių, foninio aplinkos oro užterštumo duomenų ir meteorologinių duomenų naudojimo tvarką, nustatytą Lietuvos Respublikos aplinkos ministro 2007 m. lapkričio 30 d. įsakymu Nr. D1-653 „Dėl teršalų sklaidos skaičiavimo modelių, foninio aplinkos oro užterštumo duomenų ir meteorologinių duomenų naudojimo ūkinės veiklos poveikiui aplinkos orui įvertinti“, naudoti vietovės meteorologiniai duomenys; teritorijos, kurioje atlikti teršalų sklaidos aplinkos ore skaičiavimai, ploto arba atskirų taškų koordinatės. Jei šiame papunktyje nurodyti duomenys yra poveikio aplinkai vertinimo dokumentuose, pakanka nurodyti dokumentų pavadinimus, kuriuose yra ši informacija. </w:t>
                          </w:r>
                          <w:r>
                            <w:rPr>
                              <w:szCs w:val="24"/>
                              <w:lang w:eastAsia="zh-CN"/>
                            </w:rPr>
                            <w:t xml:space="preserve">Teikiant paraišką pakeisti leidimą, teršalų sklaidos </w:t>
                          </w:r>
                          <w:r>
                            <w:rPr>
                              <w:color w:val="000000"/>
                              <w:szCs w:val="24"/>
                              <w:lang w:eastAsia="zh-CN"/>
                            </w:rPr>
                            <w:t xml:space="preserve">aplinkos ore </w:t>
                          </w:r>
                          <w:r>
                            <w:rPr>
                              <w:szCs w:val="24"/>
                              <w:lang w:eastAsia="zh-CN"/>
                            </w:rPr>
                            <w:t>skaičiavimo rezultatų pateikti neprivaloma, jeigu nekeičiami leidime nurodyti į aplinkos orą išmetami teršalai ir jiems nustatytos išmetimo į aplinkos orą ribinės vertės (leidžiama tarša) arba sumažinamas leidime nurodytų į aplinkos orą išmetamų teršalų skaičius, ir (ar) nurodytiems į aplinkos orą išmetamiems teršalams leidime nustatomos griežtesnės į aplinkos orą išmetamų teršalų ribinės vertės (leidžiama tarša), ir nesikeičia taršos šaltinių fiziniai duomenys (aukštis, diametras, dujų srauto greitis, temperatūra, tūrio debitas), ir (ar) veiklos mastas ar pobūdis, kurie daro poveikį išmetamų teršalų sklaidai</w:t>
                          </w:r>
                          <w:r>
                            <w:rPr>
                              <w:color w:val="000000"/>
                              <w:szCs w:val="24"/>
                              <w:lang w:eastAsia="zh-CN"/>
                            </w:rPr>
                            <w:t>;“.</w:t>
                          </w:r>
                        </w:p>
                      </w:sdtContent>
                    </w:sdt>
                  </w:sdtContent>
                </w:sdt>
              </w:sdtContent>
            </w:sdt>
            <w:sdt>
              <w:sdtPr>
                <w:alias w:val="1.9 pp."/>
                <w:tag w:val="part_d76075f5bd114e998e58b8a9b1508f8e"/>
                <w:lock w:val="sdtLocked"/>
                <w:richText/>
              </w:sdtPr>
              <w:sdtContent>
                <w:p w14:paraId="719BCA79" w14:textId="2EF4A617">
                  <w:pPr>
                    <w:tabs>
                      <w:tab w:val="left" w:pos="993"/>
                    </w:tabs>
                    <w:suppressAutoHyphens/>
                    <w:spacing w:line="276" w:lineRule="auto"/>
                    <w:ind w:firstLine="567"/>
                    <w:jc w:val="both"/>
                    <w:textAlignment w:val="baseline"/>
                    <w:rPr>
                      <w:szCs w:val="24"/>
                      <w:lang w:eastAsia="lt-LT"/>
                    </w:rPr>
                  </w:pPr>
                  <w:sdt>
                    <w:sdtPr>
                      <w:alias w:val="Numeris"/>
                      <w:tag w:val="nr_d76075f5bd114e998e58b8a9b1508f8e"/>
                      <w:lock w:val="sdtLocked"/>
                      <w:richText/>
                    </w:sdtPr>
                    <w:sdtContent>
                      <w:r>
                        <w:rPr>
                          <w:szCs w:val="24"/>
                          <w:lang w:eastAsia="lt-LT"/>
                        </w:rPr>
                        <w:t>1.9</w:t>
                      </w:r>
                    </w:sdtContent>
                  </w:sdt>
                  <w:r>
                    <w:rPr>
                      <w:szCs w:val="24"/>
                      <w:lang w:eastAsia="lt-LT"/>
                    </w:rPr>
                    <w:t>. Pakeičiu 4 priedo 1 priedėlio ketvirtąją pastraipą ir ją išdėstau taip:</w:t>
                  </w:r>
                </w:p>
                <w:sdt>
                  <w:sdtPr>
                    <w:alias w:val="citata"/>
                    <w:tag w:val="part_36dbb45e70fe42d0bdf8368d1ad9a21c"/>
                    <w:lock w:val="sdtLocked"/>
                    <w:richText/>
                  </w:sdtPr>
                  <w:sdtContent>
                    <w:sdt>
                      <w:sdtPr>
                        <w:alias w:val="pastraipa"/>
                        <w:tag w:val="part_051837c13be945388aeccbe26b9fed70"/>
                        <w:lock w:val="sdtLocked"/>
                        <w:richText/>
                      </w:sdtPr>
                      <w:sdtContent>
                        <w:p w14:paraId="00975177" w14:textId="77777777">
                          <w:pPr>
                            <w:tabs>
                              <w:tab w:val="left" w:pos="993"/>
                            </w:tabs>
                            <w:suppressAutoHyphens/>
                            <w:spacing w:line="276" w:lineRule="auto"/>
                            <w:ind w:firstLine="567"/>
                            <w:jc w:val="both"/>
                            <w:textAlignment w:val="baseline"/>
                            <w:rPr>
                              <w:szCs w:val="24"/>
                              <w:lang w:eastAsia="ar-SA"/>
                            </w:rPr>
                          </w:pPr>
                          <w:r>
                            <w:rPr>
                              <w:szCs w:val="24"/>
                              <w:lang w:eastAsia="lt-LT"/>
                            </w:rPr>
                            <w:t>„Įsipareigoju</w:t>
                          </w:r>
                          <w:r>
                            <w:rPr>
                              <w:szCs w:val="24"/>
                              <w:lang w:eastAsia="ar-SA"/>
                            </w:rPr>
                            <w:t xml:space="preserve"> nustatytais terminais:</w:t>
                          </w:r>
                        </w:p>
                      </w:sdtContent>
                    </w:sdt>
                    <w:sdt>
                      <w:sdtPr>
                        <w:alias w:val="1 pp."/>
                        <w:tag w:val="part_c23e85e4762541c998b99ecbe4311205"/>
                        <w:lock w:val="sdtLocked"/>
                        <w:richText/>
                      </w:sdtPr>
                      <w:sdtContent>
                        <w:p w14:paraId="481CF2C9" w14:textId="77777777">
                          <w:pPr>
                            <w:tabs>
                              <w:tab w:val="left" w:pos="993"/>
                            </w:tabs>
                            <w:suppressAutoHyphens/>
                            <w:spacing w:line="276" w:lineRule="auto"/>
                            <w:ind w:firstLine="567"/>
                            <w:jc w:val="both"/>
                            <w:textAlignment w:val="baseline"/>
                            <w:rPr>
                              <w:szCs w:val="24"/>
                              <w:lang w:eastAsia="lt-LT"/>
                            </w:rPr>
                          </w:pPr>
                          <w:sdt>
                            <w:sdtPr>
                              <w:alias w:val="Numeris"/>
                              <w:tag w:val="nr_c23e85e4762541c998b99ecbe4311205"/>
                              <w:lock w:val="sdtLocked"/>
                              <w:richText/>
                            </w:sdtPr>
                            <w:sdtContent>
                              <w:r>
                                <w:rPr>
                                  <w:szCs w:val="24"/>
                                  <w:lang w:eastAsia="ar-SA"/>
                                </w:rPr>
                                <w:t>1</w:t>
                              </w:r>
                            </w:sdtContent>
                          </w:sdt>
                          <w:r>
                            <w:rPr>
                              <w:szCs w:val="24"/>
                              <w:lang w:eastAsia="ar-SA"/>
                            </w:rPr>
                            <w:t xml:space="preserve">) </w:t>
                          </w:r>
                          <w:r>
                            <w:rPr>
                              <w:szCs w:val="24"/>
                              <w:lang w:eastAsia="lt-LT"/>
                            </w:rPr>
                            <w:t>deklaruoti per praėjusius kalendorinius metus į aplinkos orą išmestą ir su nuotekomis išleistą teršalų kiekį;</w:t>
                          </w:r>
                        </w:p>
                      </w:sdtContent>
                    </w:sdt>
                    <w:sdt>
                      <w:sdtPr>
                        <w:alias w:val="2 pp."/>
                        <w:tag w:val="part_9c630759d386405ca8a171588386ba8e"/>
                        <w:lock w:val="sdtLocked"/>
                        <w:richText/>
                      </w:sdtPr>
                      <w:sdtContent>
                        <w:p w14:paraId="199AD779" w14:textId="77777777">
                          <w:pPr>
                            <w:tabs>
                              <w:tab w:val="left" w:pos="993"/>
                            </w:tabs>
                            <w:suppressAutoHyphens/>
                            <w:spacing w:line="276" w:lineRule="auto"/>
                            <w:ind w:firstLine="567"/>
                            <w:jc w:val="both"/>
                            <w:textAlignment w:val="baseline"/>
                            <w:rPr>
                              <w:szCs w:val="24"/>
                              <w:lang w:eastAsia="lt-LT"/>
                            </w:rPr>
                          </w:pPr>
                          <w:sdt>
                            <w:sdtPr>
                              <w:alias w:val="Numeris"/>
                              <w:tag w:val="nr_9c630759d386405ca8a171588386ba8e"/>
                              <w:lock w:val="sdtLocked"/>
                              <w:richText/>
                            </w:sdtPr>
                            <w:sdtContent>
                              <w:r>
                                <w:rPr>
                                  <w:szCs w:val="24"/>
                                  <w:lang w:eastAsia="lt-LT"/>
                                </w:rPr>
                                <w:t>2</w:t>
                              </w:r>
                            </w:sdtContent>
                          </w:sdt>
                          <w:r>
                            <w:rPr>
                              <w:szCs w:val="24"/>
                              <w:lang w:eastAsia="lt-LT"/>
                            </w:rPr>
                            <w:t>) raštu pranešti apie bet kokius įrenginio pobūdžio arba veikimo pakeitimus ar išplėtimą, kurie gali daryti neigiamą poveikį aplinkai;</w:t>
                          </w:r>
                        </w:p>
                      </w:sdtContent>
                    </w:sdt>
                    <w:sdt>
                      <w:sdtPr>
                        <w:alias w:val="3 pp."/>
                        <w:tag w:val="part_2f3c7c4cd4df4de7a0b7a4c1a941cdb3"/>
                        <w:lock w:val="sdtLocked"/>
                        <w:richText/>
                      </w:sdtPr>
                      <w:sdtContent>
                        <w:p w14:paraId="644902B7" w14:textId="6281F22C">
                          <w:pPr>
                            <w:tabs>
                              <w:tab w:val="left" w:pos="993"/>
                            </w:tabs>
                            <w:suppressAutoHyphens/>
                            <w:spacing w:line="276" w:lineRule="auto"/>
                            <w:ind w:firstLine="567"/>
                            <w:jc w:val="both"/>
                            <w:textAlignment w:val="baseline"/>
                            <w:rPr>
                              <w:szCs w:val="24"/>
                              <w:lang w:eastAsia="ar-SA"/>
                            </w:rPr>
                          </w:pPr>
                          <w:sdt>
                            <w:sdtPr>
                              <w:alias w:val="Numeris"/>
                              <w:tag w:val="nr_2f3c7c4cd4df4de7a0b7a4c1a941cdb3"/>
                              <w:lock w:val="sdtLocked"/>
                              <w:richText/>
                            </w:sdtPr>
                            <w:sdtContent>
                              <w:r>
                                <w:rPr>
                                  <w:szCs w:val="24"/>
                                  <w:lang w:eastAsia="lt-LT"/>
                                </w:rPr>
                                <w:t>3</w:t>
                              </w:r>
                            </w:sdtContent>
                          </w:sdt>
                          <w:r>
                            <w:rPr>
                              <w:szCs w:val="24"/>
                              <w:lang w:eastAsia="lt-LT"/>
                            </w:rPr>
                            <w:t>) kiekvienais kalendoriniais metais iki rugsėjo 30 d. atsisakyti tokio ŠESD apyvartinių taršos leidimų kiekio, kuris yra lygiavertis per praėjusius kalendorinius metus išmestam į atmosferą anglies dioksido kiekiui, išreikštam tonomis, ir (ar) anglies dioksido ekvivalento kiekiui.“</w:t>
                          </w:r>
                        </w:p>
                      </w:sdtContent>
                    </w:sdt>
                  </w:sdtContent>
                </w:sdt>
              </w:sdtContent>
            </w:sdt>
          </w:sdtContent>
        </w:sdt>
        <w:sdt>
          <w:sdtPr>
            <w:alias w:val="2 p."/>
            <w:tag w:val="part_4a68a6917b0f4654ade5059b0d16cbc2"/>
            <w:lock w:val="sdtLocked"/>
            <w:richText/>
          </w:sdtPr>
          <w:sdtContent>
            <w:p w14:paraId="0B3511A8" w14:textId="34095C51">
              <w:pPr>
                <w:tabs>
                  <w:tab w:val="left" w:pos="993"/>
                </w:tabs>
                <w:suppressAutoHyphens/>
                <w:spacing w:line="276" w:lineRule="auto"/>
                <w:ind w:firstLine="567"/>
                <w:jc w:val="both"/>
                <w:textAlignment w:val="baseline"/>
                <w:rPr>
                  <w:bCs/>
                  <w:szCs w:val="24"/>
                  <w:lang w:eastAsia="lt-LT"/>
                </w:rPr>
              </w:pPr>
              <w:sdt>
                <w:sdtPr>
                  <w:alias w:val="Numeris"/>
                  <w:tag w:val="nr_4a68a6917b0f4654ade5059b0d16cbc2"/>
                  <w:lock w:val="sdtLocked"/>
                  <w:richText/>
                </w:sdtPr>
                <w:sdtContent>
                  <w:r>
                    <w:rPr>
                      <w:bCs/>
                      <w:szCs w:val="24"/>
                      <w:lang w:eastAsia="lt-LT"/>
                    </w:rPr>
                    <w:t>2</w:t>
                  </w:r>
                </w:sdtContent>
              </w:sdt>
              <w:r>
                <w:rPr>
                  <w:bCs/>
                  <w:szCs w:val="24"/>
                  <w:lang w:eastAsia="lt-LT"/>
                </w:rPr>
                <w:t xml:space="preserve">. </w:t>
              </w:r>
              <w:r>
                <w:rPr>
                  <w:bCs/>
                  <w:spacing w:val="60"/>
                  <w:szCs w:val="24"/>
                  <w:lang w:eastAsia="lt-LT"/>
                </w:rPr>
                <w:t>Nustata</w:t>
              </w:r>
              <w:r>
                <w:rPr>
                  <w:bCs/>
                  <w:szCs w:val="24"/>
                  <w:lang w:eastAsia="lt-LT"/>
                </w:rPr>
                <w:t>u, kad šio įsakymo 1.</w:t>
              </w:r>
              <w:r>
                <w:rPr>
                  <w:bCs/>
                  <w:szCs w:val="24"/>
                  <w:lang w:val="pl-PL" w:eastAsia="lt-LT"/>
                </w:rPr>
                <w:t>9</w:t>
              </w:r>
              <w:r>
                <w:rPr>
                  <w:bCs/>
                  <w:szCs w:val="24"/>
                  <w:lang w:eastAsia="lt-LT"/>
                </w:rPr>
                <w:t xml:space="preserve"> papunktis įsigalioja 2024 m. sausio 1 d.</w:t>
              </w:r>
            </w:p>
            <w:p w14:paraId="0DF3220A" w14:textId="77777777">
              <w:pPr>
                <w:tabs>
                  <w:tab w:val="left" w:pos="993"/>
                </w:tabs>
                <w:suppressAutoHyphens/>
                <w:spacing w:line="276" w:lineRule="auto"/>
                <w:ind w:firstLine="567"/>
                <w:jc w:val="both"/>
                <w:textAlignment w:val="baseline"/>
                <w:rPr>
                  <w:bCs/>
                  <w:szCs w:val="24"/>
                  <w:lang w:eastAsia="lt-LT"/>
                </w:rPr>
              </w:pPr>
            </w:p>
            <w:p w14:paraId="436DA277" w14:textId="77777777">
              <w:pPr>
                <w:tabs>
                  <w:tab w:val="left" w:pos="993"/>
                </w:tabs>
                <w:suppressAutoHyphens/>
                <w:spacing w:line="276" w:lineRule="auto"/>
                <w:ind w:firstLine="567"/>
                <w:jc w:val="both"/>
                <w:textAlignment w:val="baseline"/>
                <w:rPr>
                  <w:bCs/>
                  <w:color w:val="7030A0"/>
                  <w:szCs w:val="24"/>
                  <w:lang w:eastAsia="lt-LT"/>
                </w:rPr>
              </w:pPr>
            </w:p>
            <w:p w14:paraId="5FFE77FC" w14:textId="77777777">
              <w:pPr>
                <w:tabs>
                  <w:tab w:val="left" w:pos="993"/>
                </w:tabs>
                <w:suppressAutoHyphens/>
                <w:spacing w:line="276" w:lineRule="auto"/>
                <w:ind w:firstLine="567"/>
                <w:jc w:val="both"/>
                <w:textAlignment w:val="baseline"/>
                <w:rPr>
                  <w:bCs/>
                  <w:szCs w:val="24"/>
                  <w:lang w:eastAsia="lt-LT"/>
                </w:rPr>
              </w:pPr>
            </w:p>
          </w:sdtContent>
        </w:sdt>
        <w:sdt>
          <w:sdtPr>
            <w:alias w:val="signatura"/>
            <w:tag w:val="part_ea099025ff1b472da417940c3fa34a7e"/>
            <w:lock w:val="sdtLocked"/>
            <w:richText/>
          </w:sdtPr>
          <w:sdtContent>
            <w:p w14:paraId="1382B098" w14:textId="21EDDE5A">
              <w:pPr>
                <w:tabs>
                  <w:tab w:val="left" w:pos="993"/>
                </w:tabs>
                <w:suppressAutoHyphens/>
                <w:spacing w:line="276" w:lineRule="auto"/>
                <w:jc w:val="both"/>
                <w:textAlignment w:val="baseline"/>
                <w:rPr>
                  <w:szCs w:val="24"/>
                  <w:lang w:eastAsia="lt-LT"/>
                </w:rPr>
              </w:pPr>
              <w:r>
                <w:rPr>
                  <w:bCs/>
                  <w:szCs w:val="24"/>
                  <w:lang w:eastAsia="lt-LT"/>
                </w:rPr>
                <w:t>Aplinkos ministras</w:t>
                <w:tab/>
              </w:r>
            </w:p>
            <w:p w14:paraId="4935C9A3" w14:textId="77777777">
              <w:pPr>
                <w:keepNext/>
                <w:keepLines/>
                <w:widowControl w:val="0"/>
                <w:suppressAutoHyphens/>
                <w:spacing w:line="276" w:lineRule="auto"/>
                <w:ind w:left="6521"/>
                <w:rPr>
                  <w:bCs/>
                  <w:szCs w:val="24"/>
                  <w:lang w:eastAsia="lt-LT"/>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851" w:right="567" w:bottom="1134" w:left="1701" w:header="567" w:footer="567" w:gutter="0"/>
      <w:pgNumType w:start="2"/>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F64B5E" w14:textId="77777777">
      <w:pPr>
        <w:suppressAutoHyphens/>
        <w:rPr>
          <w:lang w:eastAsia="zh-CN"/>
        </w:rPr>
      </w:pPr>
      <w:r>
        <w:rPr>
          <w:lang w:eastAsia="zh-CN"/>
        </w:rPr>
        <w:separator/>
      </w:r>
    </w:p>
  </w:endnote>
  <w:endnote w:type="continuationSeparator" w:id="0">
    <w:p w14:paraId="1AE6D004" w14:textId="77777777">
      <w:pPr>
        <w:suppressAutoHyphens/>
        <w:rPr>
          <w:lang w:eastAsia="zh-CN"/>
        </w:rPr>
      </w:pPr>
      <w:r>
        <w:rPr>
          <w:lang w:eastAsia="zh-CN"/>
        </w:rPr>
        <w:continuationSeparator/>
      </w:r>
    </w:p>
  </w:endnote>
  <w:endnote w:type="continuationNotice" w:id="1">
    <w:p w14:paraId="221BA559"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00000287" w:usb1="08070000" w:usb2="00000010"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B8E0EC" w14:textId="77777777">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E35BE8" w14:textId="77777777">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BEBCEA" w14:textId="77777777">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A73630" w14:textId="77777777">
      <w:pPr>
        <w:suppressAutoHyphens/>
        <w:rPr>
          <w:lang w:eastAsia="zh-CN"/>
        </w:rPr>
      </w:pPr>
      <w:r>
        <w:rPr>
          <w:lang w:eastAsia="zh-CN"/>
        </w:rPr>
        <w:separator/>
      </w:r>
    </w:p>
  </w:footnote>
  <w:footnote w:type="continuationSeparator" w:id="0">
    <w:p w14:paraId="3252F377" w14:textId="77777777">
      <w:pPr>
        <w:suppressAutoHyphens/>
        <w:rPr>
          <w:lang w:eastAsia="zh-CN"/>
        </w:rPr>
      </w:pPr>
      <w:r>
        <w:rPr>
          <w:lang w:eastAsia="zh-CN"/>
        </w:rPr>
        <w:continuationSeparator/>
      </w:r>
    </w:p>
  </w:footnote>
  <w:footnote w:type="continuationNotice" w:id="1">
    <w:p w14:paraId="10CB014F"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1F3E01" w14:textId="77777777">
    <w:pPr>
      <w:tabs>
        <w:tab w:val="center" w:pos="4153"/>
        <w:tab w:val="right" w:pos="9100"/>
      </w:tabs>
      <w:suppressAutoHyphens/>
      <w:rPr>
        <w:rFonts w:ascii="Tahoma" w:hAnsi="Tahoma" w:cs="Tahoma"/>
        <w:spacing w:val="10"/>
        <w:sz w:val="20"/>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258A4A" w14:textId="3E981F4E">
    <w:pPr>
      <w:tabs>
        <w:tab w:val="center" w:pos="4153"/>
        <w:tab w:val="right" w:pos="9100"/>
      </w:tabs>
      <w:suppressAutoHyphens/>
      <w:jc w:val="center"/>
      <w:rPr>
        <w:spacing w:val="10"/>
        <w:szCs w:val="24"/>
        <w:lang w:eastAsia="zh-CN"/>
      </w:rPr>
    </w:pPr>
    <w:r>
      <w:rPr>
        <w:spacing w:val="10"/>
        <w:szCs w:val="24"/>
        <w:lang w:eastAsia="zh-CN"/>
      </w:rPr>
      <w:fldChar w:fldCharType="begin"/>
    </w:r>
    <w:r>
      <w:rPr>
        <w:spacing w:val="10"/>
        <w:szCs w:val="24"/>
        <w:lang w:eastAsia="zh-CN"/>
      </w:rPr>
      <w:instrText>PAGE   \* MERGEFORMAT</w:instrText>
    </w:r>
    <w:r>
      <w:rPr>
        <w:spacing w:val="10"/>
        <w:szCs w:val="24"/>
        <w:lang w:eastAsia="zh-CN"/>
      </w:rPr>
      <w:fldChar w:fldCharType="separate"/>
    </w:r>
    <w:r>
      <w:rPr>
        <w:spacing w:val="10"/>
        <w:szCs w:val="24"/>
        <w:lang w:eastAsia="zh-CN"/>
      </w:rPr>
      <w:t>3</w:t>
    </w:r>
    <w:r>
      <w:rPr>
        <w:spacing w:val="10"/>
        <w:szCs w:val="24"/>
        <w:lang w:eastAsia="zh-CN"/>
      </w:rPr>
      <w:fldChar w:fldCharType="end"/>
    </w:r>
  </w:p>
  <w:p w14:paraId="4925BE5B" w14:textId="77777777">
    <w:pPr>
      <w:tabs>
        <w:tab w:val="left" w:pos="3344"/>
        <w:tab w:val="left" w:pos="8291"/>
      </w:tabs>
      <w:suppressAutoHyphens/>
      <w:spacing w:before="120" w:after="60"/>
      <w:ind w:left="-17" w:firstLine="17"/>
      <w:jc w:val="center"/>
      <w:rPr>
        <w:b/>
        <w:bCs/>
        <w:lang w:eastAsia="zh-C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F08B05" w14:textId="77777777">
    <w:pPr>
      <w:tabs>
        <w:tab w:val="center" w:pos="4153"/>
        <w:tab w:val="right" w:pos="9100"/>
      </w:tabs>
      <w:suppressAutoHyphens/>
      <w:rPr>
        <w:rFonts w:ascii="Tahoma" w:hAnsi="Tahoma" w:cs="Tahoma"/>
        <w:spacing w:val="10"/>
        <w:sz w:val="20"/>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06D3"/>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709048BD"/>
  <w15:docId w15:val="{17E8BEEB-E4F0-4A98-B93F-E564B7C0956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348606466">
      <w:bodyDiv w:val="1"/>
      <w:marLeft w:val="0"/>
      <w:marRight w:val="0"/>
      <w:marTop w:val="0"/>
      <w:marBottom w:val="0"/>
      <w:divBdr>
        <w:top w:val="none" w:sz="0" w:space="0" w:color="auto"/>
        <w:left w:val="none" w:sz="0" w:space="0" w:color="auto"/>
        <w:bottom w:val="none" w:sz="0" w:space="0" w:color="auto"/>
        <w:right w:val="none" w:sz="0" w:space="0" w:color="auto"/>
      </w:divBdr>
      <w:divsChild>
        <w:div w:id="207231255">
          <w:marLeft w:val="0"/>
          <w:marRight w:val="0"/>
          <w:marTop w:val="0"/>
          <w:marBottom w:val="0"/>
          <w:divBdr>
            <w:top w:val="none" w:sz="0" w:space="0" w:color="auto"/>
            <w:left w:val="none" w:sz="0" w:space="0" w:color="auto"/>
            <w:bottom w:val="none" w:sz="0" w:space="0" w:color="auto"/>
            <w:right w:val="none" w:sz="0" w:space="0" w:color="auto"/>
          </w:divBdr>
        </w:div>
      </w:divsChild>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 w:id="1463692081">
      <w:bodyDiv w:val="1"/>
      <w:marLeft w:val="0"/>
      <w:marRight w:val="0"/>
      <w:marTop w:val="0"/>
      <w:marBottom w:val="0"/>
      <w:divBdr>
        <w:top w:val="none" w:sz="0" w:space="0" w:color="auto"/>
        <w:left w:val="none" w:sz="0" w:space="0" w:color="auto"/>
        <w:bottom w:val="none" w:sz="0" w:space="0" w:color="auto"/>
        <w:right w:val="none" w:sz="0" w:space="0" w:color="auto"/>
      </w:divBdr>
      <w:divsChild>
        <w:div w:id="546262541">
          <w:marLeft w:val="0"/>
          <w:marRight w:val="0"/>
          <w:marTop w:val="0"/>
          <w:marBottom w:val="0"/>
          <w:divBdr>
            <w:top w:val="none" w:sz="0" w:space="0" w:color="auto"/>
            <w:left w:val="none" w:sz="0" w:space="0" w:color="auto"/>
            <w:bottom w:val="none" w:sz="0" w:space="0" w:color="auto"/>
            <w:right w:val="none" w:sz="0" w:space="0" w:color="auto"/>
          </w:divBdr>
        </w:div>
        <w:div w:id="846871798">
          <w:marLeft w:val="0"/>
          <w:marRight w:val="0"/>
          <w:marTop w:val="0"/>
          <w:marBottom w:val="0"/>
          <w:divBdr>
            <w:top w:val="none" w:sz="0" w:space="0" w:color="auto"/>
            <w:left w:val="none" w:sz="0" w:space="0" w:color="auto"/>
            <w:bottom w:val="none" w:sz="0" w:space="0" w:color="auto"/>
            <w:right w:val="none" w:sz="0" w:space="0" w:color="auto"/>
          </w:divBdr>
        </w:div>
        <w:div w:id="1010646508">
          <w:marLeft w:val="0"/>
          <w:marRight w:val="0"/>
          <w:marTop w:val="0"/>
          <w:marBottom w:val="0"/>
          <w:divBdr>
            <w:top w:val="none" w:sz="0" w:space="0" w:color="auto"/>
            <w:left w:val="none" w:sz="0" w:space="0" w:color="auto"/>
            <w:bottom w:val="none" w:sz="0" w:space="0" w:color="auto"/>
            <w:right w:val="none" w:sz="0" w:space="0" w:color="auto"/>
          </w:divBdr>
        </w:div>
        <w:div w:id="1128234627">
          <w:marLeft w:val="0"/>
          <w:marRight w:val="0"/>
          <w:marTop w:val="0"/>
          <w:marBottom w:val="0"/>
          <w:divBdr>
            <w:top w:val="none" w:sz="0" w:space="0" w:color="auto"/>
            <w:left w:val="none" w:sz="0" w:space="0" w:color="auto"/>
            <w:bottom w:val="none" w:sz="0" w:space="0" w:color="auto"/>
            <w:right w:val="none" w:sz="0" w:space="0" w:color="auto"/>
          </w:divBdr>
        </w:div>
        <w:div w:id="12564059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683f92fd3caf647d88e81fe6a076604b">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9626a6d253d2442f70feac03650f5f6a"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6b6d634f9c82440b8f083579e0577a8f" PartId="ac6f2d0f69dc483e988ea2ac76379f84">
    <Part Type="punktas" Nr="1" Abbr="1 p." DocPartId="030735338f824748ae43f05c33c9bf40" PartId="4a3ee125688f40f393fb9a7b3ebf1718">
      <Part Type="papunktis" Nr="1.1" Abbr="1.1 pp." DocPartId="3487d5effd4c4648b05aacdf084ebb5e" PartId="cd786d66648e4e28ba3facb23121ea37">
        <Part Type="citata" DocPartId="41cfb70a18d746b29ecdc2671d5cf205" PartId="b94cb68246724bf19189501b7a686965">
          <Part Type="punktas" Nr="3" Abbr="3 p." DocPartId="0dc9bd3669d944598614b378615f7dfa" PartId="80df6b3aa1c94ddba4c38466bcd5edb2"/>
        </Part>
      </Part>
      <Part Type="papunktis" Nr="1.2" Abbr="1.2 pp." DocPartId="a4de6f8fe9c84de0b9f879f05fa16201" PartId="ce83588fb671476ea2ba6480a72cdd78"/>
      <Part Type="papunktis" Nr="1.3" Abbr="1.3 pp." DocPartId="db815c3275c74b53a7d123a26145ace7" PartId="d9a8ccd9cbe54776846ce3db9c6ed659"/>
      <Part Type="papunktis" Nr="1.4" Abbr="1.4 pp." DocPartId="2bff824a94e84cbc9b26bf461ca08137" PartId="e4301a120f514c5ebb50ed5ef7e47640">
        <Part Type="citata" DocPartId="97267c620f6b45a4b7b1caa45b2b8a41" PartId="c78a83c65a784f988fbd36af491dbd00">
          <Part Type="punktas" Nr="8" Abbr="8 p." DocPartId="6e481521ba48410bbd7015c1ea85604e" PartId="ca71e2b1d3dd49dab833b64755ff9e60"/>
        </Part>
      </Part>
      <Part Type="papunktis" Nr="1.5" Abbr="1.5 pp." DocPartId="9e5ef76d24c043a3a125d1c53ef5186b" PartId="04a413933b884dbf850ee9d23d0d792c">
        <Part Type="citata" DocPartId="13eb9ac284374e64a7d202bc9eb95b63" PartId="3d3f987f63584fdb98c7b43e0944acce">
          <Part Type="punktas" Nr="9" Abbr="9 p." DocPartId="5d0feafa426540939b31d0aa67bc911c" PartId="f410384252e6463395c3d1eac40e99b2"/>
        </Part>
      </Part>
      <Part Type="papunktis" Nr="1.6" Abbr="1.6 pp." DocPartId="799a2ca0369f4e0dbefb85478cf3b8c2" PartId="a7cd7680f568446db7bfd5cf6e84f5a0">
        <Part Type="citata" DocPartId="9be378fa74ca4d05911a921563e99cc7" PartId="3b3d776786c04e67bf6208e312a36354">
          <Part Type="papunktis" Nr="21.3" Abbr="21.3 pp." DocPartId="e79fadbdcf694117af272cccf57b1328" PartId="61b21615c5554ac0a7a84091304539bc"/>
        </Part>
      </Part>
      <Part Type="papunktis" Nr="1.7" Abbr="1.7 pp." DocPartId="ae060994408b488ba6da87ba6e848705" PartId="05c363d5cc9d4080999fced1f2fe5e32">
        <Part Type="citata" DocPartId="2f03d34ba84e4786a804a395fb677866" PartId="32b587e2c4f048bea0ca3db0ecc6eb95">
          <Part Type="papunktis" Nr="21.12" Abbr="21.12 pp." DocPartId="62b76a080f2641c6ac55cbc5079202a0" PartId="67b385cad0674909922e02e1c7ab5e64"/>
        </Part>
      </Part>
      <Part Type="papunktis" Nr="1.8" Abbr="1.8 pp." DocPartId="94a6ba5b6c9c4f4fa89c574d931d0f2a" PartId="f40509bf881c45728ed384b2ed597cd2">
        <Part Type="citata" DocPartId="20ec2ed09b184a2db9a99c43cf69f9d4" PartId="735ad6c26bc5497180336bf57f636fad">
          <Part Type="papunktis" Nr="22.13" Abbr="22.13 pp." DocPartId="48bc2acbef9c44dfb41d0a5c1048aa6c" PartId="a16e731ad527488e995c8b75c9cc6667"/>
        </Part>
      </Part>
      <Part Type="papunktis" Nr="1.9" Abbr="1.9 pp." DocPartId="419fb810cbbc45c28a04df2cf3164e5c" PartId="d76075f5bd114e998e58b8a9b1508f8e">
        <Part Type="citata" DocPartId="82b7542ed1864b5fb813496c1408e5f8" PartId="36dbb45e70fe42d0bdf8368d1ad9a21c">
          <Part Type="pastraipa" DocPartId="c7b1ec0c75744d3081d5a1d5d021921d" PartId="051837c13be945388aeccbe26b9fed70"/>
          <Part Type="strPapunktis" Nr="1" Abbr="1 pp." DocPartId="7da78f98b8864fce8eb87a79cd3ccc93" PartId="c23e85e4762541c998b99ecbe4311205"/>
          <Part Type="strPapunktis" Nr="2" Abbr="2 pp." DocPartId="e7d149c1b2224d1fbf0c9529e69acb0f" PartId="9c630759d386405ca8a171588386ba8e"/>
          <Part Type="strPapunktis" Nr="3" Abbr="3 pp." DocPartId="c6d1f30eed37445dacd61a022d7ba662" PartId="2f3c7c4cd4df4de7a0b7a4c1a941cdb3"/>
        </Part>
      </Part>
    </Part>
    <Part Type="punktas" Nr="2" Abbr="2 p." DocPartId="2227f0ca54d04dffaee9850a71303ce1" PartId="4a68a6917b0f4654ade5059b0d16cbc2"/>
    <Part Type="signatura" DocPartId="3fd1769f7a164ac0bec89a33ae05347a" PartId="ea099025ff1b472da417940c3fa34a7e"/>
  </Part>
</Parts>
</file>

<file path=customXml/itemProps1.xml><?xml version="1.0" encoding="utf-8"?>
<ds:datastoreItem xmlns:ds="http://schemas.openxmlformats.org/officeDocument/2006/customXml" ds:itemID="{13E57564-2EEC-4440-9762-678602FAEA3D}">
  <ds:schemaRefs>
    <ds:schemaRef ds:uri="http://schemas.microsoft.com/sharepoint/v3/contenttype/forms"/>
  </ds:schemaRefs>
</ds:datastoreItem>
</file>

<file path=customXml/itemProps2.xml><?xml version="1.0" encoding="utf-8"?>
<ds:datastoreItem xmlns:ds="http://schemas.openxmlformats.org/officeDocument/2006/customXml" ds:itemID="{B89A4210-33DF-4E32-94A9-A50B133317A3}">
  <ds:schemaRefs>
    <ds:schemaRef ds:uri="http://schemas.microsoft.com/sharepoint/v3"/>
    <ds:schemaRef ds:uri="http://schemas.openxmlformats.org/package/2006/metadata/core-properties"/>
    <ds:schemaRef ds:uri="http://www.w3.org/XML/1998/namespace"/>
    <ds:schemaRef ds:uri="http://purl.org/dc/terms/"/>
    <ds:schemaRef ds:uri="http://schemas.microsoft.com/office/2006/documentManagement/types"/>
    <ds:schemaRef ds:uri="f5aad5d0-9c26-490e-8743-a6c7ceabd501"/>
    <ds:schemaRef ds:uri="http://schemas.microsoft.com/office/2006/metadata/properties"/>
    <ds:schemaRef ds:uri="19cf09c5-daa1-4028-a0ff-74a0be4ec5cc"/>
    <ds:schemaRef ds:uri="http://purl.org/dc/elements/1.1/"/>
    <ds:schemaRef ds:uri="http://schemas.microsoft.com/office/infopath/2007/PartnerControls"/>
    <ds:schemaRef ds:uri="http://purl.org/dc/dcmitype/"/>
  </ds:schemaRefs>
</ds:datastoreItem>
</file>

<file path=customXml/itemProps3.xml><?xml version="1.0" encoding="utf-8"?>
<ds:datastoreItem xmlns:ds="http://schemas.openxmlformats.org/officeDocument/2006/customXml" ds:itemID="{8C9E70FA-6839-4B9F-AC1C-9AC0E1A9D3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5AC2F50-2CD0-4FEF-8E9E-327C54DA3C42}">
  <ds:schemaRefs>
    <ds:schemaRef ds:uri="http://schemas.openxmlformats.org/officeDocument/2006/bibliography"/>
  </ds:schemaRefs>
</ds:datastoreItem>
</file>

<file path=customXml/itemProps5.xml><?xml version="1.0" encoding="utf-8"?>
<ds:datastoreItem xmlns:ds="http://schemas.openxmlformats.org/officeDocument/2006/customXml" ds:itemID="{F95D4291-E7D5-4735-BED7-C3290310B04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766</Words>
  <Characters>5367</Characters>
  <Application>Microsoft Office Word</Application>
  <DocSecurity>4</DocSecurity>
  <Lines>89</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APLINKOS MINISTRO</vt:lpstr>
      <vt:lpstr>LIETUVOS RESPUBLIKOS APLINKOS MINISTRO</vt:lpstr>
    </vt:vector>
  </TitlesOfParts>
  <Company/>
  <LinksUpToDate>false</LinksUpToDate>
  <CharactersWithSpaces>6101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2023-10-25T08:08:00Z</dcterms:created>
  <dc:creator>TA</dc:creator>
  <lastModifiedBy>adlibuser</lastModifiedBy>
  <lastPrinted>2020-10-01T11:28:00Z</lastPrinted>
  <dcterms:modified xsi:type="dcterms:W3CDTF">2023-10-25T08:08:00Z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