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pBdr>
          <w:top w:val="nil"/>
          <w:left w:val="nil"/>
          <w:bottom w:val="nil"/>
          <w:right w:val="nil"/>
          <w:between w:val="nil"/>
          <w:bar w:val="nil"/>
        </w:pBdr>
        <w:tabs>
          <w:tab w:val="center" w:pos="4986"/>
          <w:tab w:val="right" w:pos="9972"/>
        </w:tabs>
        <w:rPr>
          <w:rFonts w:eastAsia="Arial Unicode MS" w:cs="Arial Unicode MS"/>
          <w:color w:val="000000"/>
          <w:szCs w:val="24"/>
          <w:bdr w:val="nil"/>
          <w:lang w:val="en-US"/>
        </w:rPr>
      </w:pPr>
    </w:p>
    <w:p>
      <w:pPr>
        <w:pBdr>
          <w:top w:val="nil"/>
          <w:left w:val="nil"/>
          <w:bottom w:val="nil"/>
          <w:right w:val="nil"/>
          <w:between w:val="nil"/>
          <w:bar w:val="nil"/>
        </w:pBdr>
        <w:jc w:val="right"/>
        <w:rPr>
          <w:rFonts w:eastAsia="Arial Unicode MS" w:cs="Arial Unicode MS"/>
          <w:color w:val="000000"/>
          <w:szCs w:val="24"/>
          <w:bdr w:val="nil"/>
        </w:rPr>
      </w:pPr>
      <w:r>
        <w:rPr>
          <w:rFonts w:eastAsia="Arial Unicode MS" w:cs="Arial Unicode MS"/>
          <w:b/>
          <w:bCs/>
          <w:smallCaps/>
          <w:color w:val="000000"/>
          <w:szCs w:val="24"/>
          <w:bdr w:val="nil"/>
        </w:rPr>
        <w:t>P</w:t>
      </w:r>
      <w:r>
        <w:rPr>
          <w:rFonts w:eastAsia="Arial Unicode MS" w:cs="Arial Unicode MS"/>
          <w:b/>
          <w:bCs/>
          <w:color w:val="000000"/>
          <w:szCs w:val="24"/>
          <w:bdr w:val="nil"/>
        </w:rPr>
        <w:t>rojektas</w:t>
      </w:r>
    </w:p>
    <w:p>
      <w:pPr>
        <w:pBdr>
          <w:top w:val="nil"/>
          <w:left w:val="nil"/>
          <w:bottom w:val="nil"/>
          <w:right w:val="nil"/>
          <w:between w:val="nil"/>
          <w:bar w:val="nil"/>
        </w:pBdr>
        <w:jc w:val="center"/>
        <w:rPr>
          <w:rFonts w:eastAsia="Arial Unicode MS" w:cs="Arial Unicode MS"/>
          <w:color w:val="000000"/>
          <w:szCs w:val="24"/>
          <w:bdr w:val="nil"/>
        </w:rPr>
      </w:pPr>
    </w:p>
    <w:p>
      <w:pPr>
        <w:pBdr>
          <w:top w:val="nil"/>
          <w:left w:val="nil"/>
          <w:bottom w:val="nil"/>
          <w:right w:val="nil"/>
          <w:between w:val="nil"/>
          <w:bar w:val="nil"/>
        </w:pBdr>
        <w:jc w:val="center"/>
        <w:rPr>
          <w:rFonts w:eastAsia="Arial Unicode MS" w:cs="Arial Unicode MS"/>
          <w:color w:val="000000"/>
          <w:szCs w:val="24"/>
          <w:bdr w:val="nil"/>
        </w:rPr>
      </w:pPr>
      <w:r>
        <w:rPr>
          <w:rFonts w:eastAsia="Arial Unicode MS" w:cs="Arial Unicode MS"/>
          <w:b/>
          <w:bCs/>
          <w:smallCaps/>
          <w:color w:val="000000"/>
          <w:szCs w:val="24"/>
          <w:bdr w:val="nil"/>
        </w:rPr>
        <w:t>LIETUVOS RESPUBLIKOS SEIMAS</w:t>
      </w:r>
    </w:p>
    <w:p>
      <w:pPr>
        <w:pBdr>
          <w:top w:val="nil"/>
          <w:left w:val="nil"/>
          <w:bottom w:val="nil"/>
          <w:right w:val="nil"/>
          <w:between w:val="nil"/>
          <w:bar w:val="nil"/>
        </w:pBdr>
        <w:jc w:val="center"/>
        <w:rPr>
          <w:rFonts w:eastAsia="Arial Unicode MS" w:cs="Arial Unicode MS"/>
          <w:color w:val="000000"/>
          <w:szCs w:val="24"/>
          <w:bdr w:val="nil"/>
        </w:rPr>
      </w:pPr>
    </w:p>
    <w:p>
      <w:pPr>
        <w:pBdr>
          <w:top w:val="nil"/>
          <w:left w:val="nil"/>
          <w:bottom w:val="nil"/>
          <w:right w:val="nil"/>
          <w:between w:val="nil"/>
          <w:bar w:val="nil"/>
        </w:pBdr>
        <w:jc w:val="center"/>
        <w:rPr>
          <w:rFonts w:eastAsia="Arial Unicode MS" w:cs="Arial Unicode MS"/>
          <w:color w:val="000000"/>
          <w:szCs w:val="24"/>
          <w:bdr w:val="nil"/>
        </w:rPr>
      </w:pPr>
    </w:p>
    <w:p>
      <w:pPr>
        <w:pBdr>
          <w:top w:val="nil"/>
          <w:left w:val="nil"/>
          <w:bottom w:val="nil"/>
          <w:right w:val="nil"/>
          <w:between w:val="nil"/>
          <w:bar w:val="nil"/>
        </w:pBdr>
        <w:jc w:val="center"/>
        <w:rPr>
          <w:rFonts w:eastAsia="Arial Unicode MS" w:cs="Arial Unicode MS"/>
          <w:szCs w:val="24"/>
          <w:bdr w:val="nil"/>
        </w:rPr>
      </w:pPr>
      <w:r>
        <w:rPr>
          <w:rFonts w:eastAsia="Arial Unicode MS" w:cs="Arial Unicode MS"/>
          <w:b/>
          <w:bCs/>
          <w:smallCaps/>
          <w:szCs w:val="24"/>
          <w:bdr w:val="nil"/>
        </w:rPr>
        <w:t>REZOLIUCIJA</w:t>
      </w:r>
    </w:p>
    <w:p>
      <w:pPr>
        <w:pBdr>
          <w:top w:val="nil"/>
          <w:left w:val="nil"/>
          <w:bottom w:val="nil"/>
          <w:right w:val="nil"/>
          <w:between w:val="nil"/>
          <w:bar w:val="nil"/>
        </w:pBdr>
        <w:jc w:val="center"/>
        <w:rPr>
          <w:rFonts w:eastAsia="Arial Unicode MS" w:cs="Arial Unicode MS"/>
          <w:b/>
          <w:szCs w:val="24"/>
          <w:bdr w:val="nil"/>
        </w:rPr>
      </w:pPr>
      <w:r>
        <w:rPr>
          <w:rFonts w:eastAsia="Arial Unicode MS" w:cs="Arial Unicode MS"/>
          <w:b/>
          <w:szCs w:val="24"/>
          <w:bdr w:val="nil"/>
        </w:rPr>
        <w:t xml:space="preserve">DĖL LIETUVOS PRISIJUNGIMO PRIE EUROPOS TARYBOS </w:t>
      </w:r>
    </w:p>
    <w:p>
      <w:pPr>
        <w:pBdr>
          <w:top w:val="nil"/>
          <w:left w:val="nil"/>
          <w:bottom w:val="nil"/>
          <w:right w:val="nil"/>
          <w:between w:val="nil"/>
          <w:bar w:val="nil"/>
        </w:pBdr>
        <w:jc w:val="center"/>
        <w:rPr>
          <w:rFonts w:eastAsia="Arial Unicode MS" w:cs="Arial Unicode MS"/>
          <w:b/>
          <w:szCs w:val="24"/>
          <w:bdr w:val="nil"/>
        </w:rPr>
      </w:pPr>
      <w:r>
        <w:rPr>
          <w:rFonts w:eastAsia="Arial Unicode MS" w:cs="Arial Unicode MS"/>
          <w:b/>
          <w:szCs w:val="24"/>
          <w:bdr w:val="nil"/>
        </w:rPr>
        <w:t xml:space="preserve">PAGRINDINĖS KONVENCIJOS DĖL KULTŪROS PAVELDO VERTĖS VISUOMENEI </w:t>
      </w:r>
    </w:p>
    <w:p>
      <w:pPr>
        <w:pBdr>
          <w:top w:val="nil"/>
          <w:left w:val="nil"/>
          <w:bottom w:val="nil"/>
          <w:right w:val="nil"/>
          <w:between w:val="nil"/>
          <w:bar w:val="nil"/>
        </w:pBdr>
        <w:jc w:val="center"/>
        <w:rPr>
          <w:rFonts w:eastAsia="Arial Unicode MS" w:cs="Arial Unicode MS"/>
          <w:b/>
          <w:szCs w:val="24"/>
          <w:bdr w:val="nil"/>
        </w:rPr>
      </w:pPr>
      <w:r>
        <w:rPr>
          <w:rFonts w:eastAsia="Arial Unicode MS" w:cs="Arial Unicode MS"/>
          <w:b/>
          <w:szCs w:val="24"/>
          <w:bdr w:val="nil"/>
        </w:rPr>
        <w:t>(FARO KONVENCIJOS)</w:t>
      </w:r>
    </w:p>
    <w:p>
      <w:pPr>
        <w:pBdr>
          <w:top w:val="nil"/>
          <w:left w:val="nil"/>
          <w:bottom w:val="nil"/>
          <w:right w:val="nil"/>
          <w:between w:val="nil"/>
          <w:bar w:val="nil"/>
        </w:pBdr>
        <w:jc w:val="center"/>
        <w:rPr>
          <w:rFonts w:eastAsia="Arial Unicode MS" w:cs="Arial Unicode MS"/>
          <w:color w:val="000000"/>
          <w:szCs w:val="24"/>
          <w:bdr w:val="nil"/>
        </w:rPr>
      </w:pPr>
    </w:p>
    <w:p>
      <w:pPr>
        <w:pBdr>
          <w:top w:val="nil"/>
          <w:left w:val="nil"/>
          <w:bottom w:val="nil"/>
          <w:right w:val="nil"/>
          <w:between w:val="nil"/>
          <w:bar w:val="nil"/>
        </w:pBdr>
        <w:jc w:val="center"/>
        <w:rPr>
          <w:rFonts w:eastAsia="Arial Unicode MS" w:cs="Arial Unicode MS"/>
          <w:color w:val="000000"/>
          <w:szCs w:val="24"/>
          <w:bdr w:val="nil"/>
        </w:rPr>
      </w:pPr>
      <w:r>
        <w:rPr>
          <w:rFonts w:eastAsia="Arial Unicode MS" w:cs="Arial Unicode MS"/>
          <w:color w:val="000000"/>
          <w:sz w:val="22"/>
          <w:szCs w:val="22"/>
          <w:bdr w:val="nil"/>
        </w:rPr>
        <w:t xml:space="preserve">2017 m.                              d. Nr. </w:t>
      </w:r>
    </w:p>
    <w:p>
      <w:pPr>
        <w:pBdr>
          <w:top w:val="nil"/>
          <w:left w:val="nil"/>
          <w:bottom w:val="nil"/>
          <w:right w:val="nil"/>
          <w:between w:val="nil"/>
          <w:bar w:val="nil"/>
        </w:pBdr>
        <w:jc w:val="center"/>
        <w:rPr>
          <w:rFonts w:eastAsia="Arial Unicode MS" w:cs="Arial Unicode MS"/>
          <w:color w:val="000000"/>
          <w:szCs w:val="24"/>
          <w:bdr w:val="nil"/>
        </w:rPr>
      </w:pPr>
      <w:r>
        <w:rPr>
          <w:rFonts w:eastAsia="Arial Unicode MS" w:cs="Arial Unicode MS"/>
          <w:color w:val="000000"/>
          <w:sz w:val="22"/>
          <w:szCs w:val="22"/>
          <w:bdr w:val="nil"/>
        </w:rPr>
        <w:t>Vilnius</w:t>
      </w:r>
    </w:p>
    <w:p>
      <w:pPr>
        <w:pBdr>
          <w:top w:val="nil"/>
          <w:left w:val="nil"/>
          <w:bottom w:val="nil"/>
          <w:right w:val="nil"/>
          <w:between w:val="nil"/>
          <w:bar w:val="nil"/>
        </w:pBdr>
        <w:spacing w:line="360" w:lineRule="auto"/>
        <w:ind w:firstLine="720"/>
        <w:jc w:val="both"/>
        <w:rPr>
          <w:rFonts w:eastAsia="Arial Unicode MS" w:cs="Arial Unicode MS"/>
          <w:color w:val="000000"/>
          <w:szCs w:val="24"/>
          <w:bdr w:val="nil"/>
        </w:rPr>
      </w:pPr>
    </w:p>
    <w:p>
      <w:pPr>
        <w:pBdr>
          <w:top w:val="nil"/>
          <w:left w:val="nil"/>
          <w:bottom w:val="nil"/>
          <w:right w:val="nil"/>
          <w:between w:val="nil"/>
          <w:bar w:val="nil"/>
        </w:pBdr>
        <w:spacing w:line="360" w:lineRule="auto"/>
        <w:ind w:firstLine="720"/>
        <w:jc w:val="both"/>
        <w:rPr>
          <w:rFonts w:eastAsia="Arial Unicode MS" w:cs="Arial Unicode MS"/>
          <w:color w:val="000000"/>
          <w:szCs w:val="24"/>
          <w:bdr w:val="nil"/>
        </w:rPr>
      </w:pPr>
      <w:r>
        <w:rPr>
          <w:rFonts w:eastAsia="Arial Unicode MS" w:cs="Arial Unicode MS"/>
          <w:color w:val="000000"/>
          <w:szCs w:val="24"/>
          <w:bdr w:val="nil"/>
        </w:rPr>
        <w:t>Lietuvos Respublikos Seimas,</w:t>
      </w:r>
    </w:p>
    <w:p>
      <w:pPr>
        <w:pBdr>
          <w:top w:val="nil"/>
          <w:left w:val="nil"/>
          <w:bottom w:val="nil"/>
          <w:right w:val="nil"/>
          <w:between w:val="nil"/>
          <w:bar w:val="nil"/>
        </w:pBdr>
        <w:spacing w:line="360" w:lineRule="auto"/>
        <w:ind w:left="57" w:firstLine="663"/>
        <w:jc w:val="both"/>
        <w:rPr>
          <w:rFonts w:eastAsia="Arial Unicode MS"/>
          <w:szCs w:val="24"/>
          <w:bdr w:val="nil"/>
        </w:rPr>
      </w:pPr>
      <w:r>
        <w:rPr>
          <w:rFonts w:eastAsia="Arial Unicode MS"/>
          <w:i/>
          <w:szCs w:val="24"/>
          <w:bdr w:val="nil"/>
        </w:rPr>
        <w:t xml:space="preserve">pabrėždamas, </w:t>
      </w:r>
      <w:r>
        <w:rPr>
          <w:rFonts w:eastAsia="Arial Unicode MS"/>
          <w:szCs w:val="24"/>
          <w:bdr w:val="nil"/>
        </w:rPr>
        <w:t>kad</w:t>
      </w:r>
      <w:r>
        <w:rPr>
          <w:rFonts w:ascii="Arial" w:hAnsi="Arial" w:cs="Arial"/>
          <w:b/>
          <w:bCs/>
          <w:sz w:val="23"/>
          <w:szCs w:val="23"/>
          <w:bdr w:val="none" w:sz="0" w:space="0" w:color="auto" w:frame="1"/>
          <w:shd w:val="clear" w:color="auto" w:fill="FFFFFF"/>
        </w:rPr>
        <w:t xml:space="preserve"> </w:t>
      </w:r>
      <w:r>
        <w:rPr>
          <w:color w:val="222222"/>
          <w:szCs w:val="24"/>
          <w:shd w:val="clear" w:color="auto" w:fill="FFFFFF"/>
        </w:rPr>
        <w:t>Europos Tarybos pagrindinė konvencija dėl kultūros paveldo vertės visuomenei</w:t>
      </w:r>
      <w:r>
        <w:rPr>
          <w:rFonts w:ascii="Arial" w:hAnsi="Arial" w:cs="Arial"/>
          <w:color w:val="222222"/>
          <w:sz w:val="19"/>
          <w:szCs w:val="19"/>
          <w:shd w:val="clear" w:color="auto" w:fill="FFFFFF"/>
        </w:rPr>
        <w:t xml:space="preserve"> </w:t>
      </w:r>
      <w:r>
        <w:rPr>
          <w:szCs w:val="24"/>
          <w:shd w:val="clear" w:color="auto" w:fill="F7F7F7"/>
        </w:rPr>
        <w:t xml:space="preserve">(vadinamoji Faro konvencija), </w:t>
      </w:r>
      <w:r>
        <w:rPr>
          <w:szCs w:val="24"/>
          <w:shd w:val="clear" w:color="auto" w:fill="FFFFFF"/>
        </w:rPr>
        <w:t>įtvirtinanti su kultūros paveldu susijusias piliečių teises kaip neatskiriamas nuo</w:t>
      </w:r>
      <w:r>
        <w:rPr>
          <w:rFonts w:eastAsia="Arial Unicode MS"/>
          <w:szCs w:val="24"/>
          <w:bdr w:val="nil"/>
        </w:rPr>
        <w:t xml:space="preserve"> Visuotinėje žmogaus teisių deklaracijoje apibrėžtos </w:t>
      </w:r>
      <w:r>
        <w:rPr>
          <w:szCs w:val="24"/>
          <w:shd w:val="clear" w:color="auto" w:fill="FFFFFF"/>
        </w:rPr>
        <w:t xml:space="preserve">teisės dalyvauti kultūriniame gyvenime, yra ypatingai aktuali Lietuvai, nes mūsų šalyje nėra tinkamai užtikrintas visuomenės dalyvavimas priimant sprendimus, lemiančius net ir pačių iškiliausių kultūros paveldo vertybių likimą, (pvz., rengiant </w:t>
      </w:r>
      <w:r>
        <w:rPr>
          <w:szCs w:val="24"/>
        </w:rPr>
        <w:t xml:space="preserve">teritorijų planavimo dokumentus </w:t>
      </w:r>
      <w:r>
        <w:rPr>
          <w:szCs w:val="24"/>
          <w:shd w:val="clear" w:color="auto" w:fill="FFFFFF"/>
        </w:rPr>
        <w:t xml:space="preserve">Vilniaus misionierių vienuolyno ir Viešpaties Dangun Žengimo bažnyčios ansambliui, taikyta supaprastinta </w:t>
      </w:r>
      <w:r>
        <w:rPr>
          <w:szCs w:val="24"/>
        </w:rPr>
        <w:t>viešinimo procedūrų tvarka</w:t>
      </w:r>
      <w:r>
        <w:rPr>
          <w:szCs w:val="24"/>
          <w:shd w:val="clear" w:color="auto" w:fill="FFFFFF"/>
        </w:rPr>
        <w:t>);</w:t>
      </w:r>
    </w:p>
    <w:p>
      <w:pPr>
        <w:pBdr>
          <w:top w:val="nil"/>
          <w:left w:val="nil"/>
          <w:bottom w:val="nil"/>
          <w:right w:val="nil"/>
          <w:between w:val="nil"/>
          <w:bar w:val="nil"/>
        </w:pBdr>
        <w:spacing w:line="360" w:lineRule="auto"/>
        <w:ind w:left="57" w:firstLine="663"/>
        <w:jc w:val="both"/>
        <w:rPr>
          <w:rFonts w:eastAsia="Arial Unicode MS"/>
          <w:iCs/>
          <w:szCs w:val="24"/>
          <w:bdr w:val="nil"/>
        </w:rPr>
      </w:pPr>
      <w:r>
        <w:rPr>
          <w:rFonts w:eastAsia="Arial Unicode MS"/>
          <w:i/>
          <w:iCs/>
          <w:szCs w:val="24"/>
          <w:bdr w:val="nil"/>
        </w:rPr>
        <w:t xml:space="preserve">primindamas, </w:t>
      </w:r>
      <w:r>
        <w:rPr>
          <w:rFonts w:eastAsia="Arial Unicode MS"/>
          <w:iCs/>
          <w:szCs w:val="24"/>
          <w:bdr w:val="nil"/>
        </w:rPr>
        <w:t xml:space="preserve">kad prieš 10 metų, </w:t>
      </w:r>
      <w:r>
        <w:rPr>
          <w:szCs w:val="24"/>
          <w:bdr w:val="none" w:sz="0" w:space="0" w:color="auto" w:frame="1"/>
        </w:rPr>
        <w:t>2007 m. gegužės 18 d. Lietuvos Respublikos Seime įvykusio forumo „Paveldas ir visuomenė“ dalyviai – nevyriausybinių organizacijų (Alternatyvios kultūros paveldo komisijos, Lietuvos dailės istorikų draugijos, Lietuvos archeologų draugijos, Lietuvos architektų sąjungos ir kitų), Seimo bei vykdomosios valdžios institucijų (Kultūros ministerijos, Kultūros paveldo departamento, Kultūros paveldo centro) atstovai – priėmė rezoliuciją dėl Lietuvos kultūros paveldo būklės ir perspektyvų, kurioje Seimui ir Prezidentui taip pat pasiūlyta „paspartinti Lietuvos Respublikos prisijungimą prie Europos Tarybos bendrosios konvencijos dėl kultūros paveldo vertės visuomenei“;</w:t>
      </w:r>
    </w:p>
    <w:p>
      <w:pPr>
        <w:pBdr>
          <w:top w:val="nil"/>
          <w:left w:val="nil"/>
          <w:bottom w:val="nil"/>
          <w:right w:val="nil"/>
          <w:between w:val="nil"/>
          <w:bar w:val="nil"/>
        </w:pBdr>
        <w:spacing w:line="360" w:lineRule="auto"/>
        <w:ind w:left="57" w:firstLine="663"/>
        <w:jc w:val="both"/>
        <w:rPr>
          <w:rFonts w:eastAsia="Arial Unicode MS"/>
          <w:szCs w:val="24"/>
          <w:bdr w:val="nil"/>
        </w:rPr>
      </w:pPr>
      <w:r>
        <w:rPr>
          <w:rFonts w:eastAsia="Arial Unicode MS"/>
          <w:i/>
          <w:iCs/>
          <w:szCs w:val="24"/>
          <w:bdr w:val="nil"/>
        </w:rPr>
        <w:t xml:space="preserve">taip pat primindamas, </w:t>
      </w:r>
      <w:r>
        <w:rPr>
          <w:rFonts w:eastAsia="Arial Unicode MS"/>
          <w:iCs/>
          <w:szCs w:val="24"/>
          <w:bdr w:val="nil"/>
        </w:rPr>
        <w:t>kad prieš 10 metų,</w:t>
      </w:r>
      <w:r>
        <w:rPr>
          <w:rFonts w:eastAsia="Arial Unicode MS"/>
          <w:i/>
          <w:iCs/>
          <w:szCs w:val="24"/>
          <w:bdr w:val="nil"/>
        </w:rPr>
        <w:t xml:space="preserve"> </w:t>
      </w:r>
      <w:r>
        <w:rPr>
          <w:rFonts w:eastAsia="Arial Unicode MS"/>
          <w:iCs/>
          <w:szCs w:val="24"/>
          <w:bdr w:val="nil"/>
        </w:rPr>
        <w:t xml:space="preserve">2007 m. spalio 11-12 d. d. Vilniuje įvykusios Europos Tarybos konferencijos „Tarptautinės kultūros paveldo konvencijos ir pagrindiniai dokumentai – dabartinė būklė ir perspektyvos“ dalyviai – daugiau nei 20-ties Europos šalių parlamentų ir vykdomosios valdžios institucijų, taip pat Europos Tarybos ir Parlamentinės Asamblėjos, UNESCO, įtakingiausios, milijonus narių iš daugiau nei 40 valstybių vienijančios kultūros paveldo išsaugojimu besirūpinančios Europos nevyriausybinės organizacijos </w:t>
      </w:r>
      <w:r>
        <w:rPr>
          <w:rFonts w:eastAsia="Arial Unicode MS"/>
          <w:i/>
          <w:iCs/>
          <w:szCs w:val="24"/>
          <w:bdr w:val="nil"/>
        </w:rPr>
        <w:t>Europa Nostra</w:t>
      </w:r>
      <w:r>
        <w:rPr>
          <w:rFonts w:eastAsia="Arial Unicode MS"/>
          <w:iCs/>
          <w:szCs w:val="24"/>
          <w:bdr w:val="nil"/>
        </w:rPr>
        <w:t xml:space="preserve">, </w:t>
      </w:r>
      <w:r>
        <w:rPr>
          <w:szCs w:val="24"/>
          <w:shd w:val="clear" w:color="auto" w:fill="FFFFFF"/>
        </w:rPr>
        <w:t>Tarptautinės paminklų ir paveldo vietovių tarybos</w:t>
      </w:r>
      <w:r>
        <w:rPr>
          <w:rFonts w:eastAsia="Arial Unicode MS"/>
          <w:iCs/>
          <w:szCs w:val="24"/>
          <w:bdr w:val="nil"/>
        </w:rPr>
        <w:t xml:space="preserve"> ICOMOS, </w:t>
      </w:r>
      <w:r>
        <w:rPr>
          <w:szCs w:val="24"/>
          <w:shd w:val="clear" w:color="auto" w:fill="FFFFFF"/>
        </w:rPr>
        <w:t>Tarptautinio kultūros vertybių konservavimo ir restauravimo studijų centro</w:t>
      </w:r>
      <w:r>
        <w:rPr>
          <w:rFonts w:ascii="Helvetica" w:hAnsi="Helvetica"/>
          <w:sz w:val="20"/>
          <w:shd w:val="clear" w:color="auto" w:fill="FFFFFF"/>
        </w:rPr>
        <w:t xml:space="preserve"> </w:t>
      </w:r>
      <w:r>
        <w:rPr>
          <w:rFonts w:eastAsia="Arial Unicode MS"/>
          <w:iCs/>
          <w:szCs w:val="24"/>
          <w:bdr w:val="nil"/>
        </w:rPr>
        <w:t xml:space="preserve">ICCROM bei </w:t>
      </w:r>
      <w:r>
        <w:rPr>
          <w:color w:val="000000"/>
          <w:shd w:val="clear" w:color="auto" w:fill="FFFFFF"/>
        </w:rPr>
        <w:t>Tarptautinio privatinės teisės unifikavimo instituto </w:t>
      </w:r>
      <w:r>
        <w:rPr>
          <w:rFonts w:eastAsia="Arial Unicode MS"/>
          <w:iCs/>
          <w:szCs w:val="24"/>
          <w:bdr w:val="nil"/>
        </w:rPr>
        <w:t xml:space="preserve">UNIDROIT vadovai ir kiti aukšto lygmens atstovai, mokslininkai – priėmė Vilniaus deklaraciją, kuria pakvietė valstybių vyriausybes kuo greičiau pasirašyti ir ratifikuoti </w:t>
      </w:r>
      <w:r>
        <w:rPr>
          <w:color w:val="222222"/>
          <w:szCs w:val="24"/>
          <w:shd w:val="clear" w:color="auto" w:fill="FFFFFF"/>
        </w:rPr>
        <w:t>Europos Tarybos pagrindinę konvenciją dėl kultūros paveldo vertės visuomenei</w:t>
      </w:r>
      <w:r>
        <w:rPr>
          <w:szCs w:val="24"/>
          <w:shd w:val="clear" w:color="auto" w:fill="F7F7F7"/>
        </w:rPr>
        <w:t>, o to belaukiant pradėti taikyti jos principus, atitinkamai keičiant savo politiką ir praktiką kultūros paveldo atžvilgiu;</w:t>
      </w:r>
    </w:p>
    <w:p>
      <w:pPr>
        <w:pBdr>
          <w:top w:val="nil"/>
          <w:left w:val="nil"/>
          <w:bottom w:val="nil"/>
          <w:right w:val="nil"/>
          <w:between w:val="nil"/>
          <w:bar w:val="nil"/>
        </w:pBdr>
        <w:spacing w:line="360" w:lineRule="auto"/>
        <w:ind w:left="57" w:firstLine="720"/>
        <w:jc w:val="both"/>
        <w:rPr>
          <w:rFonts w:eastAsia="Arial Unicode MS"/>
          <w:szCs w:val="24"/>
          <w:bdr w:val="nil"/>
        </w:rPr>
      </w:pPr>
      <w:r>
        <w:rPr>
          <w:rFonts w:eastAsia="Arial Unicode MS"/>
          <w:i/>
          <w:iCs/>
          <w:szCs w:val="24"/>
          <w:bdr w:val="nil"/>
        </w:rPr>
        <w:t xml:space="preserve">apgailestaudamas ir prisiimdamas dalį atsakomybės </w:t>
      </w:r>
      <w:r>
        <w:rPr>
          <w:rFonts w:eastAsia="Arial Unicode MS"/>
          <w:iCs/>
          <w:szCs w:val="24"/>
          <w:bdr w:val="nil"/>
        </w:rPr>
        <w:t xml:space="preserve">dėl to, kad per 10 metų, praėjusių </w:t>
      </w:r>
      <w:r>
        <w:rPr>
          <w:szCs w:val="24"/>
          <w:bdr w:val="none" w:sz="0" w:space="0" w:color="auto" w:frame="1"/>
        </w:rPr>
        <w:t xml:space="preserve">nuo Lietuvos visuomenės ir valdžios institucijų bendro kreipimosi bei nurodytos Europos Tarybos konferencijos „Vilniaus deklaracijos“ priėmimo, </w:t>
      </w:r>
      <w:r>
        <w:rPr>
          <w:rFonts w:eastAsia="Arial Unicode MS"/>
          <w:iCs/>
          <w:szCs w:val="24"/>
          <w:bdr w:val="nil"/>
        </w:rPr>
        <w:t xml:space="preserve">Lietuvos valdžios institucijos nepriėmė jokių sprendimų, kurie užtikrintų mūsų šalies prisijungimą prie </w:t>
      </w:r>
      <w:r>
        <w:rPr>
          <w:color w:val="222222"/>
          <w:szCs w:val="24"/>
          <w:shd w:val="clear" w:color="auto" w:fill="FFFFFF"/>
        </w:rPr>
        <w:t>Europos Tarybos pagrindinės konvencijos dėl kultūros paveldo vertės visuomenei</w:t>
      </w:r>
      <w:r>
        <w:rPr>
          <w:rFonts w:eastAsia="Arial Unicode MS"/>
          <w:iCs/>
          <w:szCs w:val="24"/>
          <w:bdr w:val="nil"/>
        </w:rPr>
        <w:t>;</w:t>
      </w:r>
    </w:p>
    <w:p>
      <w:pPr>
        <w:pBdr>
          <w:top w:val="nil"/>
          <w:left w:val="nil"/>
          <w:bottom w:val="nil"/>
          <w:right w:val="nil"/>
          <w:between w:val="nil"/>
          <w:bar w:val="nil"/>
        </w:pBdr>
        <w:spacing w:line="360" w:lineRule="auto"/>
        <w:ind w:left="57" w:firstLine="720"/>
        <w:jc w:val="both"/>
        <w:rPr>
          <w:rFonts w:eastAsia="Arial Unicode MS"/>
          <w:szCs w:val="24"/>
          <w:bdr w:val="nil"/>
        </w:rPr>
      </w:pPr>
      <w:r>
        <w:rPr>
          <w:rFonts w:eastAsia="Arial Unicode MS"/>
          <w:i/>
          <w:szCs w:val="24"/>
          <w:bdr w:val="nil"/>
        </w:rPr>
        <w:t xml:space="preserve">pažymėdamas, </w:t>
      </w:r>
      <w:r>
        <w:rPr>
          <w:rFonts w:eastAsia="Arial Unicode MS"/>
          <w:szCs w:val="24"/>
          <w:bdr w:val="nil"/>
        </w:rPr>
        <w:t xml:space="preserve">kad nerimą dėl atsainaus Lietuvos valstybės politikų požiūrio į </w:t>
      </w:r>
      <w:r>
        <w:rPr>
          <w:color w:val="222222"/>
          <w:szCs w:val="24"/>
          <w:shd w:val="clear" w:color="auto" w:fill="FFFFFF"/>
        </w:rPr>
        <w:t>Europos Tarybos pagrindinę konvenciją dėl kultūros paveldo vertės visuomenei</w:t>
      </w:r>
      <w:r>
        <w:rPr>
          <w:rFonts w:eastAsia="Arial Unicode MS"/>
          <w:szCs w:val="24"/>
          <w:bdr w:val="nil"/>
        </w:rPr>
        <w:t xml:space="preserve"> </w:t>
      </w:r>
      <w:r>
        <w:rPr>
          <w:szCs w:val="24"/>
          <w:bdr w:val="none" w:sz="0" w:space="0" w:color="auto" w:frame="1"/>
        </w:rPr>
        <w:t xml:space="preserve">per šį dešimtmetį ne kartą viešai pareiškė </w:t>
      </w:r>
      <w:r>
        <w:rPr>
          <w:szCs w:val="24"/>
          <w:shd w:val="clear" w:color="auto" w:fill="F7F7F7"/>
        </w:rPr>
        <w:t xml:space="preserve">Valstybinė kultūros paveldo komisija – </w:t>
      </w:r>
      <w:r>
        <w:rPr>
          <w:color w:val="000000"/>
          <w:szCs w:val="24"/>
        </w:rPr>
        <w:t xml:space="preserve">Seimo, Respublikos Prezidento ir Vyriausybės ekspertė bei patarėja kultūros paveldo valstybinės politikos ir jos įgyvendinimo klausimais – o </w:t>
      </w:r>
      <w:r>
        <w:rPr>
          <w:szCs w:val="24"/>
        </w:rPr>
        <w:t xml:space="preserve">dabartinė jos </w:t>
      </w:r>
      <w:r>
        <w:rPr>
          <w:szCs w:val="24"/>
          <w:shd w:val="clear" w:color="auto" w:fill="F7F7F7"/>
        </w:rPr>
        <w:t xml:space="preserve">pirmininkė Evelina Karalevičienė dar kartą pabrėžė viltį, kad Lietuva vis dėlto prisijungs prie šios konvencijos, </w:t>
      </w:r>
      <w:r>
        <w:rPr>
          <w:szCs w:val="24"/>
        </w:rPr>
        <w:t>tapdama pažangiai ir moderniai mąstančių demokratinių valstybių bendražyge, o drąsos pasisemdama iš kaimyninės Latvijos, kuri šią konvencija pasirašė ir ratifikavo netrukus po jos priėmimo;</w:t>
      </w:r>
    </w:p>
    <w:p>
      <w:pPr>
        <w:rPr>
          <w:sz w:val="8"/>
          <w:szCs w:val="8"/>
        </w:rPr>
      </w:pPr>
    </w:p>
    <w:p>
      <w:pPr>
        <w:spacing w:line="360" w:lineRule="auto"/>
        <w:ind w:left="57" w:firstLine="663"/>
        <w:jc w:val="both"/>
        <w:rPr>
          <w:rFonts w:eastAsia="Arial Unicode MS"/>
          <w:szCs w:val="24"/>
          <w:bdr w:val="nil"/>
        </w:rPr>
      </w:pPr>
      <w:r>
        <w:rPr>
          <w:b/>
        </w:rPr>
        <w:t xml:space="preserve">kviečia </w:t>
      </w:r>
      <w:r>
        <w:rPr>
          <w:szCs w:val="24"/>
        </w:rPr>
        <w:t xml:space="preserve">Lietuvos Respublikos Vyriausybę užtikrinti kuo greitesnį </w:t>
      </w:r>
      <w:r>
        <w:rPr>
          <w:color w:val="222222"/>
          <w:szCs w:val="24"/>
          <w:shd w:val="clear" w:color="auto" w:fill="FFFFFF"/>
        </w:rPr>
        <w:t>Europos Tarybos pagrindinės konvencijos dėl kultūros paveldo vertės visuomenei</w:t>
      </w:r>
      <w:r>
        <w:rPr>
          <w:rFonts w:eastAsia="Arial Unicode MS"/>
          <w:szCs w:val="24"/>
          <w:bdr w:val="nil"/>
        </w:rPr>
        <w:t xml:space="preserve"> </w:t>
      </w:r>
      <w:r>
        <w:rPr>
          <w:szCs w:val="24"/>
          <w:shd w:val="clear" w:color="auto" w:fill="F7F7F7"/>
        </w:rPr>
        <w:t xml:space="preserve">pasirašymą ir pateikimą Lietuvos Respublikos Seimui ratifikuoti, taip pat nedelsiant pradėti taikyti jos principus Lietuvos kultūros paveldo politikoje ir praktikoje. </w:t>
      </w:r>
    </w:p>
    <w:p>
      <w:pPr>
        <w:rPr>
          <w:sz w:val="8"/>
          <w:szCs w:val="8"/>
        </w:rPr>
      </w:pPr>
    </w:p>
    <w:p>
      <w:pPr>
        <w:rPr>
          <w:b/>
        </w:rPr>
      </w:pPr>
    </w:p>
    <w:p>
      <w:pPr>
        <w:pBdr>
          <w:top w:val="nil"/>
          <w:left w:val="nil"/>
          <w:bottom w:val="nil"/>
          <w:right w:val="nil"/>
          <w:between w:val="nil"/>
          <w:bar w:val="nil"/>
        </w:pBdr>
        <w:tabs>
          <w:tab w:val="right" w:pos="8730"/>
        </w:tabs>
        <w:rPr>
          <w:rFonts w:eastAsia="Arial Unicode MS" w:cs="Arial Unicode MS"/>
          <w:color w:val="000000"/>
          <w:szCs w:val="24"/>
          <w:bdr w:val="nil"/>
        </w:rPr>
      </w:pPr>
      <w:r>
        <w:rPr>
          <w:rFonts w:eastAsia="Arial Unicode MS" w:cs="Arial Unicode MS"/>
          <w:color w:val="000000"/>
          <w:szCs w:val="24"/>
          <w:bdr w:val="nil"/>
        </w:rPr>
        <w:t>Seimo Pirmininkas</w:t>
      </w:r>
    </w:p>
    <w:p>
      <w:pPr>
        <w:pBdr>
          <w:top w:val="nil"/>
          <w:left w:val="nil"/>
          <w:bottom w:val="nil"/>
          <w:right w:val="nil"/>
          <w:between w:val="nil"/>
          <w:bar w:val="nil"/>
        </w:pBdr>
        <w:tabs>
          <w:tab w:val="right" w:pos="8730"/>
        </w:tabs>
        <w:rPr>
          <w:rFonts w:eastAsia="Arial Unicode MS" w:cs="Arial Unicode MS"/>
          <w:color w:val="000000"/>
          <w:szCs w:val="24"/>
          <w:bdr w:val="nil"/>
        </w:rPr>
      </w:pPr>
    </w:p>
    <w:p>
      <w:pPr>
        <w:pBdr>
          <w:top w:val="nil"/>
          <w:left w:val="nil"/>
          <w:bottom w:val="nil"/>
          <w:right w:val="nil"/>
          <w:between w:val="nil"/>
          <w:bar w:val="nil"/>
        </w:pBdr>
        <w:tabs>
          <w:tab w:val="right" w:pos="8730"/>
        </w:tabs>
        <w:spacing w:line="360" w:lineRule="auto"/>
        <w:rPr>
          <w:rFonts w:eastAsia="Arial Unicode MS" w:cs="Arial Unicode MS"/>
          <w:color w:val="000000"/>
          <w:szCs w:val="24"/>
          <w:bdr w:val="nil"/>
        </w:rPr>
      </w:pPr>
      <w:r>
        <w:rPr>
          <w:rFonts w:eastAsia="Arial Unicode MS" w:cs="Arial Unicode MS"/>
          <w:color w:val="000000"/>
          <w:szCs w:val="24"/>
          <w:bdr w:val="nil"/>
        </w:rPr>
        <w:t xml:space="preserve">Teikia </w:t>
      </w:r>
    </w:p>
    <w:p>
      <w:pPr>
        <w:pBdr>
          <w:top w:val="nil"/>
          <w:left w:val="nil"/>
          <w:bottom w:val="nil"/>
          <w:right w:val="nil"/>
          <w:between w:val="nil"/>
          <w:bar w:val="nil"/>
        </w:pBdr>
        <w:tabs>
          <w:tab w:val="right" w:pos="8730"/>
        </w:tabs>
        <w:spacing w:line="276" w:lineRule="auto"/>
        <w:rPr>
          <w:rFonts w:eastAsia="Arial Unicode MS" w:cs="Arial Unicode MS"/>
          <w:color w:val="000000"/>
          <w:szCs w:val="24"/>
          <w:bdr w:val="nil"/>
        </w:rPr>
      </w:pPr>
      <w:r>
        <w:rPr>
          <w:rFonts w:eastAsia="Arial Unicode MS" w:cs="Arial Unicode MS"/>
          <w:color w:val="000000"/>
          <w:szCs w:val="24"/>
          <w:bdr w:val="nil"/>
        </w:rPr>
        <w:t>Seimo narys Naglis Puteikis</w:t>
      </w:r>
    </w:p>
    <w:p>
      <w:pPr>
        <w:pBdr>
          <w:top w:val="nil"/>
          <w:left w:val="nil"/>
          <w:bottom w:val="nil"/>
          <w:right w:val="nil"/>
          <w:between w:val="nil"/>
          <w:bar w:val="nil"/>
        </w:pBdr>
        <w:tabs>
          <w:tab w:val="right" w:pos="8730"/>
        </w:tabs>
        <w:spacing w:line="276" w:lineRule="auto"/>
      </w:pPr>
    </w:p>
    <w:p>
      <w:pPr>
        <w:rPr>
          <w:b/>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3727</Characters>
  <Application>Microsoft Office Word</Application>
  <DocSecurity>4</DocSecurity>
  <Lines>69</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2017-08-18T10:50:00Z</dcterms:created>
  <dc:creator>PUTEIKIS Naglis</dc:creator>
  <lastModifiedBy>adlibuser</lastModifiedBy>
  <dcterms:modified xsi:type="dcterms:W3CDTF">2017-08-18T10:50:00Z</dcterms:modified>
  <revision>2</revision>
</coreProperties>
</file>