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459c5a37f0948ce83fd05de2fac7fba"/>
        <w:lock w:val="sdtLocked"/>
        <w:richText/>
      </w:sdtPr>
      <w:sdtContent>
        <w:p>
          <w:pPr>
            <w:spacing w:line="259" w:lineRule="auto"/>
            <w:ind w:left="7428" w:firstLine="794"/>
            <w:rPr>
              <w:szCs w:val="24"/>
            </w:rPr>
          </w:pPr>
          <w:r>
            <w:rPr>
              <w:rFonts w:eastAsia="Calibri"/>
              <w:szCs w:val="24"/>
            </w:rPr>
            <w:t>Projektas</w:t>
          </w:r>
          <w:r>
            <w:rPr>
              <w:szCs w:val="24"/>
            </w:rPr>
            <w:t xml:space="preserve"> </w:t>
          </w:r>
        </w:p>
        <w:p>
          <w:pPr>
            <w:spacing w:line="259" w:lineRule="auto"/>
            <w:ind w:left="8222"/>
            <w:rPr>
              <w:szCs w:val="24"/>
            </w:rPr>
          </w:pPr>
          <w:r>
            <w:rPr>
              <w:szCs w:val="24"/>
            </w:rPr>
            <w:t>2024-06-06</w:t>
          </w:r>
        </w:p>
        <w:p>
          <w:pPr>
            <w:spacing w:line="259" w:lineRule="auto"/>
            <w:ind w:left="8222"/>
            <w:rPr>
              <w:szCs w:val="24"/>
            </w:rPr>
          </w:pPr>
          <w:r>
            <w:rPr>
              <w:szCs w:val="24"/>
            </w:rPr>
            <w:t>Nr. TSP-</w:t>
          </w:r>
        </w:p>
        <w:p>
          <w:pPr>
            <w:jc w:val="center"/>
            <w:rPr>
              <w:szCs w:val="24"/>
              <w:lang w:eastAsia="lt-LT"/>
            </w:rPr>
          </w:pPr>
        </w:p>
        <w:p>
          <w:pPr>
            <w:jc w:val="center"/>
            <w:rPr>
              <w:b/>
              <w:szCs w:val="24"/>
              <w:lang w:eastAsia="lt-LT"/>
            </w:rPr>
          </w:pPr>
          <w:r>
            <w:rPr>
              <w:b/>
              <w:szCs w:val="24"/>
              <w:lang w:eastAsia="lt-LT"/>
            </w:rPr>
            <w:t>RADVILIŠKIO RAJONO SAVIVALDYBĖS TARYBA</w:t>
          </w:r>
        </w:p>
        <w:p>
          <w:pPr>
            <w:jc w:val="center"/>
            <w:rPr>
              <w:b/>
              <w:szCs w:val="24"/>
              <w:lang w:eastAsia="lt-LT"/>
            </w:rPr>
          </w:pPr>
        </w:p>
        <w:p>
          <w:pPr>
            <w:jc w:val="center"/>
            <w:rPr>
              <w:b/>
              <w:szCs w:val="24"/>
              <w:lang w:eastAsia="lt-LT"/>
            </w:rPr>
          </w:pPr>
          <w:r>
            <w:rPr>
              <w:b/>
              <w:szCs w:val="24"/>
              <w:lang w:eastAsia="lt-LT"/>
            </w:rPr>
            <w:t>SPRENDIMAS</w:t>
          </w:r>
        </w:p>
        <w:p>
          <w:pPr>
            <w:spacing w:line="259" w:lineRule="auto"/>
            <w:jc w:val="center"/>
            <w:rPr>
              <w:b/>
              <w:bCs/>
              <w:szCs w:val="24"/>
            </w:rPr>
          </w:pPr>
          <w:r>
            <w:rPr>
              <w:rFonts w:eastAsia="Calibri"/>
              <w:b/>
              <w:bCs/>
              <w:szCs w:val="24"/>
            </w:rPr>
            <w:t xml:space="preserve">DĖL </w:t>
          </w:r>
          <w:r>
            <w:rPr>
              <w:b/>
              <w:bCs/>
              <w:szCs w:val="24"/>
              <w:lang w:eastAsia="lt-LT"/>
            </w:rPr>
            <w:t>PRITARIMO DALYVAUTI</w:t>
          </w:r>
          <w:r>
            <w:rPr>
              <w:szCs w:val="24"/>
              <w:lang w:eastAsia="lt-LT"/>
            </w:rPr>
            <w:t xml:space="preserve"> </w:t>
          </w:r>
          <w:r>
            <w:rPr>
              <w:b/>
              <w:bCs/>
              <w:szCs w:val="24"/>
              <w:lang w:eastAsia="lt-LT"/>
            </w:rPr>
            <w:t xml:space="preserve">PROJEKTE </w:t>
          </w:r>
          <w:r>
            <w:rPr>
              <w:b/>
              <w:bCs/>
              <w:szCs w:val="24"/>
            </w:rPr>
            <w:t>„</w:t>
          </w:r>
          <w:r>
            <w:rPr>
              <w:b/>
              <w:bCs/>
              <w:iCs/>
              <w:szCs w:val="24"/>
              <w:lang w:eastAsia="lt-LT"/>
            </w:rPr>
            <w:t xml:space="preserve">ANKSTYVOJO UGDYMO UŽTIKRINIMAS VAIKAMS IŠ SOCIALINĘ RIZIKĄ PATIRIANČIŲ ŠEIMŲ“ </w:t>
          </w:r>
          <w:r>
            <w:rPr>
              <w:b/>
              <w:bCs/>
              <w:szCs w:val="24"/>
              <w:lang w:eastAsia="lt-LT"/>
            </w:rPr>
            <w:t>PARTNERIO TEISĖMIS</w:t>
          </w:r>
        </w:p>
        <w:p>
          <w:pPr>
            <w:rPr>
              <w:szCs w:val="24"/>
              <w:lang w:eastAsia="lt-LT"/>
            </w:rPr>
          </w:pPr>
        </w:p>
        <w:p>
          <w:pPr>
            <w:jc w:val="center"/>
            <w:rPr>
              <w:szCs w:val="24"/>
              <w:lang w:eastAsia="lt-LT"/>
            </w:rPr>
          </w:pPr>
          <w:r>
            <w:rPr>
              <w:szCs w:val="24"/>
              <w:lang w:eastAsia="lt-LT"/>
            </w:rPr>
            <w:t>2024 m. birželio 20 d. Nr. T-</w:t>
          </w:r>
        </w:p>
        <w:p>
          <w:pPr>
            <w:jc w:val="center"/>
            <w:rPr>
              <w:szCs w:val="24"/>
              <w:lang w:eastAsia="lt-LT"/>
            </w:rPr>
          </w:pPr>
          <w:r>
            <w:rPr>
              <w:szCs w:val="24"/>
              <w:lang w:eastAsia="lt-LT"/>
            </w:rPr>
            <w:t>Radviliškis</w:t>
          </w:r>
        </w:p>
        <w:p>
          <w:pPr>
            <w:ind w:firstLine="709"/>
            <w:jc w:val="both"/>
            <w:rPr>
              <w:szCs w:val="24"/>
              <w:lang w:eastAsia="lt-LT"/>
            </w:rPr>
          </w:pPr>
        </w:p>
        <w:sdt>
          <w:sdtPr>
            <w:alias w:val="preambule"/>
            <w:tag w:val="part_4e664903c5c64471acb14067dafc42a1"/>
            <w:lock w:val="sdtLocked"/>
            <w:richText/>
          </w:sdtPr>
          <w:sdtContent>
            <w:p>
              <w:pPr>
                <w:ind w:firstLine="709"/>
                <w:jc w:val="both"/>
                <w:rPr>
                  <w:szCs w:val="24"/>
                  <w:lang w:eastAsia="lt-LT"/>
                </w:rPr>
              </w:pPr>
              <w:r>
                <w:rPr>
                  <w:szCs w:val="24"/>
                  <w:lang w:eastAsia="lt-LT"/>
                </w:rPr>
                <w:t xml:space="preserve">Vadovaudamasi Lietuvos Respublikos vietos savivaldos įstatymo 6 straipsnio 8 punktu, 15 straipsnio 4 dalimi, </w:t>
              </w:r>
              <w:r>
                <w:rPr>
                  <w:szCs w:val="24"/>
                  <w:lang w:bidi="he-IL"/>
                </w:rPr>
                <w:t xml:space="preserve">Radviliškio rajono savivaldybės vardu sudaromų sutarčių pasirašymo tvarkos aprašo, patvirtinto Radviliškio rajono </w:t>
              </w:r>
              <w:r>
                <w:rPr>
                  <w:spacing w:val="-2"/>
                  <w:szCs w:val="24"/>
                  <w:lang w:bidi="he-IL"/>
                </w:rPr>
                <w:t xml:space="preserve">savivaldybės tarybos </w:t>
              </w:r>
              <w:r>
                <w:rPr>
                  <w:szCs w:val="24"/>
                </w:rPr>
                <w:t xml:space="preserve">2023 m. rugpjūčio 31 d. </w:t>
              </w:r>
              <w:r>
                <w:rPr>
                  <w:szCs w:val="24"/>
                  <w:lang w:bidi="he-IL"/>
                </w:rPr>
                <w:t xml:space="preserve">sprendimu </w:t>
              </w:r>
              <w:r>
                <w:rPr>
                  <w:szCs w:val="24"/>
                </w:rPr>
                <w:t xml:space="preserve">Nr. T-105 </w:t>
              </w:r>
              <w:r>
                <w:rPr>
                  <w:szCs w:val="24"/>
                  <w:lang w:bidi="he-IL"/>
                </w:rPr>
                <w:t xml:space="preserve">„Dėl Radviliškio rajono savivaldybės vardu sudaromų sutarčių pasirašymo tvarkos aprašo patvirtinimo“, 5.2 papunkčiu, atsižvelgdama į </w:t>
              </w:r>
              <w:r>
                <w:rPr>
                  <w:szCs w:val="24"/>
                </w:rPr>
                <w:t xml:space="preserve">2021–2030 m. plėtros programos valdytojos Lietuvos Respublikos švietimo, mokslo ir sporto ministerijos švietimo plėtros programos pažangos priemonės N. 12-003-03-01-04 „Užtikrinti visiems prieinamą ankstyvąjį ugdymą“, patvirtintos Lietuvos Respublikos švietimo, mokslo ir sporto ministro 2022 m. gegužės 31 d. įsakymu Nr. V-878 „Dėl 2021–2030 m. plėtros programos valdytojos Lietuvos Respublikos švietimo, mokslo ir sporto ministerijos švietimo plėtros programos pažangos priemonės Nr. 12-003-03-01-04 „Užtikrinti visiems prieinamą ankstyvąjį ugdymą“ aprašo patvirtinimo“ 2 priedo „2021–2030 m. plėtros programos valdytojos Lietuvos Respublikos švietimo, mokslo ir sporto ministerijos švietimo plėtros programos pažangos priemonės Nr. 12-003-03-01-04 „Užtikrinti visiems prieinamą ankstyvąjį ugdymą“ projektų finansavimo sąlygų aprašo Nr. 2“ 2.2 papunkčiu, </w:t>
              </w:r>
              <w:r>
                <w:rPr>
                  <w:bCs/>
                  <w:szCs w:val="24"/>
                  <w:lang w:eastAsia="lt-LT"/>
                </w:rPr>
                <w:t xml:space="preserve">Radviliškio rajono savivaldybės taryba </w:t>
              </w:r>
              <w:r>
                <w:rPr>
                  <w:bCs/>
                  <w:spacing w:val="60"/>
                  <w:szCs w:val="24"/>
                  <w:lang w:eastAsia="lt-LT"/>
                </w:rPr>
                <w:t>nusprendži</w:t>
              </w:r>
              <w:r>
                <w:rPr>
                  <w:bCs/>
                  <w:szCs w:val="24"/>
                  <w:lang w:eastAsia="lt-LT"/>
                </w:rPr>
                <w:t>a:</w:t>
              </w:r>
            </w:p>
          </w:sdtContent>
        </w:sdt>
        <w:sdt>
          <w:sdtPr>
            <w:alias w:val="1 p."/>
            <w:tag w:val="part_8f5af0acfb4e4cca817f54b742c83c22"/>
            <w:lock w:val="sdtLocked"/>
            <w:richText/>
          </w:sdtPr>
          <w:sdtContent>
            <w:p>
              <w:pPr>
                <w:tabs>
                  <w:tab w:val="left" w:pos="851"/>
                  <w:tab w:val="left" w:pos="1134"/>
                </w:tabs>
                <w:suppressAutoHyphens/>
                <w:ind w:firstLine="709"/>
                <w:jc w:val="both"/>
                <w:rPr>
                  <w:szCs w:val="24"/>
                  <w:lang w:eastAsia="lt-LT"/>
                </w:rPr>
              </w:pPr>
              <w:sdt>
                <w:sdtPr>
                  <w:alias w:val="Numeris"/>
                  <w:tag w:val="nr_8f5af0acfb4e4cca817f54b742c83c22"/>
                  <w:lock w:val="sdtLocked"/>
                  <w:richText/>
                </w:sdtPr>
                <w:sdtContent>
                  <w:r>
                    <w:rPr>
                      <w:szCs w:val="24"/>
                      <w:lang w:eastAsia="lt-LT"/>
                    </w:rPr>
                    <w:t>1</w:t>
                  </w:r>
                </w:sdtContent>
              </w:sdt>
              <w:r>
                <w:rPr>
                  <w:szCs w:val="24"/>
                  <w:lang w:eastAsia="lt-LT"/>
                </w:rPr>
                <w:t>.</w:t>
                <w:tab/>
                <w:t xml:space="preserve">Pritarti Radviliškio rajono savivaldybės administracijos dalyvavimui projekte </w:t>
              </w:r>
              <w:r>
                <w:rPr>
                  <w:szCs w:val="24"/>
                </w:rPr>
                <w:t>„A</w:t>
              </w:r>
              <w:r>
                <w:rPr>
                  <w:iCs/>
                  <w:szCs w:val="24"/>
                  <w:lang w:eastAsia="lt-LT"/>
                </w:rPr>
                <w:t>nkstyvojo ugdymo užtikrinimas vaikams iš socialinę riziką patiriančių šeimų</w:t>
              </w:r>
              <w:r>
                <w:rPr>
                  <w:szCs w:val="24"/>
                  <w:lang w:eastAsia="lt-LT"/>
                </w:rPr>
                <w:t>“ (toliau – Projektas)</w:t>
              </w:r>
              <w:r>
                <w:rPr>
                  <w:szCs w:val="24"/>
                </w:rPr>
                <w:t xml:space="preserve"> partnerio </w:t>
              </w:r>
              <w:r>
                <w:rPr>
                  <w:szCs w:val="24"/>
                  <w:lang w:eastAsia="lt-LT"/>
                </w:rPr>
                <w:t xml:space="preserve">teisėmis. </w:t>
              </w:r>
              <w:r>
                <w:rPr>
                  <w:bCs/>
                  <w:szCs w:val="24"/>
                  <w:lang w:eastAsia="lt-LT"/>
                </w:rPr>
                <w:t>Projekto vykdytojas</w:t>
              </w:r>
              <w:r>
                <w:rPr>
                  <w:b/>
                  <w:bCs/>
                  <w:szCs w:val="24"/>
                  <w:lang w:eastAsia="lt-LT"/>
                </w:rPr>
                <w:t xml:space="preserve"> </w:t>
              </w:r>
              <w:r>
                <w:rPr>
                  <w:szCs w:val="24"/>
                  <w:lang w:eastAsia="lt-LT"/>
                </w:rPr>
                <w:t>– VšĮ Europos socialinio fondo agentūra (toliau – Agentūra).</w:t>
              </w:r>
            </w:p>
          </w:sdtContent>
        </w:sdt>
        <w:sdt>
          <w:sdtPr>
            <w:alias w:val="2 p."/>
            <w:tag w:val="part_7a3ebdb2a74a4a859139a55ec8ca358f"/>
            <w:lock w:val="sdtLocked"/>
            <w:richText/>
          </w:sdtPr>
          <w:sdtContent>
            <w:p>
              <w:pPr>
                <w:tabs>
                  <w:tab w:val="left" w:pos="0"/>
                  <w:tab w:val="left" w:pos="1134"/>
                </w:tabs>
                <w:suppressAutoHyphens/>
                <w:ind w:firstLine="709"/>
                <w:jc w:val="both"/>
                <w:rPr>
                  <w:szCs w:val="24"/>
                </w:rPr>
              </w:pPr>
              <w:sdt>
                <w:sdtPr>
                  <w:alias w:val="Numeris"/>
                  <w:tag w:val="nr_7a3ebdb2a74a4a859139a55ec8ca358f"/>
                  <w:lock w:val="sdtLocked"/>
                  <w:richText/>
                </w:sdtPr>
                <w:sdtContent>
                  <w:r>
                    <w:rPr>
                      <w:szCs w:val="24"/>
                    </w:rPr>
                    <w:t>2</w:t>
                  </w:r>
                </w:sdtContent>
              </w:sdt>
              <w:r>
                <w:rPr>
                  <w:szCs w:val="24"/>
                </w:rPr>
                <w:t>.</w:t>
                <w:tab/>
              </w:r>
              <w:r>
                <w:rPr>
                  <w:szCs w:val="24"/>
                  <w:lang w:eastAsia="lt-LT"/>
                </w:rPr>
                <w:t>Pritarti P</w:t>
              </w:r>
              <w:r>
                <w:rPr>
                  <w:szCs w:val="24"/>
                </w:rPr>
                <w:t>rojekto jungtinės veiklos sutarties projektui (pridedama).</w:t>
              </w:r>
            </w:p>
          </w:sdtContent>
        </w:sdt>
        <w:sdt>
          <w:sdtPr>
            <w:alias w:val="3 p."/>
            <w:tag w:val="part_867e0371f3ef41aaa45bb65894c60474"/>
            <w:lock w:val="sdtLocked"/>
            <w:richText/>
          </w:sdtPr>
          <w:sdtContent>
            <w:p>
              <w:pPr>
                <w:tabs>
                  <w:tab w:val="left" w:pos="1134"/>
                </w:tabs>
                <w:ind w:firstLine="709"/>
                <w:jc w:val="both"/>
                <w:rPr>
                  <w:szCs w:val="24"/>
                  <w:lang w:eastAsia="lt-LT"/>
                </w:rPr>
              </w:pPr>
              <w:sdt>
                <w:sdtPr>
                  <w:alias w:val="Numeris"/>
                  <w:tag w:val="nr_867e0371f3ef41aaa45bb65894c60474"/>
                  <w:lock w:val="sdtLocked"/>
                  <w:richText/>
                </w:sdtPr>
                <w:sdtContent>
                  <w:r>
                    <w:rPr>
                      <w:szCs w:val="24"/>
                      <w:lang w:eastAsia="lt-LT"/>
                    </w:rPr>
                    <w:t>3</w:t>
                  </w:r>
                </w:sdtContent>
              </w:sdt>
              <w:r>
                <w:rPr>
                  <w:szCs w:val="24"/>
                  <w:lang w:eastAsia="lt-LT"/>
                </w:rPr>
                <w:t>.</w:t>
                <w:tab/>
                <w:t xml:space="preserve">Įgalioti Radviliškio rajono savivaldybės administracijos direktorių pasirašyti Projekto jungtinės veiklos sutartį su Agentūra </w:t>
              </w:r>
              <w:r>
                <w:rPr>
                  <w:color w:val="000000"/>
                  <w:szCs w:val="24"/>
                </w:rPr>
                <w:t>ir atlikti reikalingus veiksmus tinkamam Projekto įgyvendinimui.</w:t>
              </w:r>
            </w:p>
          </w:sdtContent>
        </w:sdt>
        <w:sdt>
          <w:sdtPr>
            <w:alias w:val="4 p."/>
            <w:tag w:val="part_f7fee99c40ed42668be05ec955a3fe34"/>
            <w:lock w:val="sdtLocked"/>
            <w:richText/>
          </w:sdtPr>
          <w:sdtContent>
            <w:p>
              <w:pPr>
                <w:tabs>
                  <w:tab w:val="left" w:pos="1134"/>
                </w:tabs>
                <w:ind w:firstLine="709"/>
                <w:jc w:val="both"/>
                <w:rPr>
                  <w:szCs w:val="24"/>
                  <w:lang w:eastAsia="lt-LT"/>
                </w:rPr>
              </w:pPr>
              <w:sdt>
                <w:sdtPr>
                  <w:alias w:val="Numeris"/>
                  <w:tag w:val="nr_f7fee99c40ed42668be05ec955a3fe34"/>
                  <w:lock w:val="sdtLocked"/>
                  <w:richText/>
                </w:sdtPr>
                <w:sdtContent>
                  <w:r>
                    <w:rPr>
                      <w:szCs w:val="24"/>
                      <w:lang w:eastAsia="lt-LT"/>
                    </w:rPr>
                    <w:t>4</w:t>
                  </w:r>
                </w:sdtContent>
              </w:sdt>
              <w:r>
                <w:rPr>
                  <w:szCs w:val="24"/>
                  <w:lang w:eastAsia="lt-LT"/>
                </w:rPr>
                <w:t>.</w:t>
                <w:tab/>
                <w:t>Nurodyti, kad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pPr>
                <w:tabs>
                  <w:tab w:val="left" w:pos="7560"/>
                </w:tabs>
                <w:jc w:val="both"/>
                <w:rPr>
                  <w:szCs w:val="24"/>
                  <w:lang w:eastAsia="lt-LT"/>
                </w:rPr>
              </w:pPr>
            </w:p>
            <w:p>
              <w:pPr>
                <w:tabs>
                  <w:tab w:val="left" w:pos="7560"/>
                </w:tabs>
                <w:jc w:val="both"/>
                <w:rPr>
                  <w:szCs w:val="24"/>
                  <w:lang w:eastAsia="lt-LT"/>
                </w:rPr>
              </w:pPr>
            </w:p>
            <w:p>
              <w:pPr>
                <w:tabs>
                  <w:tab w:val="left" w:pos="7560"/>
                </w:tabs>
                <w:jc w:val="both"/>
                <w:rPr>
                  <w:szCs w:val="24"/>
                  <w:lang w:eastAsia="lt-LT"/>
                </w:rPr>
              </w:pPr>
            </w:p>
            <w:p>
              <w:pPr>
                <w:tabs>
                  <w:tab w:val="left" w:pos="7560"/>
                </w:tabs>
                <w:jc w:val="both"/>
                <w:rPr>
                  <w:szCs w:val="24"/>
                  <w:lang w:eastAsia="lt-LT"/>
                </w:rPr>
              </w:pPr>
            </w:p>
            <w:p>
              <w:pPr>
                <w:tabs>
                  <w:tab w:val="left" w:pos="0"/>
                  <w:tab w:val="left" w:pos="7230"/>
                </w:tabs>
                <w:jc w:val="both"/>
                <w:rPr>
                  <w:szCs w:val="24"/>
                </w:rPr>
              </w:pPr>
              <w:r>
                <w:rPr>
                  <w:szCs w:val="24"/>
                </w:rPr>
                <w:t>Savivaldybės meras</w:t>
                <w:tab/>
                <w:t>Kazimieras Račkauskis</w:t>
              </w:r>
            </w:p>
            <w:p>
              <w:pPr>
                <w:spacing w:line="259" w:lineRule="auto"/>
                <w:rPr>
                  <w:szCs w:val="24"/>
                </w:rPr>
              </w:pPr>
              <w:r>
                <w:rPr>
                  <w:szCs w:val="24"/>
                </w:rPr>
                <w:br w:type="page"/>
              </w:r>
            </w:p>
            <w:p>
              <w:pPr>
                <w:rPr>
                  <w:sz w:val="14"/>
                  <w:szCs w:val="14"/>
                </w:rPr>
              </w:pPr>
            </w:p>
          </w:sdtContent>
        </w:sdt>
        <w:sdt>
          <w:sdtPr>
            <w:alias w:val="skirsnis"/>
            <w:tag w:val="part_6dc267cab37b4bd98dc7acbff61b9678"/>
            <w:lock w:val="sdtLocked"/>
            <w:richText/>
          </w:sdtPr>
          <w:sdtContent>
            <w:p>
              <w:pPr>
                <w:jc w:val="right"/>
                <w:rPr>
                  <w:b/>
                  <w:bCs/>
                  <w:szCs w:val="24"/>
                </w:rPr>
              </w:pPr>
              <w:sdt>
                <w:sdtPr>
                  <w:alias w:val="Pavadinimas"/>
                  <w:tag w:val="title_6dc267cab37b4bd98dc7acbff61b9678"/>
                  <w:lock w:val="sdtLocked"/>
                  <w:richText/>
                </w:sdtPr>
                <w:sdtContent>
                  <w:r>
                    <w:rPr>
                      <w:b/>
                      <w:bCs/>
                      <w:szCs w:val="24"/>
                    </w:rPr>
                    <w:t xml:space="preserve">Projektas </w:t>
                  </w:r>
                </w:sdtContent>
              </w:sdt>
            </w:p>
            <w:p>
              <w:pPr>
                <w:jc w:val="center"/>
                <w:rPr>
                  <w:b/>
                  <w:bCs/>
                  <w:szCs w:val="24"/>
                </w:rPr>
              </w:pPr>
            </w:p>
          </w:sdtContent>
        </w:sdt>
        <w:sdt>
          <w:sdtPr>
            <w:alias w:val="skirsnis"/>
            <w:tag w:val="part_d7f674186c614565894803606411b286"/>
            <w:lock w:val="sdtLocked"/>
            <w:richText/>
          </w:sdtPr>
          <w:sdtContent>
            <w:sdt>
              <w:sdtPr>
                <w:alias w:val="Pavadinimas"/>
                <w:tag w:val="title_d7f674186c614565894803606411b286"/>
                <w:lock w:val="sdtLocked"/>
                <w:richText/>
              </w:sdtPr>
              <w:sdtContent>
                <w:p>
                  <w:pPr>
                    <w:jc w:val="center"/>
                    <w:rPr>
                      <w:i/>
                      <w:sz w:val="22"/>
                      <w:szCs w:val="22"/>
                      <w:lang w:eastAsia="lt-LT"/>
                    </w:rPr>
                  </w:pPr>
                  <w:r>
                    <w:rPr>
                      <w:b/>
                      <w:bCs/>
                      <w:szCs w:val="24"/>
                    </w:rPr>
                    <w:t>PROJEKTO „</w:t>
                  </w:r>
                  <w:r>
                    <w:rPr>
                      <w:b/>
                      <w:bCs/>
                      <w:iCs/>
                      <w:sz w:val="22"/>
                      <w:szCs w:val="22"/>
                      <w:lang w:eastAsia="lt-LT"/>
                    </w:rPr>
                    <w:t>ANKSTYVOJO UGDYMO UŽTIKRINIMAS VAIKAMS IŠ SOCIALINĘ RIZIKĄ PATIRIANČIŲ ŠEIMŲ“</w:t>
                  </w:r>
                </w:p>
                <w:p>
                  <w:pPr>
                    <w:jc w:val="center"/>
                    <w:rPr>
                      <w:b/>
                      <w:bCs/>
                      <w:szCs w:val="24"/>
                    </w:rPr>
                  </w:pPr>
                  <w:r>
                    <w:rPr>
                      <w:b/>
                      <w:bCs/>
                      <w:szCs w:val="24"/>
                    </w:rPr>
                    <w:t>JUNGTINĖS VEIKLOS SUTARTIS</w:t>
                  </w:r>
                </w:p>
              </w:sdtContent>
            </w:sdt>
            <w:p>
              <w:pPr>
                <w:ind w:firstLine="62"/>
                <w:jc w:val="center"/>
                <w:rPr>
                  <w:b/>
                  <w:bCs/>
                  <w:color w:val="FF0000"/>
                  <w:szCs w:val="24"/>
                </w:rPr>
              </w:pPr>
              <w:r>
                <w:rPr>
                  <w:b/>
                  <w:bCs/>
                  <w:szCs w:val="24"/>
                </w:rPr>
                <w:t>NR</w:t>
              </w:r>
              <w:r>
                <w:rPr>
                  <w:szCs w:val="24"/>
                </w:rPr>
                <w:t xml:space="preserve">.  </w:t>
              </w:r>
              <w:r>
                <w:rPr>
                  <w:b/>
                  <w:bCs/>
                  <w:color w:val="FF0000"/>
                  <w:szCs w:val="24"/>
                </w:rPr>
                <w:t>10-013-P-0001/001</w:t>
              </w:r>
            </w:p>
            <w:p>
              <w:pPr>
                <w:jc w:val="center"/>
                <w:rPr>
                  <w:b/>
                  <w:bCs/>
                  <w:szCs w:val="24"/>
                </w:rPr>
              </w:pPr>
            </w:p>
          </w:sdtContent>
        </w:sdt>
        <w:sdt>
          <w:sdtPr>
            <w:alias w:val="skirsnis"/>
            <w:tag w:val="part_9ee29f927b0141e1bcc644de0d37ef24"/>
            <w:lock w:val="sdtLocked"/>
            <w:richText/>
          </w:sdtPr>
          <w:sdtContent>
            <w:p>
              <w:pPr>
                <w:jc w:val="center"/>
                <w:rPr>
                  <w:b/>
                  <w:bCs/>
                  <w:szCs w:val="24"/>
                </w:rPr>
              </w:pPr>
              <w:sdt>
                <w:sdtPr>
                  <w:alias w:val="Pavadinimas"/>
                  <w:tag w:val="title_9ee29f927b0141e1bcc644de0d37ef24"/>
                  <w:lock w:val="sdtLocked"/>
                  <w:richText/>
                </w:sdtPr>
                <w:sdtContent>
                  <w:r>
                    <w:rPr>
                      <w:b/>
                      <w:bCs/>
                      <w:szCs w:val="24"/>
                    </w:rPr>
                    <w:t>Vilnius</w:t>
                  </w:r>
                </w:sdtContent>
              </w:sdt>
            </w:p>
            <w:p>
              <w:pPr>
                <w:rPr>
                  <w:szCs w:val="24"/>
                </w:rPr>
              </w:pPr>
            </w:p>
            <w:p>
              <w:pPr>
                <w:spacing w:line="276" w:lineRule="auto"/>
                <w:ind w:firstLine="709"/>
                <w:jc w:val="both"/>
                <w:rPr>
                  <w:szCs w:val="24"/>
                </w:rPr>
              </w:pPr>
              <w:r>
                <w:rPr>
                  <w:b/>
                  <w:bCs/>
                  <w:szCs w:val="24"/>
                </w:rPr>
                <w:t>Europos socialinio fondo agentūra</w:t>
              </w:r>
              <w:r>
                <w:rPr>
                  <w:szCs w:val="24"/>
                </w:rPr>
                <w:t xml:space="preserve"> (toliau – Projekto vykdytojas), atstovaujama direktorės Linos Nevinskienės, veikiančios pagal įstatus, ir </w:t>
              </w:r>
              <w:r>
                <w:rPr>
                  <w:b/>
                  <w:bCs/>
                  <w:szCs w:val="24"/>
                </w:rPr>
                <w:t xml:space="preserve">Radviliškio rajono savivaldybės administracija </w:t>
              </w:r>
              <w:r>
                <w:rPr>
                  <w:szCs w:val="24"/>
                </w:rPr>
                <w:t xml:space="preserve">(toliau – Partneris), atstovaujama </w:t>
              </w:r>
              <w:r>
                <w:rPr>
                  <w:i/>
                  <w:iCs/>
                  <w:color w:val="FF0000"/>
                  <w:szCs w:val="24"/>
                </w:rPr>
                <w:t>pareigos Vardas Pavardė</w:t>
              </w:r>
              <w:r>
                <w:rPr>
                  <w:szCs w:val="24"/>
                </w:rPr>
                <w:t xml:space="preserve">, veikiančio pagal </w:t>
              </w:r>
              <w:r>
                <w:rPr>
                  <w:i/>
                  <w:iCs/>
                  <w:color w:val="FF0000"/>
                  <w:szCs w:val="24"/>
                  <w:shd w:val="clear" w:color="auto" w:fill="FFFFFF"/>
                </w:rPr>
                <w:t>atstovavimo pagrindas</w:t>
              </w:r>
              <w:r>
                <w:rPr>
                  <w:szCs w:val="24"/>
                </w:rPr>
                <w:t>, (toliau kartu vadinamos Šalimis, o kiekviena atskirai – Šalimi), atsižvelgdamos į 2021–2030 m. plėtros programos valdytojos Lietuvos Respublikos švietimo, mokslo ir sporto ministerijos švietimo plėtros programos pažangos priemonės N. 12-003-03-01-04 „Užtikrinti visiems prieinamą ankstyvąjį ugdymą“, patvirtintos Lietuvos Respublikos švietimo, mokslo ir sporto ministro 2022 m. gegužės 31 d. įsakymu Nr. V-878 „Dėl 2021–2030 m. plėtros programos valdytojos Lietuvos Respublikos švietimo, mokslo ir sporto ministerijos švietimo plėtros programos pažangos priemonės Nr. 12-003-03-01-04 „Užtikrinti visiems prieinamą ankstyvąjį ugdymą“ aprašo patvirtinimo“</w:t>
              </w:r>
              <w:r>
                <w:rPr>
                  <w:szCs w:val="24"/>
                  <w:vertAlign w:val="superscript"/>
                </w:rPr>
                <w:footnoteReference w:id="1"/>
              </w:r>
              <w:r>
                <w:rPr>
                  <w:szCs w:val="24"/>
                </w:rPr>
                <w:t xml:space="preserve"> (kartu su pakeitimais), 2 priedo „2021–2030 m. plėtros programos valdytojos Lietuvos Respublikos švietimo, mokslo ir sporto ministerijos švietimo plėtros programos pažangos priemonės Nr. 12-003-03-01-04 „Užtikrinti visiems prieinamą ankstyvąjį ugdymą“ projektų finansavimo sąlygų aprašo Nr. 2“ 2.2 papunkčiu, sudarė šią junginės veiklos sutartį (toliau  – Sutartis).</w:t>
              </w:r>
            </w:p>
            <w:p>
              <w:pPr>
                <w:spacing w:line="276" w:lineRule="auto"/>
                <w:jc w:val="center"/>
                <w:rPr>
                  <w:b/>
                  <w:bCs/>
                  <w:spacing w:val="10"/>
                  <w:szCs w:val="24"/>
                  <w:shd w:val="clear" w:color="auto" w:fill="FFFFFF"/>
                </w:rPr>
              </w:pPr>
            </w:p>
          </w:sdtContent>
        </w:sdt>
        <w:sdt>
          <w:sdtPr>
            <w:alias w:val="skyrius"/>
            <w:tag w:val="part_9708a17720aa4f8d9ef584535ae0c0cd"/>
            <w:lock w:val="sdtLocked"/>
            <w:richText/>
          </w:sdtPr>
          <w:sdtContent>
            <w:p>
              <w:pPr>
                <w:spacing w:line="276" w:lineRule="auto"/>
                <w:jc w:val="center"/>
                <w:rPr>
                  <w:b/>
                  <w:bCs/>
                  <w:spacing w:val="10"/>
                  <w:szCs w:val="24"/>
                  <w:shd w:val="clear" w:color="auto" w:fill="FFFFFF"/>
                </w:rPr>
              </w:pPr>
              <w:sdt>
                <w:sdtPr>
                  <w:alias w:val="Numeris"/>
                  <w:tag w:val="nr_9708a17720aa4f8d9ef584535ae0c0cd"/>
                  <w:lock w:val="sdtLocked"/>
                  <w:richText/>
                </w:sdtPr>
                <w:sdtContent>
                  <w:r>
                    <w:rPr>
                      <w:b/>
                      <w:bCs/>
                      <w:spacing w:val="10"/>
                      <w:szCs w:val="24"/>
                      <w:shd w:val="clear" w:color="auto" w:fill="FFFFFF"/>
                    </w:rPr>
                    <w:t>I</w:t>
                  </w:r>
                </w:sdtContent>
              </w:sdt>
              <w:r>
                <w:rPr>
                  <w:b/>
                  <w:bCs/>
                  <w:spacing w:val="10"/>
                  <w:szCs w:val="24"/>
                  <w:shd w:val="clear" w:color="auto" w:fill="FFFFFF"/>
                </w:rPr>
                <w:t xml:space="preserve"> SKYRIUS</w:t>
              </w:r>
            </w:p>
            <w:p>
              <w:pPr>
                <w:spacing w:line="276" w:lineRule="auto"/>
                <w:jc w:val="center"/>
                <w:rPr>
                  <w:b/>
                  <w:bCs/>
                  <w:spacing w:val="10"/>
                  <w:szCs w:val="24"/>
                  <w:shd w:val="clear" w:color="auto" w:fill="FFFFFF"/>
                </w:rPr>
              </w:pPr>
              <w:sdt>
                <w:sdtPr>
                  <w:alias w:val="Pavadinimas"/>
                  <w:tag w:val="title_9708a17720aa4f8d9ef584535ae0c0cd"/>
                  <w:lock w:val="sdtLocked"/>
                  <w:richText/>
                </w:sdtPr>
                <w:sdtContent>
                  <w:r>
                    <w:rPr>
                      <w:b/>
                      <w:bCs/>
                      <w:spacing w:val="10"/>
                      <w:szCs w:val="24"/>
                      <w:shd w:val="clear" w:color="auto" w:fill="FFFFFF"/>
                    </w:rPr>
                    <w:t>SUTARTIES SĄVOKOS</w:t>
                  </w:r>
                </w:sdtContent>
              </w:sdt>
            </w:p>
            <w:p>
              <w:pPr>
                <w:spacing w:line="276" w:lineRule="auto"/>
                <w:jc w:val="center"/>
                <w:rPr>
                  <w:b/>
                  <w:bCs/>
                  <w:spacing w:val="10"/>
                  <w:szCs w:val="24"/>
                  <w:shd w:val="clear" w:color="auto" w:fill="FFFFFF"/>
                </w:rPr>
              </w:pPr>
            </w:p>
            <w:sdt>
              <w:sdtPr>
                <w:alias w:val="1.1 pp."/>
                <w:tag w:val="part_27fb7f96d4ff46bf9b52f745c7b67b4d"/>
                <w:lock w:val="sdtLocked"/>
                <w:richText/>
              </w:sdtPr>
              <w:sdtContent>
                <w:p>
                  <w:pPr>
                    <w:spacing w:line="276" w:lineRule="auto"/>
                    <w:ind w:firstLine="709"/>
                    <w:jc w:val="both"/>
                    <w:rPr>
                      <w:szCs w:val="24"/>
                    </w:rPr>
                  </w:pPr>
                  <w:sdt>
                    <w:sdtPr>
                      <w:alias w:val="Numeris"/>
                      <w:tag w:val="nr_27fb7f96d4ff46bf9b52f745c7b67b4d"/>
                      <w:lock w:val="sdtLocked"/>
                      <w:richText/>
                    </w:sdtPr>
                    <w:sdtContent>
                      <w:r>
                        <w:rPr>
                          <w:b/>
                          <w:bCs/>
                          <w:szCs w:val="24"/>
                        </w:rPr>
                        <w:t>1.1</w:t>
                      </w:r>
                    </w:sdtContent>
                  </w:sdt>
                  <w:r>
                    <w:rPr>
                      <w:b/>
                      <w:bCs/>
                      <w:szCs w:val="24"/>
                    </w:rPr>
                    <w:t xml:space="preserve">. Aprašas </w:t>
                  </w:r>
                  <w:r>
                    <w:rPr>
                      <w:szCs w:val="24"/>
                    </w:rPr>
                    <w:t>– 2021–2030 m. plėtros programos valdytojos Lietuvos Respublikos švietimo, mokslo ir sporto ministerijos švietimo plėtros programos pažangos priemonės</w:t>
                  </w:r>
                  <w:r>
                    <w:rPr>
                      <w:sz w:val="22"/>
                      <w:szCs w:val="22"/>
                    </w:rPr>
                    <w:t xml:space="preserve"> </w:t>
                  </w:r>
                  <w:r>
                    <w:rPr>
                      <w:szCs w:val="24"/>
                    </w:rPr>
                    <w:t>Nr. 12-003-03-01-04 „Užtikrinti visiems prieinamą ankstyvąjį ugdymą“ Nr. 2, patvirtintos Lietuvos Respublikos švietimo, mokslo ir sporto ministro 2022 m. gegužės 31 d. įsakymu Nr. V-878 „Dėl 2021–2030 m. plėtros programos valdytojos Lietuvos Respublikos švietimo, mokslo ir sporto ministerijos švietimo plėtros programos pažangos priemonės Nr. 12-003-03-01-04 „Užtikrinti visiems prieinamą ankstyvąjį ugdymą“ Nr. 2“ aprašo patvirtinimo“ (kartu su vėlesniais pakeitimais), 2 priedas „2021–2030 m. Plėtros programos valdytojos Lietuvos Respublikos švietimo, mokslo ir sporto ministerijos švietimo plėtros programos pažangos priemonės Nr. 12-003-03-01-04 „Užtikrinti visiems prieinamą ankstyvąjį ugdymą“ projektų finansavimo sąlygų aprašas Nr. 2.</w:t>
                  </w:r>
                </w:p>
              </w:sdtContent>
            </w:sdt>
            <w:sdt>
              <w:sdtPr>
                <w:alias w:val="1.2 pp."/>
                <w:tag w:val="part_a6669584e7d44b498823d2429d8c57ee"/>
                <w:lock w:val="sdtLocked"/>
                <w:richText/>
              </w:sdtPr>
              <w:sdtContent>
                <w:p>
                  <w:pPr>
                    <w:spacing w:line="276" w:lineRule="auto"/>
                    <w:ind w:firstLine="709"/>
                    <w:jc w:val="both"/>
                    <w:rPr>
                      <w:szCs w:val="24"/>
                    </w:rPr>
                  </w:pPr>
                  <w:sdt>
                    <w:sdtPr>
                      <w:alias w:val="Numeris"/>
                      <w:tag w:val="nr_a6669584e7d44b498823d2429d8c57ee"/>
                      <w:lock w:val="sdtLocked"/>
                      <w:richText/>
                    </w:sdtPr>
                    <w:sdtContent>
                      <w:r>
                        <w:rPr>
                          <w:b/>
                          <w:szCs w:val="24"/>
                        </w:rPr>
                        <w:t>1.2</w:t>
                      </w:r>
                    </w:sdtContent>
                  </w:sdt>
                  <w:r>
                    <w:rPr>
                      <w:b/>
                      <w:szCs w:val="24"/>
                    </w:rPr>
                    <w:t xml:space="preserve">. Projektas </w:t>
                  </w:r>
                  <w:r>
                    <w:rPr>
                      <w:szCs w:val="24"/>
                    </w:rPr>
                    <w:t>– projektas „Ankstyvojo ugdymo užtikrinimas vaikams iš socialinę riziką patiriančių šeimų“, projekto Nr. 10-013-P-0001.</w:t>
                  </w:r>
                </w:p>
              </w:sdtContent>
            </w:sdt>
            <w:sdt>
              <w:sdtPr>
                <w:alias w:val="1.3 pp."/>
                <w:tag w:val="part_53f477f6a4424d18ab47547f5088c26d"/>
                <w:lock w:val="sdtLocked"/>
                <w:richText/>
              </w:sdtPr>
              <w:sdtContent>
                <w:p>
                  <w:pPr>
                    <w:spacing w:line="276" w:lineRule="auto"/>
                    <w:ind w:firstLine="709"/>
                    <w:jc w:val="both"/>
                    <w:rPr>
                      <w:szCs w:val="24"/>
                    </w:rPr>
                  </w:pPr>
                  <w:sdt>
                    <w:sdtPr>
                      <w:alias w:val="Numeris"/>
                      <w:tag w:val="nr_53f477f6a4424d18ab47547f5088c26d"/>
                      <w:lock w:val="sdtLocked"/>
                      <w:richText/>
                    </w:sdtPr>
                    <w:sdtContent>
                      <w:r>
                        <w:rPr>
                          <w:b/>
                          <w:bCs/>
                          <w:szCs w:val="24"/>
                        </w:rPr>
                        <w:t>1.3</w:t>
                      </w:r>
                    </w:sdtContent>
                  </w:sdt>
                  <w:r>
                    <w:rPr>
                      <w:b/>
                      <w:bCs/>
                      <w:szCs w:val="24"/>
                    </w:rPr>
                    <w:t>. Projekto sutartis</w:t>
                  </w:r>
                  <w:r>
                    <w:rPr>
                      <w:szCs w:val="24"/>
                    </w:rPr>
                    <w:t xml:space="preserve"> – Projekto vykdytojo ir VšĮ Centrinės projektų valdymo agentūros (toliau – administruojanti institucija) sudaryta </w:t>
                  </w:r>
                  <w:r>
                    <w:rPr>
                      <w:szCs w:val="24"/>
                      <w:shd w:val="clear" w:color="auto" w:fill="FFFFFF"/>
                    </w:rPr>
                    <w:t xml:space="preserve">2024 m. </w:t>
                  </w:r>
                  <w:r>
                    <w:rPr>
                      <w:i/>
                      <w:iCs/>
                      <w:color w:val="FF0000"/>
                      <w:szCs w:val="24"/>
                      <w:shd w:val="clear" w:color="auto" w:fill="FFFFFF"/>
                    </w:rPr>
                    <w:t>mėnuo diena</w:t>
                  </w:r>
                  <w:r>
                    <w:rPr>
                      <w:color w:val="FF0000"/>
                      <w:szCs w:val="24"/>
                      <w:shd w:val="clear" w:color="auto" w:fill="FFFFFF"/>
                    </w:rPr>
                    <w:t xml:space="preserve"> </w:t>
                  </w:r>
                  <w:r>
                    <w:rPr>
                      <w:szCs w:val="24"/>
                      <w:shd w:val="clear" w:color="auto" w:fill="FFFFFF"/>
                    </w:rPr>
                    <w:t>d. projekto „</w:t>
                  </w:r>
                  <w:r>
                    <w:rPr>
                      <w:szCs w:val="24"/>
                    </w:rPr>
                    <w:t>Ankstyvojo ugdymo užtikrinimas vaikams iš socialinę riziką patiriančių“ Nr. 10-013-P-0001 sutartis.</w:t>
                  </w:r>
                </w:p>
              </w:sdtContent>
            </w:sdt>
            <w:sdt>
              <w:sdtPr>
                <w:alias w:val="1.4 pp."/>
                <w:tag w:val="part_41fc73edb626429f8c8e5a4ccfe56d53"/>
                <w:lock w:val="sdtLocked"/>
                <w:richText/>
              </w:sdtPr>
              <w:sdtContent>
                <w:p>
                  <w:pPr>
                    <w:spacing w:line="276" w:lineRule="auto"/>
                    <w:ind w:firstLine="709"/>
                    <w:jc w:val="both"/>
                    <w:rPr>
                      <w:szCs w:val="24"/>
                    </w:rPr>
                  </w:pPr>
                  <w:sdt>
                    <w:sdtPr>
                      <w:alias w:val="Numeris"/>
                      <w:tag w:val="nr_41fc73edb626429f8c8e5a4ccfe56d53"/>
                      <w:lock w:val="sdtLocked"/>
                      <w:richText/>
                    </w:sdtPr>
                    <w:sdtContent>
                      <w:r>
                        <w:rPr>
                          <w:b/>
                          <w:bCs/>
                          <w:szCs w:val="24"/>
                        </w:rPr>
                        <w:t>1.4</w:t>
                      </w:r>
                    </w:sdtContent>
                  </w:sdt>
                  <w:r>
                    <w:rPr>
                      <w:b/>
                      <w:bCs/>
                      <w:szCs w:val="24"/>
                    </w:rPr>
                    <w:t>. Stebėsenos rodiklių pasiekimas</w:t>
                  </w:r>
                  <w:r>
                    <w:rPr>
                      <w:szCs w:val="24"/>
                    </w:rPr>
                    <w:t xml:space="preserve"> – taip, kaip numatyta 2021–2030 m. plėtros programos valdytojos Lietuvos Respublikos švietimo, mokslo ir sporto ministerijos Švietimo plėtros programos pažangos priemonės Nr. 12-003-03-01-04 „Užtikrinti visiems prieinamą ankstyvąjį ugdymą“ stebėsenos rodiklių aprašymo kortelėse</w:t>
                  </w:r>
                  <w:r>
                    <w:rPr>
                      <w:szCs w:val="24"/>
                      <w:vertAlign w:val="superscript"/>
                    </w:rPr>
                    <w:footnoteReference w:id="2"/>
                  </w:r>
                  <w:r>
                    <w:rPr>
                      <w:szCs w:val="24"/>
                    </w:rPr>
                    <w:t xml:space="preserve"> (kartu su vėlesniais pakeitimais).</w:t>
                  </w:r>
                </w:p>
              </w:sdtContent>
            </w:sdt>
            <w:sdt>
              <w:sdtPr>
                <w:alias w:val="1.5 pp."/>
                <w:tag w:val="part_2553b59977be4547ab44548410272beb"/>
                <w:lock w:val="sdtLocked"/>
                <w:richText/>
              </w:sdtPr>
              <w:sdtContent>
                <w:p>
                  <w:pPr>
                    <w:spacing w:line="276" w:lineRule="auto"/>
                    <w:ind w:firstLine="709"/>
                    <w:jc w:val="both"/>
                    <w:rPr>
                      <w:szCs w:val="24"/>
                    </w:rPr>
                  </w:pPr>
                  <w:sdt>
                    <w:sdtPr>
                      <w:alias w:val="Numeris"/>
                      <w:tag w:val="nr_2553b59977be4547ab44548410272beb"/>
                      <w:lock w:val="sdtLocked"/>
                      <w:richText/>
                    </w:sdtPr>
                    <w:sdtContent>
                      <w:r>
                        <w:rPr>
                          <w:b/>
                          <w:bCs/>
                          <w:szCs w:val="24"/>
                        </w:rPr>
                        <w:t>1.5</w:t>
                      </w:r>
                    </w:sdtContent>
                  </w:sdt>
                  <w:r>
                    <w:rPr>
                      <w:b/>
                      <w:bCs/>
                      <w:szCs w:val="24"/>
                    </w:rPr>
                    <w:t xml:space="preserve">. Taisyklės </w:t>
                  </w:r>
                  <w:r>
                    <w:rPr>
                      <w:szCs w:val="24"/>
                    </w:rPr>
                    <w:t>–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3"/>
                  </w:r>
                  <w:r>
                    <w:rPr>
                      <w:szCs w:val="24"/>
                    </w:rPr>
                    <w:t xml:space="preserve"> (kartu su vėlesniais pakeitimais). </w:t>
                  </w:r>
                </w:p>
              </w:sdtContent>
            </w:sdt>
            <w:sdt>
              <w:sdtPr>
                <w:alias w:val="1.6 pp."/>
                <w:tag w:val="part_1e12b568a22c4c619581c68719742a26"/>
                <w:lock w:val="sdtLocked"/>
                <w:richText/>
              </w:sdtPr>
              <w:sdtContent>
                <w:p>
                  <w:pPr>
                    <w:spacing w:line="276" w:lineRule="auto"/>
                    <w:ind w:firstLine="709"/>
                    <w:jc w:val="both"/>
                    <w:rPr>
                      <w:szCs w:val="24"/>
                    </w:rPr>
                  </w:pPr>
                  <w:sdt>
                    <w:sdtPr>
                      <w:alias w:val="Numeris"/>
                      <w:tag w:val="nr_1e12b568a22c4c619581c68719742a26"/>
                      <w:lock w:val="sdtLocked"/>
                      <w:richText/>
                    </w:sdtPr>
                    <w:sdtContent>
                      <w:r>
                        <w:rPr>
                          <w:szCs w:val="24"/>
                        </w:rPr>
                        <w:t>1.6</w:t>
                      </w:r>
                    </w:sdtContent>
                  </w:sdt>
                  <w:r>
                    <w:rPr>
                      <w:szCs w:val="24"/>
                    </w:rPr>
                    <w:t>. Kitos Sutartyje vartojamos sąvokos suprantamos taip, kaip jos apibrėžtos Taisyklėse ir Apraše.</w:t>
                  </w:r>
                </w:p>
              </w:sdtContent>
            </w:sdt>
            <w:sdt>
              <w:sdtPr>
                <w:alias w:val="1.7 pp."/>
                <w:tag w:val="part_6ec1402afa5345f299b9e9b9f65541ed"/>
                <w:lock w:val="sdtLocked"/>
                <w:richText/>
              </w:sdtPr>
              <w:sdtContent>
                <w:p>
                  <w:pPr>
                    <w:spacing w:line="276" w:lineRule="auto"/>
                    <w:ind w:firstLine="709"/>
                    <w:jc w:val="both"/>
                    <w:rPr>
                      <w:szCs w:val="24"/>
                    </w:rPr>
                  </w:pPr>
                  <w:sdt>
                    <w:sdtPr>
                      <w:alias w:val="Numeris"/>
                      <w:tag w:val="nr_6ec1402afa5345f299b9e9b9f65541ed"/>
                      <w:lock w:val="sdtLocked"/>
                      <w:richText/>
                    </w:sdtPr>
                    <w:sdtContent>
                      <w:r>
                        <w:rPr>
                          <w:szCs w:val="24"/>
                        </w:rPr>
                        <w:t>1.7</w:t>
                      </w:r>
                    </w:sdtContent>
                  </w:sdt>
                  <w:r>
                    <w:rPr>
                      <w:szCs w:val="24"/>
                    </w:rPr>
                    <w:t xml:space="preserve">. </w:t>
                  </w:r>
                  <w:r>
                    <w:rPr>
                      <w:szCs w:val="24"/>
                      <w:lang w:val="lt"/>
                    </w:rPr>
                    <w:t>Tais atvejais, kai kyla prieštaravimų tarp šios Sutarties nuostatų ir Aprašo ir (ar) Taisyklių nuostatų, Šalys vadovaujasi Aprašo ir (ar) Taisyklių nuostatomis.</w:t>
                  </w:r>
                </w:p>
                <w:p>
                  <w:pPr>
                    <w:widowControl w:val="0"/>
                    <w:shd w:val="clear" w:color="auto" w:fill="FFFFFF"/>
                    <w:tabs>
                      <w:tab w:val="left" w:pos="8758"/>
                    </w:tabs>
                    <w:spacing w:line="276" w:lineRule="auto"/>
                    <w:jc w:val="both"/>
                    <w:rPr>
                      <w:kern w:val="2"/>
                      <w:szCs w:val="24"/>
                    </w:rPr>
                  </w:pPr>
                </w:p>
              </w:sdtContent>
            </w:sdt>
          </w:sdtContent>
        </w:sdt>
        <w:sdt>
          <w:sdtPr>
            <w:alias w:val="skyrius"/>
            <w:tag w:val="part_92d44b0f95fa47cb8694abcd2bfc0e4a"/>
            <w:lock w:val="sdtLocked"/>
            <w:richText/>
          </w:sdtPr>
          <w:sdtContent>
            <w:p>
              <w:pPr>
                <w:keepNext/>
                <w:keepLines/>
                <w:widowControl w:val="0"/>
                <w:spacing w:line="276" w:lineRule="auto"/>
                <w:jc w:val="center"/>
                <w:outlineLvl w:val="4"/>
                <w:rPr>
                  <w:b/>
                  <w:spacing w:val="10"/>
                  <w:kern w:val="2"/>
                  <w:szCs w:val="24"/>
                  <w:highlight w:val="white"/>
                  <w:shd w:val="clear" w:color="auto" w:fill="FFFFFF"/>
                </w:rPr>
              </w:pPr>
              <w:sdt>
                <w:sdtPr>
                  <w:alias w:val="Numeris"/>
                  <w:tag w:val="nr_92d44b0f95fa47cb8694abcd2bfc0e4a"/>
                  <w:lock w:val="sdtLocked"/>
                  <w:richText/>
                </w:sdtPr>
                <w:sdtContent>
                  <w:r>
                    <w:rPr>
                      <w:b/>
                      <w:spacing w:val="10"/>
                      <w:kern w:val="2"/>
                      <w:szCs w:val="24"/>
                      <w:highlight w:val="white"/>
                      <w:shd w:val="clear" w:color="auto" w:fill="FFFFFF"/>
                    </w:rPr>
                    <w:t>II</w:t>
                  </w:r>
                </w:sdtContent>
              </w:sdt>
              <w:r>
                <w:rPr>
                  <w:b/>
                  <w:spacing w:val="10"/>
                  <w:kern w:val="2"/>
                  <w:szCs w:val="24"/>
                  <w:highlight w:val="white"/>
                  <w:shd w:val="clear" w:color="auto" w:fill="FFFFFF"/>
                </w:rPr>
                <w:t xml:space="preserve"> SKYRIUS</w:t>
              </w:r>
            </w:p>
            <w:p>
              <w:pPr>
                <w:keepNext/>
                <w:keepLines/>
                <w:widowControl w:val="0"/>
                <w:spacing w:line="276" w:lineRule="auto"/>
                <w:jc w:val="center"/>
                <w:outlineLvl w:val="4"/>
                <w:rPr>
                  <w:b/>
                  <w:spacing w:val="10"/>
                  <w:kern w:val="2"/>
                  <w:szCs w:val="24"/>
                  <w:highlight w:val="white"/>
                  <w:shd w:val="clear" w:color="auto" w:fill="FFFFFF"/>
                </w:rPr>
              </w:pPr>
              <w:sdt>
                <w:sdtPr>
                  <w:alias w:val="Pavadinimas"/>
                  <w:tag w:val="title_92d44b0f95fa47cb8694abcd2bfc0e4a"/>
                  <w:lock w:val="sdtLocked"/>
                  <w:richText/>
                </w:sdtPr>
                <w:sdtContent>
                  <w:r>
                    <w:rPr>
                      <w:b/>
                      <w:spacing w:val="10"/>
                      <w:kern w:val="2"/>
                      <w:szCs w:val="24"/>
                      <w:shd w:val="clear" w:color="auto" w:fill="FFFFFF"/>
                    </w:rPr>
                    <w:t>SUTARTIES OBJEKTAS</w:t>
                  </w:r>
                </w:sdtContent>
              </w:sdt>
            </w:p>
            <w:p>
              <w:pPr>
                <w:keepNext/>
                <w:keepLines/>
                <w:widowControl w:val="0"/>
                <w:spacing w:line="276" w:lineRule="auto"/>
                <w:ind w:left="1440"/>
                <w:outlineLvl w:val="4"/>
                <w:rPr>
                  <w:b/>
                  <w:spacing w:val="10"/>
                  <w:kern w:val="2"/>
                  <w:szCs w:val="24"/>
                  <w:highlight w:val="white"/>
                  <w:shd w:val="clear" w:color="auto" w:fill="FFFFFF"/>
                </w:rPr>
              </w:pPr>
            </w:p>
            <w:sdt>
              <w:sdtPr>
                <w:alias w:val="2.1 pp."/>
                <w:tag w:val="part_b54084a5c6c24b3ab9ffbe9839805a7d"/>
                <w:lock w:val="sdtLocked"/>
                <w:richText/>
              </w:sdtPr>
              <w:sdtContent>
                <w:p>
                  <w:pPr>
                    <w:widowControl w:val="0"/>
                    <w:spacing w:line="276" w:lineRule="auto"/>
                    <w:ind w:firstLine="709"/>
                    <w:jc w:val="both"/>
                    <w:rPr>
                      <w:spacing w:val="10"/>
                      <w:kern w:val="2"/>
                      <w:szCs w:val="24"/>
                    </w:rPr>
                  </w:pPr>
                  <w:sdt>
                    <w:sdtPr>
                      <w:alias w:val="Numeris"/>
                      <w:tag w:val="nr_b54084a5c6c24b3ab9ffbe9839805a7d"/>
                      <w:lock w:val="sdtLocked"/>
                      <w:richText/>
                    </w:sdtPr>
                    <w:sdtContent>
                      <w:r>
                        <w:rPr>
                          <w:rFonts w:eastAsia="Calibri"/>
                          <w:color w:val="00000A"/>
                          <w:spacing w:val="10"/>
                          <w:kern w:val="2"/>
                          <w:szCs w:val="24"/>
                        </w:rPr>
                        <w:t>2.1</w:t>
                      </w:r>
                    </w:sdtContent>
                  </w:sdt>
                  <w:r>
                    <w:rPr>
                      <w:rFonts w:eastAsia="Calibri"/>
                      <w:color w:val="00000A"/>
                      <w:spacing w:val="10"/>
                      <w:kern w:val="2"/>
                      <w:szCs w:val="24"/>
                    </w:rPr>
                    <w:t>.</w:t>
                    <w:tab/>
                  </w:r>
                  <w:r>
                    <w:rPr>
                      <w:kern w:val="2"/>
                      <w:szCs w:val="24"/>
                    </w:rPr>
                    <w:t>Šia Sutartimi šalys įsipareigoja:</w:t>
                  </w:r>
                </w:p>
                <w:sdt>
                  <w:sdtPr>
                    <w:alias w:val="2.1.1 pp."/>
                    <w:tag w:val="part_a073d245414f485595c0fd38034b64e4"/>
                    <w:lock w:val="sdtLocked"/>
                    <w:richText/>
                  </w:sdtPr>
                  <w:sdtContent>
                    <w:p>
                      <w:pPr>
                        <w:widowControl w:val="0"/>
                        <w:spacing w:line="276" w:lineRule="auto"/>
                        <w:ind w:firstLine="709"/>
                        <w:jc w:val="both"/>
                        <w:rPr>
                          <w:kern w:val="2"/>
                          <w:szCs w:val="24"/>
                        </w:rPr>
                      </w:pPr>
                      <w:sdt>
                        <w:sdtPr>
                          <w:alias w:val="Numeris"/>
                          <w:tag w:val="nr_a073d245414f485595c0fd38034b64e4"/>
                          <w:lock w:val="sdtLocked"/>
                          <w:richText/>
                        </w:sdtPr>
                        <w:sdtContent>
                          <w:r>
                            <w:rPr>
                              <w:kern w:val="2"/>
                              <w:szCs w:val="24"/>
                            </w:rPr>
                            <w:t>2.1.1</w:t>
                          </w:r>
                        </w:sdtContent>
                      </w:sdt>
                      <w:r>
                        <w:rPr>
                          <w:kern w:val="2"/>
                          <w:szCs w:val="24"/>
                        </w:rPr>
                        <w:t>. veikti bendrai kooperuodamos savo patirtį, žinias, finansinius, materialinius – techninius išteklius;</w:t>
                      </w:r>
                    </w:p>
                  </w:sdtContent>
                </w:sdt>
                <w:sdt>
                  <w:sdtPr>
                    <w:alias w:val="2.1.2 pp."/>
                    <w:tag w:val="part_5b1e51008b6a41b4b9fb7f2532fdd149"/>
                    <w:lock w:val="sdtLocked"/>
                    <w:richText/>
                  </w:sdtPr>
                  <w:sdtContent>
                    <w:p>
                      <w:pPr>
                        <w:widowControl w:val="0"/>
                        <w:spacing w:line="276" w:lineRule="auto"/>
                        <w:ind w:firstLine="709"/>
                        <w:jc w:val="both"/>
                        <w:rPr>
                          <w:kern w:val="2"/>
                          <w:szCs w:val="24"/>
                        </w:rPr>
                      </w:pPr>
                      <w:sdt>
                        <w:sdtPr>
                          <w:alias w:val="Numeris"/>
                          <w:tag w:val="nr_5b1e51008b6a41b4b9fb7f2532fdd149"/>
                          <w:lock w:val="sdtLocked"/>
                          <w:richText/>
                        </w:sdtPr>
                        <w:sdtContent>
                          <w:r>
                            <w:rPr>
                              <w:kern w:val="2"/>
                              <w:szCs w:val="24"/>
                            </w:rPr>
                            <w:t>2.1.2</w:t>
                          </w:r>
                        </w:sdtContent>
                      </w:sdt>
                      <w:r>
                        <w:rPr>
                          <w:kern w:val="2"/>
                          <w:szCs w:val="24"/>
                        </w:rPr>
                        <w:t>. veikdamos bendrai efektyviai ir tinkamai įgyvendina Aprašo 2.3 punkte, Projekto sutartyje ir Sutarties 1 priede „Partnerio veiklų ir išlaidų lentelė“ (toliau – 1 priedas) numatytą veiklą</w:t>
                      </w:r>
                      <w:r>
                        <w:rPr>
                          <w:spacing w:val="10"/>
                          <w:kern w:val="2"/>
                          <w:szCs w:val="24"/>
                        </w:rPr>
                        <w:t xml:space="preserve"> ir siektiną rodiklį, kuris laikomas siekiamybe, tačiau neturi tiesioginės įtakos išlaidų kompensavimui. Tuo atveju, jei Sutarties 1 priede siektino rodiklio reikšmė nurodoma „0“, laikoma, jog Sutarties sudarymo metu Partneris neturėjo atitinkamo asmenų skaičiaus, kurių atžvilgiu vykdoma veikla, tačiau tai neriboja faktiškai patirtų išlaidų kompensavimo Sutarties vykdomo eigoje, kai įtraukiami asmenys, kurių atžvilgiu Partneris vykdo veiklą.</w:t>
                      </w:r>
                    </w:p>
                  </w:sdtContent>
                </w:sdt>
              </w:sdtContent>
            </w:sdt>
            <w:sdt>
              <w:sdtPr>
                <w:alias w:val="2.2 pp."/>
                <w:tag w:val="part_a7e1a363eeef43639c78b088f5e39c9d"/>
                <w:lock w:val="sdtLocked"/>
                <w:richText/>
              </w:sdtPr>
              <w:sdtContent>
                <w:p>
                  <w:pPr>
                    <w:widowControl w:val="0"/>
                    <w:spacing w:line="276" w:lineRule="auto"/>
                    <w:ind w:firstLine="709"/>
                    <w:jc w:val="both"/>
                    <w:rPr>
                      <w:kern w:val="2"/>
                      <w:szCs w:val="24"/>
                    </w:rPr>
                  </w:pPr>
                  <w:sdt>
                    <w:sdtPr>
                      <w:alias w:val="Numeris"/>
                      <w:tag w:val="nr_a7e1a363eeef43639c78b088f5e39c9d"/>
                      <w:lock w:val="sdtLocked"/>
                      <w:richText/>
                    </w:sdtPr>
                    <w:sdtContent>
                      <w:r>
                        <w:rPr>
                          <w:kern w:val="2"/>
                          <w:szCs w:val="24"/>
                        </w:rPr>
                        <w:t>2.2</w:t>
                      </w:r>
                    </w:sdtContent>
                  </w:sdt>
                  <w:r>
                    <w:rPr>
                      <w:kern w:val="2"/>
                      <w:szCs w:val="24"/>
                    </w:rPr>
                    <w:t>. Vykdydamos Sutartį, Šalys išlaiko savo teisinį savarankiškumą. Šalys juridinio asmens nesteigia. Projekto vykdytojas atstovauja Partnerį Projekto įgyvendinimo klausimais.</w:t>
                  </w:r>
                </w:p>
              </w:sdtContent>
            </w:sdt>
            <w:sdt>
              <w:sdtPr>
                <w:alias w:val="2.3 pp."/>
                <w:tag w:val="part_a4aafa9aafd844279de3f8e140b5abc8"/>
                <w:lock w:val="sdtLocked"/>
                <w:richText/>
              </w:sdtPr>
              <w:sdtContent>
                <w:p>
                  <w:pPr>
                    <w:widowControl w:val="0"/>
                    <w:spacing w:line="276" w:lineRule="auto"/>
                    <w:ind w:firstLine="709"/>
                    <w:jc w:val="both"/>
                    <w:rPr>
                      <w:kern w:val="2"/>
                      <w:szCs w:val="24"/>
                    </w:rPr>
                  </w:pPr>
                  <w:sdt>
                    <w:sdtPr>
                      <w:alias w:val="Numeris"/>
                      <w:tag w:val="nr_a4aafa9aafd844279de3f8e140b5abc8"/>
                      <w:lock w:val="sdtLocked"/>
                      <w:richText/>
                    </w:sdtPr>
                    <w:sdtContent>
                      <w:r>
                        <w:rPr>
                          <w:kern w:val="2"/>
                          <w:szCs w:val="24"/>
                        </w:rPr>
                        <w:t>2.3</w:t>
                      </w:r>
                    </w:sdtContent>
                  </w:sdt>
                  <w:r>
                    <w:rPr>
                      <w:kern w:val="2"/>
                      <w:szCs w:val="24"/>
                    </w:rPr>
                    <w:t>. Vykdant šią Sutartį, Partneris atsakingas Projekto vykdytojui už Sutartimi prisiimtų įsipareigojimų neįvykdymą ar netinkamą vykdymą.</w:t>
                  </w:r>
                </w:p>
              </w:sdtContent>
            </w:sdt>
            <w:sdt>
              <w:sdtPr>
                <w:alias w:val="2.4 pp."/>
                <w:tag w:val="part_416f720b1b0f48d986d18df9fea81ac9"/>
                <w:lock w:val="sdtLocked"/>
                <w:richText/>
              </w:sdtPr>
              <w:sdtContent>
                <w:p>
                  <w:pPr>
                    <w:widowControl w:val="0"/>
                    <w:spacing w:line="276" w:lineRule="auto"/>
                    <w:ind w:firstLine="709"/>
                    <w:jc w:val="both"/>
                    <w:rPr>
                      <w:kern w:val="2"/>
                      <w:szCs w:val="24"/>
                    </w:rPr>
                  </w:pPr>
                  <w:sdt>
                    <w:sdtPr>
                      <w:alias w:val="Numeris"/>
                      <w:tag w:val="nr_416f720b1b0f48d986d18df9fea81ac9"/>
                      <w:lock w:val="sdtLocked"/>
                      <w:richText/>
                    </w:sdtPr>
                    <w:sdtContent>
                      <w:r>
                        <w:rPr>
                          <w:kern w:val="2"/>
                          <w:szCs w:val="24"/>
                        </w:rPr>
                        <w:t>2.4</w:t>
                      </w:r>
                    </w:sdtContent>
                  </w:sdt>
                  <w:r>
                    <w:rPr>
                      <w:kern w:val="2"/>
                      <w:szCs w:val="24"/>
                    </w:rPr>
                    <w:t xml:space="preserve">. Projekto įgyvendinimo metu Projekto vykdytojas ir Partneris </w:t>
                  </w:r>
                  <w:r>
                    <w:rPr>
                      <w:spacing w:val="10"/>
                      <w:kern w:val="2"/>
                      <w:szCs w:val="24"/>
                    </w:rPr>
                    <w:t>vienas iš kito negali pirkti jokių prekių, paslaugų ir (ar) darbų, kurios reikalingos Projekto įgyvendinimui.</w:t>
                  </w:r>
                </w:p>
                <w:p>
                  <w:pPr>
                    <w:widowControl w:val="0"/>
                    <w:shd w:val="clear" w:color="auto" w:fill="FFFFFF"/>
                    <w:spacing w:line="276" w:lineRule="auto"/>
                    <w:rPr>
                      <w:spacing w:val="10"/>
                      <w:kern w:val="2"/>
                      <w:szCs w:val="24"/>
                    </w:rPr>
                  </w:pPr>
                </w:p>
              </w:sdtContent>
            </w:sdt>
          </w:sdtContent>
        </w:sdt>
        <w:sdt>
          <w:sdtPr>
            <w:alias w:val="skyrius"/>
            <w:tag w:val="part_8741627986e9444dae98ef490785583a"/>
            <w:lock w:val="sdtLocked"/>
            <w:richText/>
          </w:sdtPr>
          <w:sdtContent>
            <w:p>
              <w:pPr>
                <w:keepNext/>
                <w:keepLines/>
                <w:widowControl w:val="0"/>
                <w:tabs>
                  <w:tab w:val="left" w:pos="3402"/>
                  <w:tab w:val="left" w:pos="8758"/>
                </w:tabs>
                <w:spacing w:line="276" w:lineRule="auto"/>
                <w:jc w:val="center"/>
                <w:outlineLvl w:val="4"/>
                <w:rPr>
                  <w:b/>
                  <w:spacing w:val="10"/>
                  <w:kern w:val="2"/>
                  <w:szCs w:val="24"/>
                  <w:shd w:val="clear" w:color="auto" w:fill="FFFFFF"/>
                </w:rPr>
              </w:pPr>
              <w:sdt>
                <w:sdtPr>
                  <w:alias w:val="Numeris"/>
                  <w:tag w:val="nr_8741627986e9444dae98ef490785583a"/>
                  <w:lock w:val="sdtLocked"/>
                  <w:richText/>
                </w:sdtPr>
                <w:sdtContent>
                  <w:r>
                    <w:rPr>
                      <w:b/>
                      <w:spacing w:val="10"/>
                      <w:kern w:val="2"/>
                      <w:szCs w:val="24"/>
                      <w:shd w:val="clear" w:color="auto" w:fill="FFFFFF"/>
                    </w:rPr>
                    <w:t>III</w:t>
                  </w:r>
                </w:sdtContent>
              </w:sdt>
              <w:r>
                <w:rPr>
                  <w:b/>
                  <w:spacing w:val="10"/>
                  <w:kern w:val="2"/>
                  <w:szCs w:val="24"/>
                  <w:shd w:val="clear" w:color="auto" w:fill="FFFFFF"/>
                </w:rPr>
                <w:t xml:space="preserve"> SKYRIUS</w:t>
              </w:r>
            </w:p>
            <w:p>
              <w:pPr>
                <w:keepNext/>
                <w:keepLines/>
                <w:widowControl w:val="0"/>
                <w:tabs>
                  <w:tab w:val="left" w:pos="3402"/>
                  <w:tab w:val="left" w:pos="8758"/>
                </w:tabs>
                <w:spacing w:line="276" w:lineRule="auto"/>
                <w:jc w:val="center"/>
                <w:outlineLvl w:val="4"/>
                <w:rPr>
                  <w:b/>
                  <w:spacing w:val="10"/>
                  <w:kern w:val="2"/>
                  <w:szCs w:val="24"/>
                </w:rPr>
              </w:pPr>
              <w:sdt>
                <w:sdtPr>
                  <w:alias w:val="Pavadinimas"/>
                  <w:tag w:val="title_8741627986e9444dae98ef490785583a"/>
                  <w:lock w:val="sdtLocked"/>
                  <w:richText/>
                </w:sdtPr>
                <w:sdtContent>
                  <w:r>
                    <w:rPr>
                      <w:b/>
                      <w:spacing w:val="10"/>
                      <w:kern w:val="2"/>
                      <w:szCs w:val="24"/>
                      <w:shd w:val="clear" w:color="auto" w:fill="FFFFFF"/>
                    </w:rPr>
                    <w:t>ŠALIŲ ĮSIPAREIGOJIMAI</w:t>
                  </w:r>
                </w:sdtContent>
              </w:sdt>
            </w:p>
            <w:p>
              <w:pPr>
                <w:keepNext/>
                <w:keepLines/>
                <w:widowControl w:val="0"/>
                <w:tabs>
                  <w:tab w:val="left" w:pos="3402"/>
                  <w:tab w:val="left" w:pos="8758"/>
                </w:tabs>
                <w:spacing w:line="276" w:lineRule="auto"/>
                <w:ind w:left="1440"/>
                <w:outlineLvl w:val="4"/>
                <w:rPr>
                  <w:b/>
                  <w:spacing w:val="10"/>
                  <w:kern w:val="2"/>
                  <w:szCs w:val="24"/>
                </w:rPr>
              </w:pPr>
            </w:p>
            <w:sdt>
              <w:sdtPr>
                <w:alias w:val="3.1 pp."/>
                <w:tag w:val="part_1a41438ff89e49fba45053ece20b14f6"/>
                <w:lock w:val="sdtLocked"/>
                <w:richText/>
              </w:sdtPr>
              <w:sdtContent>
                <w:p>
                  <w:pPr>
                    <w:widowControl w:val="0"/>
                    <w:tabs>
                      <w:tab w:val="left" w:pos="8758"/>
                    </w:tabs>
                    <w:spacing w:line="276" w:lineRule="auto"/>
                    <w:ind w:firstLine="709"/>
                    <w:jc w:val="both"/>
                    <w:rPr>
                      <w:b/>
                      <w:bCs/>
                      <w:kern w:val="2"/>
                      <w:szCs w:val="24"/>
                    </w:rPr>
                  </w:pPr>
                  <w:sdt>
                    <w:sdtPr>
                      <w:alias w:val="Numeris"/>
                      <w:tag w:val="nr_1a41438ff89e49fba45053ece20b14f6"/>
                      <w:lock w:val="sdtLocked"/>
                      <w:richText/>
                    </w:sdtPr>
                    <w:sdtContent>
                      <w:r>
                        <w:rPr>
                          <w:b/>
                          <w:bCs/>
                          <w:kern w:val="2"/>
                          <w:szCs w:val="24"/>
                        </w:rPr>
                        <w:t>3.1</w:t>
                      </w:r>
                    </w:sdtContent>
                  </w:sdt>
                  <w:r>
                    <w:rPr>
                      <w:b/>
                      <w:bCs/>
                      <w:kern w:val="2"/>
                      <w:szCs w:val="24"/>
                    </w:rPr>
                    <w:t>. Projekto vykdytojas įsipareigoja:</w:t>
                  </w:r>
                </w:p>
                <w:sdt>
                  <w:sdtPr>
                    <w:alias w:val="3.1.1 pp."/>
                    <w:tag w:val="part_4593f55bb2604748a6a07425d2bcee37"/>
                    <w:lock w:val="sdtLocked"/>
                    <w:richText/>
                  </w:sdtPr>
                  <w:sdtContent>
                    <w:p>
                      <w:pPr>
                        <w:widowControl w:val="0"/>
                        <w:tabs>
                          <w:tab w:val="left" w:pos="851"/>
                          <w:tab w:val="left" w:pos="1560"/>
                        </w:tabs>
                        <w:spacing w:line="276" w:lineRule="auto"/>
                        <w:ind w:firstLine="709"/>
                        <w:jc w:val="both"/>
                        <w:rPr>
                          <w:kern w:val="2"/>
                          <w:szCs w:val="24"/>
                        </w:rPr>
                      </w:pPr>
                      <w:sdt>
                        <w:sdtPr>
                          <w:alias w:val="Numeris"/>
                          <w:tag w:val="nr_4593f55bb2604748a6a07425d2bcee37"/>
                          <w:lock w:val="sdtLocked"/>
                          <w:richText/>
                        </w:sdtPr>
                        <w:sdtContent>
                          <w:r>
                            <w:rPr>
                              <w:kern w:val="2"/>
                              <w:szCs w:val="24"/>
                            </w:rPr>
                            <w:t>3.1.1</w:t>
                          </w:r>
                        </w:sdtContent>
                      </w:sdt>
                      <w:r>
                        <w:rPr>
                          <w:kern w:val="2"/>
                          <w:szCs w:val="24"/>
                        </w:rPr>
                        <w:t>.</w:t>
                        <w:tab/>
                        <w:t>administruoti Projektą – skirti žmogiškuosius, techninius, intelektinius, materialinius ir kitokio pobūdžio išteklius, reikalingus ir leidžiančius tinkamai vykdyti Sutartimi prisiimtus įsipareigojimus, ir būtinus užtikrinti tinkamą Projekto įgyvendinimą;</w:t>
                      </w:r>
                    </w:p>
                  </w:sdtContent>
                </w:sdt>
                <w:sdt>
                  <w:sdtPr>
                    <w:alias w:val="3.1.2 pp."/>
                    <w:tag w:val="part_91ab1fbf637b43f4a6a373232a0167b1"/>
                    <w:lock w:val="sdtLocked"/>
                    <w:richText/>
                  </w:sdtPr>
                  <w:sdtContent>
                    <w:p>
                      <w:pPr>
                        <w:widowControl w:val="0"/>
                        <w:tabs>
                          <w:tab w:val="left" w:pos="851"/>
                          <w:tab w:val="left" w:pos="1560"/>
                        </w:tabs>
                        <w:spacing w:line="276" w:lineRule="auto"/>
                        <w:ind w:firstLine="709"/>
                        <w:jc w:val="both"/>
                        <w:rPr>
                          <w:kern w:val="2"/>
                          <w:szCs w:val="24"/>
                        </w:rPr>
                      </w:pPr>
                      <w:sdt>
                        <w:sdtPr>
                          <w:alias w:val="Numeris"/>
                          <w:tag w:val="nr_91ab1fbf637b43f4a6a373232a0167b1"/>
                          <w:lock w:val="sdtLocked"/>
                          <w:richText/>
                        </w:sdtPr>
                        <w:sdtContent>
                          <w:r>
                            <w:rPr>
                              <w:kern w:val="2"/>
                              <w:szCs w:val="24"/>
                            </w:rPr>
                            <w:t>3.1.2</w:t>
                          </w:r>
                        </w:sdtContent>
                      </w:sdt>
                      <w:r>
                        <w:rPr>
                          <w:kern w:val="2"/>
                          <w:szCs w:val="24"/>
                        </w:rPr>
                        <w:t xml:space="preserve">. registruoti visas su Projekto įgyvendinimu susijusias ūkines operacijas, saugoti su šiomis ūkinėmis operacijomis susijusius pagrindžiančius dokumentus; </w:t>
                      </w:r>
                    </w:p>
                  </w:sdtContent>
                </w:sdt>
                <w:sdt>
                  <w:sdtPr>
                    <w:alias w:val="3.1.3 pp."/>
                    <w:tag w:val="part_f67935e7e71d45e88d41ce88b5a0e5a9"/>
                    <w:lock w:val="sdtLocked"/>
                    <w:richText/>
                  </w:sdtPr>
                  <w:sdtContent>
                    <w:p>
                      <w:pPr>
                        <w:widowControl w:val="0"/>
                        <w:tabs>
                          <w:tab w:val="left" w:pos="851"/>
                          <w:tab w:val="left" w:pos="1560"/>
                        </w:tabs>
                        <w:spacing w:line="276" w:lineRule="auto"/>
                        <w:ind w:firstLine="709"/>
                        <w:jc w:val="both"/>
                        <w:rPr>
                          <w:kern w:val="2"/>
                          <w:szCs w:val="24"/>
                        </w:rPr>
                      </w:pPr>
                      <w:sdt>
                        <w:sdtPr>
                          <w:alias w:val="Numeris"/>
                          <w:tag w:val="nr_f67935e7e71d45e88d41ce88b5a0e5a9"/>
                          <w:lock w:val="sdtLocked"/>
                          <w:richText/>
                        </w:sdtPr>
                        <w:sdtContent>
                          <w:r>
                            <w:rPr>
                              <w:kern w:val="2"/>
                              <w:szCs w:val="24"/>
                            </w:rPr>
                            <w:t>3.1.3</w:t>
                          </w:r>
                        </w:sdtContent>
                      </w:sdt>
                      <w:r>
                        <w:rPr>
                          <w:kern w:val="2"/>
                          <w:szCs w:val="24"/>
                        </w:rPr>
                        <w:t>. užtikrinti tinkamą Projekto finansinės apskaitos atskyrimą nuo bendros Projekto vykdytojo finansinės apskaitos. Su Projektu susiję finansinės apskaitos įrašai turi būti lengvai atskiriami nuo kitų Projekto vykdytojo operacijų arba kitų Projekto vykdytojo vykdomų projektų operacijų;</w:t>
                      </w:r>
                    </w:p>
                  </w:sdtContent>
                </w:sdt>
                <w:sdt>
                  <w:sdtPr>
                    <w:alias w:val="3.1.4 pp."/>
                    <w:tag w:val="part_bc67fb73d77240bea171eb0c7953a60c"/>
                    <w:lock w:val="sdtLocked"/>
                    <w:richText/>
                  </w:sdtPr>
                  <w:sdtContent>
                    <w:p>
                      <w:pPr>
                        <w:widowControl w:val="0"/>
                        <w:tabs>
                          <w:tab w:val="left" w:pos="851"/>
                          <w:tab w:val="left" w:pos="1560"/>
                        </w:tabs>
                        <w:spacing w:line="276" w:lineRule="auto"/>
                        <w:ind w:firstLine="709"/>
                        <w:jc w:val="both"/>
                        <w:rPr>
                          <w:kern w:val="2"/>
                          <w:szCs w:val="24"/>
                        </w:rPr>
                      </w:pPr>
                      <w:sdt>
                        <w:sdtPr>
                          <w:alias w:val="Numeris"/>
                          <w:tag w:val="nr_bc67fb73d77240bea171eb0c7953a60c"/>
                          <w:lock w:val="sdtLocked"/>
                          <w:richText/>
                        </w:sdtPr>
                        <w:sdtContent>
                          <w:r>
                            <w:rPr>
                              <w:kern w:val="2"/>
                              <w:szCs w:val="24"/>
                            </w:rPr>
                            <w:t>3.1.4</w:t>
                          </w:r>
                        </w:sdtContent>
                      </w:sdt>
                      <w:r>
                        <w:rPr>
                          <w:kern w:val="2"/>
                          <w:szCs w:val="24"/>
                        </w:rPr>
                        <w:t>. surinkęs išlaidas pagrindžiančius dokumentus iš Partnerio, teikti veiklos ataskaitą administruojančiajai institucijai;</w:t>
                      </w:r>
                    </w:p>
                  </w:sdtContent>
                </w:sdt>
                <w:sdt>
                  <w:sdtPr>
                    <w:alias w:val="3.1.5 pp."/>
                    <w:tag w:val="part_b5e836a85cb14233aca1edc1b2c230a6"/>
                    <w:lock w:val="sdtLocked"/>
                    <w:richText/>
                  </w:sdtPr>
                  <w:sdtContent>
                    <w:p>
                      <w:pPr>
                        <w:widowControl w:val="0"/>
                        <w:tabs>
                          <w:tab w:val="left" w:pos="851"/>
                          <w:tab w:val="left" w:pos="1509"/>
                          <w:tab w:val="left" w:pos="1560"/>
                        </w:tabs>
                        <w:spacing w:line="276" w:lineRule="auto"/>
                        <w:ind w:firstLine="709"/>
                        <w:jc w:val="both"/>
                        <w:rPr>
                          <w:kern w:val="2"/>
                          <w:szCs w:val="24"/>
                        </w:rPr>
                      </w:pPr>
                      <w:sdt>
                        <w:sdtPr>
                          <w:alias w:val="Numeris"/>
                          <w:tag w:val="nr_b5e836a85cb14233aca1edc1b2c230a6"/>
                          <w:lock w:val="sdtLocked"/>
                          <w:richText/>
                        </w:sdtPr>
                        <w:sdtContent>
                          <w:r>
                            <w:rPr>
                              <w:kern w:val="2"/>
                              <w:szCs w:val="24"/>
                            </w:rPr>
                            <w:t>3.1.5</w:t>
                          </w:r>
                        </w:sdtContent>
                      </w:sdt>
                      <w:r>
                        <w:rPr>
                          <w:kern w:val="2"/>
                          <w:szCs w:val="24"/>
                        </w:rPr>
                        <w:t>. užtikrinti, kad Partneris būtų tinkamai informuotas apie jo pareigas, susijusias su Sutartimi prisiimtų įsipareigojimų vykdymu ir Projekto įgyvendinimu, taip pat laikytųsi visų su Projekto įgyvendinimu susijusių įsipareigojimų, nustatytų Sutartyje, Taisyklėse ir kituose Lietuvos Respublikos teisės aktuose, reglamentuojančiuose Projekto įgyvendinimą;</w:t>
                      </w:r>
                    </w:p>
                  </w:sdtContent>
                </w:sdt>
                <w:sdt>
                  <w:sdtPr>
                    <w:alias w:val="3.1.6 pp."/>
                    <w:tag w:val="part_16022be430fc43debeda64374ed1e171"/>
                    <w:lock w:val="sdtLocked"/>
                    <w:richText/>
                  </w:sdtPr>
                  <w:sdtContent>
                    <w:p>
                      <w:pPr>
                        <w:widowControl w:val="0"/>
                        <w:tabs>
                          <w:tab w:val="left" w:pos="851"/>
                          <w:tab w:val="left" w:pos="1509"/>
                          <w:tab w:val="left" w:pos="1560"/>
                        </w:tabs>
                        <w:spacing w:line="276" w:lineRule="auto"/>
                        <w:ind w:firstLine="709"/>
                        <w:jc w:val="both"/>
                        <w:rPr>
                          <w:kern w:val="2"/>
                          <w:szCs w:val="24"/>
                        </w:rPr>
                      </w:pPr>
                      <w:sdt>
                        <w:sdtPr>
                          <w:alias w:val="Numeris"/>
                          <w:tag w:val="nr_16022be430fc43debeda64374ed1e171"/>
                          <w:lock w:val="sdtLocked"/>
                          <w:richText/>
                        </w:sdtPr>
                        <w:sdtContent>
                          <w:r>
                            <w:rPr>
                              <w:kern w:val="2"/>
                              <w:szCs w:val="24"/>
                            </w:rPr>
                            <w:t>3.1.6</w:t>
                          </w:r>
                        </w:sdtContent>
                      </w:sdt>
                      <w:r>
                        <w:rPr>
                          <w:kern w:val="2"/>
                          <w:szCs w:val="24"/>
                        </w:rPr>
                        <w:t>. atlikti Projekto viešinimo priemonių įgyvendinimą;</w:t>
                      </w:r>
                    </w:p>
                  </w:sdtContent>
                </w:sdt>
                <w:sdt>
                  <w:sdtPr>
                    <w:alias w:val="3.1.7 pp."/>
                    <w:tag w:val="part_e2154bf4832b4a7c8c3c2e1de0650bd1"/>
                    <w:lock w:val="sdtLocked"/>
                    <w:richText/>
                  </w:sdtPr>
                  <w:sdtContent>
                    <w:p>
                      <w:pPr>
                        <w:widowControl w:val="0"/>
                        <w:tabs>
                          <w:tab w:val="left" w:pos="851"/>
                          <w:tab w:val="left" w:pos="1509"/>
                          <w:tab w:val="left" w:pos="1560"/>
                        </w:tabs>
                        <w:spacing w:line="276" w:lineRule="auto"/>
                        <w:ind w:firstLine="709"/>
                        <w:jc w:val="both"/>
                        <w:rPr>
                          <w:kern w:val="2"/>
                          <w:szCs w:val="24"/>
                        </w:rPr>
                      </w:pPr>
                      <w:sdt>
                        <w:sdtPr>
                          <w:alias w:val="Numeris"/>
                          <w:tag w:val="nr_e2154bf4832b4a7c8c3c2e1de0650bd1"/>
                          <w:lock w:val="sdtLocked"/>
                          <w:richText/>
                        </w:sdtPr>
                        <w:sdtContent>
                          <w:r>
                            <w:rPr>
                              <w:kern w:val="2"/>
                              <w:szCs w:val="24"/>
                            </w:rPr>
                            <w:t>3.1.7</w:t>
                          </w:r>
                        </w:sdtContent>
                      </w:sdt>
                      <w:r>
                        <w:rPr>
                          <w:kern w:val="2"/>
                          <w:szCs w:val="24"/>
                        </w:rPr>
                        <w:t>. nurodyti Partneriui, kokiu būdu (el. paštu, paštu, prisijungiant prie informacinių sistemų, organizuojant susitikimus ar kt.), kokia tvarka ir forma Projekto vykdytojui turi būti teikiama informacija, susijusi su Projekto įgyvendinimu;</w:t>
                      </w:r>
                    </w:p>
                  </w:sdtContent>
                </w:sdt>
                <w:sdt>
                  <w:sdtPr>
                    <w:alias w:val="3.1.8 pp."/>
                    <w:tag w:val="part_e968b21d46e942aa85232d43c5225fc6"/>
                    <w:lock w:val="sdtLocked"/>
                    <w:richText/>
                  </w:sdtPr>
                  <w:sdtContent>
                    <w:p>
                      <w:pPr>
                        <w:widowControl w:val="0"/>
                        <w:tabs>
                          <w:tab w:val="left" w:pos="851"/>
                          <w:tab w:val="left" w:pos="1509"/>
                          <w:tab w:val="left" w:pos="1560"/>
                        </w:tabs>
                        <w:spacing w:line="276" w:lineRule="auto"/>
                        <w:ind w:firstLine="709"/>
                        <w:jc w:val="both"/>
                        <w:rPr>
                          <w:kern w:val="2"/>
                          <w:szCs w:val="24"/>
                        </w:rPr>
                      </w:pPr>
                      <w:sdt>
                        <w:sdtPr>
                          <w:alias w:val="Numeris"/>
                          <w:tag w:val="nr_e968b21d46e942aa85232d43c5225fc6"/>
                          <w:lock w:val="sdtLocked"/>
                          <w:richText/>
                        </w:sdtPr>
                        <w:sdtContent>
                          <w:r>
                            <w:rPr>
                              <w:kern w:val="2"/>
                              <w:szCs w:val="24"/>
                            </w:rPr>
                            <w:t>3.1.8</w:t>
                          </w:r>
                        </w:sdtContent>
                      </w:sdt>
                      <w:r>
                        <w:rPr>
                          <w:kern w:val="2"/>
                          <w:szCs w:val="24"/>
                        </w:rPr>
                        <w:t>. pateikti Partneriui jo paskirto asmens kontaktiniu el. paštu Projekto vykdytojui privalomų pateikti dokumentų sąrašą ir nurodyti dokumentų teikimo periodiškumą ar konkrečius terminus;</w:t>
                      </w:r>
                    </w:p>
                  </w:sdtContent>
                </w:sdt>
                <w:sdt>
                  <w:sdtPr>
                    <w:alias w:val="3.1.9 pp."/>
                    <w:tag w:val="part_ecbc6885f7e847399ed7ab41468e00b5"/>
                    <w:lock w:val="sdtLocked"/>
                    <w:richText/>
                  </w:sdtPr>
                  <w:sdtContent>
                    <w:p>
                      <w:pPr>
                        <w:widowControl w:val="0"/>
                        <w:tabs>
                          <w:tab w:val="left" w:pos="851"/>
                          <w:tab w:val="left" w:pos="1444"/>
                          <w:tab w:val="left" w:pos="1560"/>
                        </w:tabs>
                        <w:spacing w:line="276" w:lineRule="auto"/>
                        <w:ind w:firstLine="709"/>
                        <w:jc w:val="both"/>
                        <w:rPr>
                          <w:kern w:val="2"/>
                          <w:szCs w:val="24"/>
                        </w:rPr>
                      </w:pPr>
                      <w:sdt>
                        <w:sdtPr>
                          <w:alias w:val="Numeris"/>
                          <w:tag w:val="nr_ecbc6885f7e847399ed7ab41468e00b5"/>
                          <w:lock w:val="sdtLocked"/>
                          <w:richText/>
                        </w:sdtPr>
                        <w:sdtContent>
                          <w:r>
                            <w:rPr>
                              <w:spacing w:val="10"/>
                              <w:kern w:val="2"/>
                              <w:szCs w:val="24"/>
                            </w:rPr>
                            <w:t>3.1.9</w:t>
                          </w:r>
                        </w:sdtContent>
                      </w:sdt>
                      <w:r>
                        <w:rPr>
                          <w:spacing w:val="10"/>
                          <w:kern w:val="2"/>
                          <w:szCs w:val="24"/>
                        </w:rPr>
                        <w:t>. dėti visas pastangas, kad Projekto stebėsenos rodikliai būtų įgyvendinti;</w:t>
                      </w:r>
                    </w:p>
                  </w:sdtContent>
                </w:sdt>
                <w:sdt>
                  <w:sdtPr>
                    <w:alias w:val="3.1.10 pp."/>
                    <w:tag w:val="part_5aa47c927e30448a8256d639f2db46e9"/>
                    <w:lock w:val="sdtLocked"/>
                    <w:richText/>
                  </w:sdtPr>
                  <w:sdtContent>
                    <w:p>
                      <w:pPr>
                        <w:widowControl w:val="0"/>
                        <w:tabs>
                          <w:tab w:val="left" w:pos="851"/>
                          <w:tab w:val="left" w:pos="1418"/>
                        </w:tabs>
                        <w:spacing w:line="276" w:lineRule="auto"/>
                        <w:ind w:firstLine="709"/>
                        <w:jc w:val="both"/>
                        <w:rPr>
                          <w:kern w:val="2"/>
                          <w:szCs w:val="24"/>
                        </w:rPr>
                      </w:pPr>
                      <w:sdt>
                        <w:sdtPr>
                          <w:alias w:val="Numeris"/>
                          <w:tag w:val="nr_5aa47c927e30448a8256d639f2db46e9"/>
                          <w:lock w:val="sdtLocked"/>
                          <w:richText/>
                        </w:sdtPr>
                        <w:sdtContent>
                          <w:r>
                            <w:rPr>
                              <w:kern w:val="2"/>
                              <w:szCs w:val="24"/>
                            </w:rPr>
                            <w:t>3.1.10</w:t>
                          </w:r>
                        </w:sdtContent>
                      </w:sdt>
                      <w:r>
                        <w:rPr>
                          <w:kern w:val="2"/>
                          <w:szCs w:val="24"/>
                        </w:rPr>
                        <w:t xml:space="preserve">. informuoti Partnerį apie Projekto veiklų vykdymo ir administravimo tvarkos pakeitimus; </w:t>
                      </w:r>
                    </w:p>
                  </w:sdtContent>
                </w:sdt>
                <w:sdt>
                  <w:sdtPr>
                    <w:alias w:val="3.1.11 pp."/>
                    <w:tag w:val="part_1fefa66b90c54ca886846c30dddfcc10"/>
                    <w:lock w:val="sdtLocked"/>
                    <w:richText/>
                  </w:sdtPr>
                  <w:sdtContent>
                    <w:p>
                      <w:pPr>
                        <w:widowControl w:val="0"/>
                        <w:tabs>
                          <w:tab w:val="left" w:pos="851"/>
                          <w:tab w:val="left" w:pos="1418"/>
                        </w:tabs>
                        <w:spacing w:line="276" w:lineRule="auto"/>
                        <w:ind w:firstLine="709"/>
                        <w:jc w:val="both"/>
                        <w:rPr>
                          <w:kern w:val="2"/>
                          <w:szCs w:val="24"/>
                        </w:rPr>
                      </w:pPr>
                      <w:sdt>
                        <w:sdtPr>
                          <w:alias w:val="Numeris"/>
                          <w:tag w:val="nr_1fefa66b90c54ca886846c30dddfcc10"/>
                          <w:lock w:val="sdtLocked"/>
                          <w:richText/>
                        </w:sdtPr>
                        <w:sdtContent>
                          <w:r>
                            <w:rPr>
                              <w:kern w:val="2"/>
                              <w:szCs w:val="24"/>
                            </w:rPr>
                            <w:t>3.1.11</w:t>
                          </w:r>
                        </w:sdtContent>
                      </w:sdt>
                      <w:r>
                        <w:rPr>
                          <w:kern w:val="2"/>
                          <w:szCs w:val="24"/>
                        </w:rPr>
                        <w:t>. teikti kitą reikalingą informaciją administruojančiai institucijai.</w:t>
                      </w:r>
                    </w:p>
                  </w:sdtContent>
                </w:sdt>
              </w:sdtContent>
            </w:sdt>
            <w:sdt>
              <w:sdtPr>
                <w:alias w:val="3.2 pp."/>
                <w:tag w:val="part_ee643f3b750c4c61bc819e973c50491f"/>
                <w:lock w:val="sdtLocked"/>
                <w:richText/>
              </w:sdtPr>
              <w:sdtContent>
                <w:p>
                  <w:pPr>
                    <w:widowControl w:val="0"/>
                    <w:tabs>
                      <w:tab w:val="left" w:pos="709"/>
                      <w:tab w:val="left" w:pos="1560"/>
                    </w:tabs>
                    <w:spacing w:line="276" w:lineRule="auto"/>
                    <w:ind w:firstLine="709"/>
                    <w:jc w:val="both"/>
                    <w:rPr>
                      <w:b/>
                      <w:bCs/>
                      <w:kern w:val="2"/>
                      <w:szCs w:val="24"/>
                    </w:rPr>
                  </w:pPr>
                  <w:sdt>
                    <w:sdtPr>
                      <w:alias w:val="Numeris"/>
                      <w:tag w:val="nr_ee643f3b750c4c61bc819e973c50491f"/>
                      <w:lock w:val="sdtLocked"/>
                      <w:richText/>
                    </w:sdtPr>
                    <w:sdtContent>
                      <w:r>
                        <w:rPr>
                          <w:b/>
                          <w:bCs/>
                          <w:kern w:val="2"/>
                          <w:szCs w:val="24"/>
                        </w:rPr>
                        <w:t>3.2</w:t>
                      </w:r>
                    </w:sdtContent>
                  </w:sdt>
                  <w:r>
                    <w:rPr>
                      <w:b/>
                      <w:bCs/>
                      <w:kern w:val="2"/>
                      <w:szCs w:val="24"/>
                    </w:rPr>
                    <w:t>. Partneris įsipareigoja:</w:t>
                  </w:r>
                </w:p>
                <w:sdt>
                  <w:sdtPr>
                    <w:alias w:val="3.2.1 pp."/>
                    <w:tag w:val="part_1a66d8ef47574352bd27b149bcea10a4"/>
                    <w:lock w:val="sdtLocked"/>
                    <w:richText/>
                  </w:sdtPr>
                  <w:sdtContent>
                    <w:p>
                      <w:pPr>
                        <w:widowControl w:val="0"/>
                        <w:tabs>
                          <w:tab w:val="left" w:pos="709"/>
                          <w:tab w:val="left" w:pos="1560"/>
                        </w:tabs>
                        <w:spacing w:line="276" w:lineRule="auto"/>
                        <w:ind w:firstLine="709"/>
                        <w:jc w:val="both"/>
                        <w:rPr>
                          <w:b/>
                          <w:bCs/>
                          <w:kern w:val="2"/>
                          <w:szCs w:val="24"/>
                        </w:rPr>
                      </w:pPr>
                      <w:sdt>
                        <w:sdtPr>
                          <w:alias w:val="Numeris"/>
                          <w:tag w:val="nr_1a66d8ef47574352bd27b149bcea10a4"/>
                          <w:lock w:val="sdtLocked"/>
                          <w:richText/>
                        </w:sdtPr>
                        <w:sdtContent>
                          <w:r>
                            <w:rPr>
                              <w:kern w:val="2"/>
                              <w:szCs w:val="24"/>
                            </w:rPr>
                            <w:t>3.2.1</w:t>
                          </w:r>
                        </w:sdtContent>
                      </w:sdt>
                      <w:r>
                        <w:rPr>
                          <w:kern w:val="2"/>
                          <w:szCs w:val="24"/>
                        </w:rPr>
                        <w:t>. vykdyti Aprašo 2.3 punkte ir Sutarties 1 priede numatytas veiklas, vadovaudamasis Apraše, Taisyklėse ir šioje Sutartyje nustatytais reikalavimais;</w:t>
                      </w:r>
                    </w:p>
                  </w:sdtContent>
                </w:sdt>
                <w:sdt>
                  <w:sdtPr>
                    <w:alias w:val="3.2.2 pp."/>
                    <w:tag w:val="part_3b1f700a3d75463ebd4948d30fdcc912"/>
                    <w:lock w:val="sdtLocked"/>
                    <w:richText/>
                  </w:sdtPr>
                  <w:sdtContent>
                    <w:p>
                      <w:pPr>
                        <w:widowControl w:val="0"/>
                        <w:tabs>
                          <w:tab w:val="left" w:pos="567"/>
                          <w:tab w:val="left" w:pos="851"/>
                        </w:tabs>
                        <w:spacing w:line="276" w:lineRule="auto"/>
                        <w:ind w:right="-1" w:firstLine="709"/>
                        <w:jc w:val="both"/>
                        <w:rPr>
                          <w:kern w:val="2"/>
                          <w:szCs w:val="24"/>
                          <w:lang w:val="lt"/>
                        </w:rPr>
                      </w:pPr>
                      <w:sdt>
                        <w:sdtPr>
                          <w:alias w:val="Numeris"/>
                          <w:tag w:val="nr_3b1f700a3d75463ebd4948d30fdcc912"/>
                          <w:lock w:val="sdtLocked"/>
                          <w:richText/>
                        </w:sdtPr>
                        <w:sdtContent>
                          <w:r>
                            <w:rPr>
                              <w:spacing w:val="10"/>
                              <w:kern w:val="2"/>
                              <w:szCs w:val="24"/>
                              <w:lang w:val="lt"/>
                            </w:rPr>
                            <w:t>3.2.2</w:t>
                          </w:r>
                        </w:sdtContent>
                      </w:sdt>
                      <w:r>
                        <w:rPr>
                          <w:spacing w:val="10"/>
                          <w:kern w:val="2"/>
                          <w:szCs w:val="24"/>
                          <w:lang w:val="lt"/>
                        </w:rPr>
                        <w:t>. bendradarbiauti su Projekto įgyvendinimą kontroliuojančiomis institucijomis, tame tarpe administruojančia institucija;</w:t>
                      </w:r>
                    </w:p>
                  </w:sdtContent>
                </w:sdt>
                <w:sdt>
                  <w:sdtPr>
                    <w:alias w:val="3.2.3 pp."/>
                    <w:tag w:val="part_2c8f418dd32947e9b049d2aac29faddf"/>
                    <w:lock w:val="sdtLocked"/>
                    <w:richText/>
                  </w:sdtPr>
                  <w:sdtContent>
                    <w:p>
                      <w:pPr>
                        <w:tabs>
                          <w:tab w:val="left" w:pos="851"/>
                        </w:tabs>
                        <w:spacing w:line="276" w:lineRule="auto"/>
                        <w:ind w:firstLine="709"/>
                        <w:jc w:val="both"/>
                        <w:rPr>
                          <w:szCs w:val="24"/>
                        </w:rPr>
                      </w:pPr>
                      <w:sdt>
                        <w:sdtPr>
                          <w:alias w:val="Numeris"/>
                          <w:tag w:val="nr_2c8f418dd32947e9b049d2aac29faddf"/>
                          <w:lock w:val="sdtLocked"/>
                          <w:richText/>
                        </w:sdtPr>
                        <w:sdtContent>
                          <w:r>
                            <w:rPr>
                              <w:szCs w:val="24"/>
                            </w:rPr>
                            <w:t>3.2.3</w:t>
                          </w:r>
                        </w:sdtContent>
                      </w:sdt>
                      <w:r>
                        <w:rPr>
                          <w:szCs w:val="24"/>
                        </w:rPr>
                        <w:t>. skirti žmogiškuosius, techninius, intelektinius išteklius, reikalingus ir leidžiančius tinkamai vykdyti Sutartimi prisiimtus įsipareigojimus, ir būtinus užtikrinti tinkamą Projekto įgyvendinimą;</w:t>
                      </w:r>
                    </w:p>
                  </w:sdtContent>
                </w:sdt>
                <w:sdt>
                  <w:sdtPr>
                    <w:alias w:val="3.2.4 pp."/>
                    <w:tag w:val="part_faaf62fcecb54c8dbf756f31df1fe842"/>
                    <w:lock w:val="sdtLocked"/>
                    <w:richText/>
                  </w:sdtPr>
                  <w:sdtContent>
                    <w:p>
                      <w:pPr>
                        <w:tabs>
                          <w:tab w:val="left" w:pos="851"/>
                        </w:tabs>
                        <w:spacing w:line="276" w:lineRule="auto"/>
                        <w:ind w:firstLine="709"/>
                        <w:jc w:val="both"/>
                        <w:rPr>
                          <w:szCs w:val="24"/>
                        </w:rPr>
                      </w:pPr>
                      <w:sdt>
                        <w:sdtPr>
                          <w:alias w:val="Numeris"/>
                          <w:tag w:val="nr_faaf62fcecb54c8dbf756f31df1fe842"/>
                          <w:lock w:val="sdtLocked"/>
                          <w:richText/>
                        </w:sdtPr>
                        <w:sdtContent>
                          <w:r>
                            <w:rPr>
                              <w:szCs w:val="24"/>
                            </w:rPr>
                            <w:t>3.2.4</w:t>
                          </w:r>
                        </w:sdtContent>
                      </w:sdt>
                      <w:r>
                        <w:rPr>
                          <w:szCs w:val="24"/>
                        </w:rPr>
                        <w:t>. užtikrinti, kad Projekto darbuotojai turėtų išsilavinimą ir kompetencijas reikalingas ir būtinas Projekte numatytų funkcijų ir pareigų vykdymui;</w:t>
                      </w:r>
                    </w:p>
                  </w:sdtContent>
                </w:sdt>
                <w:sdt>
                  <w:sdtPr>
                    <w:alias w:val="3.2.5 pp."/>
                    <w:tag w:val="part_0c95cd9b8c7145ccae61138ad3d97ef5"/>
                    <w:lock w:val="sdtLocked"/>
                    <w:richText/>
                  </w:sdtPr>
                  <w:sdtContent>
                    <w:p>
                      <w:pPr>
                        <w:tabs>
                          <w:tab w:val="left" w:pos="993"/>
                        </w:tabs>
                        <w:spacing w:line="276" w:lineRule="auto"/>
                        <w:ind w:firstLine="709"/>
                        <w:jc w:val="both"/>
                        <w:rPr>
                          <w:szCs w:val="24"/>
                        </w:rPr>
                      </w:pPr>
                      <w:sdt>
                        <w:sdtPr>
                          <w:alias w:val="Numeris"/>
                          <w:tag w:val="nr_0c95cd9b8c7145ccae61138ad3d97ef5"/>
                          <w:lock w:val="sdtLocked"/>
                          <w:richText/>
                        </w:sdtPr>
                        <w:sdtContent>
                          <w:r>
                            <w:rPr>
                              <w:szCs w:val="24"/>
                            </w:rPr>
                            <w:t>3.2.5</w:t>
                          </w:r>
                        </w:sdtContent>
                      </w:sdt>
                      <w:r>
                        <w:rPr>
                          <w:szCs w:val="24"/>
                        </w:rPr>
                        <w:t>. užtikrinti tinkamą Projekto finansinės apskaitos atskyrimą nuo bendros Partnerio finansinės apskaitos. Su Projektu susiję finansinės apskaitos įrašai turi būti lengvai atskiriami nuo kitų Partnerio operacijų arba kitų Partnerio vykdomų projektų operacijų;</w:t>
                      </w:r>
                    </w:p>
                  </w:sdtContent>
                </w:sdt>
                <w:sdt>
                  <w:sdtPr>
                    <w:alias w:val="3.2.6 pp."/>
                    <w:tag w:val="part_fee1464fa75d42e192a8452b91dbb882"/>
                    <w:lock w:val="sdtLocked"/>
                    <w:richText/>
                  </w:sdtPr>
                  <w:sdtContent>
                    <w:p>
                      <w:pPr>
                        <w:tabs>
                          <w:tab w:val="left" w:pos="1134"/>
                        </w:tabs>
                        <w:spacing w:line="276" w:lineRule="auto"/>
                        <w:ind w:firstLine="709"/>
                        <w:jc w:val="both"/>
                        <w:rPr>
                          <w:szCs w:val="24"/>
                        </w:rPr>
                      </w:pPr>
                      <w:sdt>
                        <w:sdtPr>
                          <w:alias w:val="Numeris"/>
                          <w:tag w:val="nr_fee1464fa75d42e192a8452b91dbb882"/>
                          <w:lock w:val="sdtLocked"/>
                          <w:richText/>
                        </w:sdtPr>
                        <w:sdtContent>
                          <w:r>
                            <w:rPr>
                              <w:color w:val="000000"/>
                              <w:szCs w:val="24"/>
                            </w:rPr>
                            <w:t>3.2.6</w:t>
                          </w:r>
                        </w:sdtContent>
                      </w:sdt>
                      <w:r>
                        <w:rPr>
                          <w:color w:val="000000"/>
                          <w:szCs w:val="24"/>
                        </w:rPr>
                        <w:t>. užtikrinti tinkamą informacijos, dokumentų parengimą bei pateikimą Projekto vykdytojui pagal Projekto vykdytojo pateikto Partnerio privalomų pateikti dokumentų sąrašą ir jų pateikimo periodiškumą ar konkrečius terminus;</w:t>
                      </w:r>
                    </w:p>
                  </w:sdtContent>
                </w:sdt>
                <w:sdt>
                  <w:sdtPr>
                    <w:alias w:val="3.2.7 pp."/>
                    <w:tag w:val="part_d2f1e5b086914633ac8a00961a704aed"/>
                    <w:lock w:val="sdtLocked"/>
                    <w:richText/>
                  </w:sdtPr>
                  <w:sdtContent>
                    <w:p>
                      <w:pPr>
                        <w:widowControl w:val="0"/>
                        <w:tabs>
                          <w:tab w:val="left" w:pos="426"/>
                          <w:tab w:val="left" w:pos="851"/>
                          <w:tab w:val="left" w:pos="1134"/>
                        </w:tabs>
                        <w:spacing w:line="276" w:lineRule="auto"/>
                        <w:ind w:right="-1" w:firstLine="709"/>
                        <w:jc w:val="both"/>
                        <w:rPr>
                          <w:rFonts w:eastAsia="Calibri"/>
                          <w:color w:val="000000"/>
                          <w:kern w:val="2"/>
                          <w:szCs w:val="24"/>
                          <w:lang w:val="lt"/>
                        </w:rPr>
                      </w:pPr>
                      <w:sdt>
                        <w:sdtPr>
                          <w:alias w:val="Numeris"/>
                          <w:tag w:val="nr_d2f1e5b086914633ac8a00961a704aed"/>
                          <w:lock w:val="sdtLocked"/>
                          <w:richText/>
                        </w:sdtPr>
                        <w:sdtContent>
                          <w:r>
                            <w:rPr>
                              <w:rFonts w:eastAsia="Calibri"/>
                              <w:color w:val="000000"/>
                              <w:kern w:val="2"/>
                              <w:szCs w:val="24"/>
                              <w:lang w:val="lt"/>
                            </w:rPr>
                            <w:t>3.2.7</w:t>
                          </w:r>
                        </w:sdtContent>
                      </w:sdt>
                      <w:r>
                        <w:rPr>
                          <w:rFonts w:eastAsia="Calibri"/>
                          <w:color w:val="000000"/>
                          <w:kern w:val="2"/>
                          <w:szCs w:val="24"/>
                          <w:lang w:val="lt"/>
                        </w:rPr>
                        <w:t xml:space="preserve">. vykdydamas Projekto veiklas, nedelsdamas raštu informuoti Projekto vykdytoją apie visus pasikeitimus ar neatitikimus reikalavimams, numatytiems Apraše, Projekto sutartyje ir (ar) Sutartyje; </w:t>
                      </w:r>
                    </w:p>
                  </w:sdtContent>
                </w:sdt>
                <w:sdt>
                  <w:sdtPr>
                    <w:alias w:val="3.2.8 pp."/>
                    <w:tag w:val="part_387cab21da9b482d80d39a20eac7220d"/>
                    <w:lock w:val="sdtLocked"/>
                    <w:richText/>
                  </w:sdtPr>
                  <w:sdtContent>
                    <w:p>
                      <w:pPr>
                        <w:widowControl w:val="0"/>
                        <w:tabs>
                          <w:tab w:val="left" w:pos="426"/>
                          <w:tab w:val="left" w:pos="1134"/>
                        </w:tabs>
                        <w:spacing w:line="276" w:lineRule="auto"/>
                        <w:ind w:right="-1" w:firstLine="709"/>
                        <w:jc w:val="both"/>
                        <w:rPr>
                          <w:color w:val="000000"/>
                          <w:spacing w:val="10"/>
                          <w:kern w:val="2"/>
                          <w:szCs w:val="24"/>
                          <w:shd w:val="clear" w:color="auto" w:fill="FFFFFF"/>
                        </w:rPr>
                      </w:pPr>
                      <w:sdt>
                        <w:sdtPr>
                          <w:alias w:val="Numeris"/>
                          <w:tag w:val="nr_387cab21da9b482d80d39a20eac7220d"/>
                          <w:lock w:val="sdtLocked"/>
                          <w:richText/>
                        </w:sdtPr>
                        <w:sdtContent>
                          <w:r>
                            <w:rPr>
                              <w:rFonts w:eastAsia="Calibri"/>
                              <w:color w:val="000000"/>
                              <w:kern w:val="2"/>
                              <w:szCs w:val="24"/>
                              <w:lang w:val="lt"/>
                            </w:rPr>
                            <w:t>3.2.8</w:t>
                          </w:r>
                        </w:sdtContent>
                      </w:sdt>
                      <w:r>
                        <w:rPr>
                          <w:rFonts w:eastAsia="Calibri"/>
                          <w:color w:val="000000"/>
                          <w:kern w:val="2"/>
                          <w:szCs w:val="24"/>
                          <w:lang w:val="lt"/>
                        </w:rPr>
                        <w:t xml:space="preserve">. teikti </w:t>
                      </w:r>
                      <w:r>
                        <w:rPr>
                          <w:rFonts w:eastAsia="Calibri"/>
                          <w:color w:val="000000"/>
                          <w:kern w:val="2"/>
                          <w:szCs w:val="24"/>
                        </w:rPr>
                        <w:t xml:space="preserve">Projekto vykdytojui </w:t>
                      </w:r>
                      <w:r>
                        <w:rPr>
                          <w:rFonts w:eastAsia="Calibri"/>
                          <w:color w:val="000000"/>
                          <w:kern w:val="2"/>
                          <w:szCs w:val="24"/>
                          <w:lang w:val="lt"/>
                        </w:rPr>
                        <w:t>visą informaciją, kuri reikalinga Projektui įgyvendinti</w:t>
                      </w:r>
                      <w:r>
                        <w:rPr>
                          <w:color w:val="000000"/>
                          <w:spacing w:val="10"/>
                          <w:kern w:val="2"/>
                          <w:szCs w:val="24"/>
                          <w:shd w:val="clear" w:color="auto" w:fill="FFFFFF"/>
                        </w:rPr>
                        <w:t xml:space="preserve">; </w:t>
                      </w:r>
                    </w:p>
                  </w:sdtContent>
                </w:sdt>
                <w:sdt>
                  <w:sdtPr>
                    <w:alias w:val="3.2.9 pp."/>
                    <w:tag w:val="part_ce37426949034807bec1866d6dce51b0"/>
                    <w:lock w:val="sdtLocked"/>
                    <w:richText/>
                  </w:sdtPr>
                  <w:sdtContent>
                    <w:p>
                      <w:pPr>
                        <w:widowControl w:val="0"/>
                        <w:spacing w:line="276" w:lineRule="auto"/>
                        <w:ind w:firstLine="709"/>
                        <w:jc w:val="both"/>
                        <w:rPr>
                          <w:rFonts w:eastAsia="Calibri"/>
                          <w:color w:val="000000"/>
                          <w:spacing w:val="10"/>
                          <w:szCs w:val="24"/>
                          <w:shd w:val="clear" w:color="auto" w:fill="FFFFFF"/>
                          <w:lang w:val="lt"/>
                        </w:rPr>
                      </w:pPr>
                      <w:sdt>
                        <w:sdtPr>
                          <w:alias w:val="Numeris"/>
                          <w:tag w:val="nr_ce37426949034807bec1866d6dce51b0"/>
                          <w:lock w:val="sdtLocked"/>
                          <w:richText/>
                        </w:sdtPr>
                        <w:sdtContent>
                          <w:r>
                            <w:rPr>
                              <w:rFonts w:eastAsia="Calibri"/>
                              <w:color w:val="000000"/>
                              <w:spacing w:val="10"/>
                              <w:szCs w:val="24"/>
                              <w:shd w:val="clear" w:color="auto" w:fill="FFFFFF"/>
                              <w:lang w:val="lt"/>
                            </w:rPr>
                            <w:t>3.2.9</w:t>
                          </w:r>
                        </w:sdtContent>
                      </w:sdt>
                      <w:r>
                        <w:rPr>
                          <w:rFonts w:eastAsia="Calibri"/>
                          <w:color w:val="000000"/>
                          <w:spacing w:val="10"/>
                          <w:szCs w:val="24"/>
                          <w:shd w:val="clear" w:color="auto" w:fill="FFFFFF"/>
                          <w:lang w:val="lt"/>
                        </w:rPr>
                        <w:t xml:space="preserve">. siekdamas savarankiškai teikti informaciją ir ataskaitas suinteresuotoms institucijoms prieš tai informacijos ir ataskaitų teikimą suderinti su Projekto vykdytoju; </w:t>
                      </w:r>
                    </w:p>
                  </w:sdtContent>
                </w:sdt>
                <w:sdt>
                  <w:sdtPr>
                    <w:alias w:val="3.2.10 pp."/>
                    <w:tag w:val="part_1c659ade19bd443d89be5c1dc6fcc328"/>
                    <w:lock w:val="sdtLocked"/>
                    <w:richText/>
                  </w:sdtPr>
                  <w:sdtContent>
                    <w:p>
                      <w:pPr>
                        <w:widowControl w:val="0"/>
                        <w:spacing w:line="276" w:lineRule="auto"/>
                        <w:ind w:firstLine="709"/>
                        <w:jc w:val="both"/>
                        <w:rPr>
                          <w:rFonts w:eastAsia="Calibri"/>
                          <w:color w:val="000000"/>
                          <w:spacing w:val="10"/>
                          <w:szCs w:val="24"/>
                          <w:shd w:val="clear" w:color="auto" w:fill="FFFFFF"/>
                          <w:lang w:val="lt"/>
                        </w:rPr>
                      </w:pPr>
                      <w:sdt>
                        <w:sdtPr>
                          <w:alias w:val="Numeris"/>
                          <w:tag w:val="nr_1c659ade19bd443d89be5c1dc6fcc328"/>
                          <w:lock w:val="sdtLocked"/>
                          <w:richText/>
                        </w:sdtPr>
                        <w:sdtContent>
                          <w:r>
                            <w:rPr>
                              <w:szCs w:val="24"/>
                            </w:rPr>
                            <w:t>3.2.10</w:t>
                          </w:r>
                        </w:sdtContent>
                      </w:sdt>
                      <w:r>
                        <w:rPr>
                          <w:szCs w:val="24"/>
                        </w:rPr>
                        <w:t>. užtikrinti teisingą ir teisėtą lėšų paskirstymą ir panaudojimą, Projekto stebėsenos rodiklių įgyvendinimą bei kitų Sutartimi prisiimtų įsipareigojimų įvykdymą;</w:t>
                      </w:r>
                    </w:p>
                  </w:sdtContent>
                </w:sdt>
                <w:sdt>
                  <w:sdtPr>
                    <w:alias w:val="3.2.11 pp."/>
                    <w:tag w:val="part_cbb6020b10824e919f44b22607a69ded"/>
                    <w:lock w:val="sdtLocked"/>
                    <w:richText/>
                  </w:sdtPr>
                  <w:sdtContent>
                    <w:p>
                      <w:pPr>
                        <w:widowControl w:val="0"/>
                        <w:spacing w:line="276" w:lineRule="auto"/>
                        <w:ind w:firstLine="709"/>
                        <w:jc w:val="both"/>
                        <w:rPr>
                          <w:szCs w:val="24"/>
                        </w:rPr>
                      </w:pPr>
                      <w:sdt>
                        <w:sdtPr>
                          <w:alias w:val="Numeris"/>
                          <w:tag w:val="nr_cbb6020b10824e919f44b22607a69ded"/>
                          <w:lock w:val="sdtLocked"/>
                          <w:richText/>
                        </w:sdtPr>
                        <w:sdtContent>
                          <w:r>
                            <w:rPr>
                              <w:szCs w:val="24"/>
                            </w:rPr>
                            <w:t>3.2.11</w:t>
                          </w:r>
                        </w:sdtContent>
                      </w:sdt>
                      <w:r>
                        <w:rPr>
                          <w:szCs w:val="24"/>
                        </w:rPr>
                        <w:t>. užtikrinti, kad projekto išlaidos, kurios apmokamos iš valstybės ir savivaldybių biudžeto lėšų kitų teisės aktų nustatyta tvarka, nebūtų kompensuojamos Projekto lėšomis;</w:t>
                      </w:r>
                    </w:p>
                  </w:sdtContent>
                </w:sdt>
                <w:sdt>
                  <w:sdtPr>
                    <w:alias w:val="3.2.12 pp."/>
                    <w:tag w:val="part_c41b91c6eca24e22ab1778d1f0ece7b8"/>
                    <w:lock w:val="sdtLocked"/>
                    <w:richText/>
                  </w:sdtPr>
                  <w:sdtContent>
                    <w:p>
                      <w:pPr>
                        <w:widowControl w:val="0"/>
                        <w:spacing w:line="276" w:lineRule="auto"/>
                        <w:ind w:firstLine="709"/>
                        <w:jc w:val="both"/>
                        <w:rPr>
                          <w:rFonts w:eastAsia="Calibri"/>
                          <w:szCs w:val="24"/>
                        </w:rPr>
                      </w:pPr>
                      <w:sdt>
                        <w:sdtPr>
                          <w:alias w:val="Numeris"/>
                          <w:tag w:val="nr_c41b91c6eca24e22ab1778d1f0ece7b8"/>
                          <w:lock w:val="sdtLocked"/>
                          <w:richText/>
                        </w:sdtPr>
                        <w:sdtContent>
                          <w:r>
                            <w:rPr>
                              <w:rFonts w:eastAsia="Calibri"/>
                              <w:szCs w:val="24"/>
                            </w:rPr>
                            <w:t>3.2.12</w:t>
                          </w:r>
                        </w:sdtContent>
                      </w:sdt>
                      <w:r>
                        <w:rPr>
                          <w:rFonts w:eastAsia="Calibri"/>
                          <w:szCs w:val="24"/>
                        </w:rPr>
                        <w:t>. sudaryti sąlygas administruojančiajai institucijai ir kitoms kontroliuojančioms institucijoms vykdyti Projekto patikrą vietoje;</w:t>
                      </w:r>
                    </w:p>
                  </w:sdtContent>
                </w:sdt>
                <w:sdt>
                  <w:sdtPr>
                    <w:alias w:val="3.2.13 pp."/>
                    <w:tag w:val="part_054b350476e041b4bfff593a06089c04"/>
                    <w:lock w:val="sdtLocked"/>
                    <w:richText/>
                  </w:sdtPr>
                  <w:sdtContent>
                    <w:p>
                      <w:pPr>
                        <w:widowControl w:val="0"/>
                        <w:spacing w:line="276" w:lineRule="auto"/>
                        <w:ind w:firstLine="709"/>
                        <w:jc w:val="both"/>
                        <w:rPr>
                          <w:rFonts w:eastAsia="Calibri"/>
                          <w:szCs w:val="24"/>
                        </w:rPr>
                      </w:pPr>
                      <w:sdt>
                        <w:sdtPr>
                          <w:alias w:val="Numeris"/>
                          <w:tag w:val="nr_054b350476e041b4bfff593a06089c04"/>
                          <w:lock w:val="sdtLocked"/>
                          <w:richText/>
                        </w:sdtPr>
                        <w:sdtContent>
                          <w:r>
                            <w:rPr>
                              <w:rFonts w:eastAsia="Calibri"/>
                              <w:szCs w:val="24"/>
                            </w:rPr>
                            <w:t>3.2.13</w:t>
                          </w:r>
                        </w:sdtContent>
                      </w:sdt>
                      <w:r>
                        <w:rPr>
                          <w:rFonts w:eastAsia="Calibri"/>
                          <w:szCs w:val="24"/>
                        </w:rPr>
                        <w:t>. nepažeisti Horizontaliųjų principų (toliau - HP) ir atitinkamos Chartijos nuostatų bei atsižvelgti į Jungtinių Tautų neįgaliųjų teisių konvencijos nuostatas bei prisidėti prie HP įgyvendinimo;</w:t>
                      </w:r>
                    </w:p>
                  </w:sdtContent>
                </w:sdt>
                <w:sdt>
                  <w:sdtPr>
                    <w:alias w:val="3.2.14 pp."/>
                    <w:tag w:val="part_33705d6b5d494da999137354e8198d79"/>
                    <w:lock w:val="sdtLocked"/>
                    <w:richText/>
                  </w:sdtPr>
                  <w:sdtContent>
                    <w:p>
                      <w:pPr>
                        <w:widowControl w:val="0"/>
                        <w:spacing w:line="276" w:lineRule="auto"/>
                        <w:ind w:firstLine="709"/>
                        <w:jc w:val="both"/>
                        <w:rPr>
                          <w:szCs w:val="24"/>
                        </w:rPr>
                      </w:pPr>
                      <w:sdt>
                        <w:sdtPr>
                          <w:alias w:val="Numeris"/>
                          <w:tag w:val="nr_33705d6b5d494da999137354e8198d79"/>
                          <w:lock w:val="sdtLocked"/>
                          <w:richText/>
                        </w:sdtPr>
                        <w:sdtContent>
                          <w:r>
                            <w:rPr>
                              <w:szCs w:val="24"/>
                            </w:rPr>
                            <w:t>3.2.14</w:t>
                          </w:r>
                        </w:sdtContent>
                      </w:sdt>
                      <w:r>
                        <w:rPr>
                          <w:szCs w:val="24"/>
                        </w:rPr>
                        <w:t>. užtikrinti viešinimo reikalavimų laikymąsi, kaip tai numatyta Taisyklėse;</w:t>
                      </w:r>
                    </w:p>
                  </w:sdtContent>
                </w:sdt>
                <w:sdt>
                  <w:sdtPr>
                    <w:alias w:val="3.2.15 pp."/>
                    <w:tag w:val="part_ebf1ebedc6384b94a6a93cd3591ad1c1"/>
                    <w:lock w:val="sdtLocked"/>
                    <w:richText/>
                  </w:sdtPr>
                  <w:sdtContent>
                    <w:p>
                      <w:pPr>
                        <w:widowControl w:val="0"/>
                        <w:spacing w:line="276" w:lineRule="auto"/>
                        <w:ind w:firstLine="709"/>
                        <w:jc w:val="both"/>
                        <w:rPr>
                          <w:szCs w:val="24"/>
                        </w:rPr>
                      </w:pPr>
                      <w:sdt>
                        <w:sdtPr>
                          <w:alias w:val="Numeris"/>
                          <w:tag w:val="nr_ebf1ebedc6384b94a6a93cd3591ad1c1"/>
                          <w:lock w:val="sdtLocked"/>
                          <w:richText/>
                        </w:sdtPr>
                        <w:sdtContent>
                          <w:r>
                            <w:rPr>
                              <w:szCs w:val="24"/>
                            </w:rPr>
                            <w:t>3.2.15</w:t>
                          </w:r>
                        </w:sdtContent>
                      </w:sdt>
                      <w:r>
                        <w:rPr>
                          <w:szCs w:val="24"/>
                        </w:rPr>
                        <w:t>. paskirti asmenį (-is), atsakingą (-us) už informacijos, susijusios su Projekto įgyvendinimu, teikimą Projekto vykdytojui. Paskirto atsakingo asmens kontaktinę informaciją Partneris pateikia Projekto vykdytojui el. paštu;</w:t>
                      </w:r>
                    </w:p>
                  </w:sdtContent>
                </w:sdt>
                <w:sdt>
                  <w:sdtPr>
                    <w:alias w:val="3.2.16 pp."/>
                    <w:tag w:val="part_b61ca6d51c72421b95844dfcb8c22dce"/>
                    <w:lock w:val="sdtLocked"/>
                    <w:richText/>
                  </w:sdtPr>
                  <w:sdtContent>
                    <w:p>
                      <w:pPr>
                        <w:widowControl w:val="0"/>
                        <w:spacing w:line="276" w:lineRule="auto"/>
                        <w:ind w:firstLine="709"/>
                        <w:jc w:val="both"/>
                        <w:rPr>
                          <w:rFonts w:eastAsia="Calibri"/>
                          <w:color w:val="000000"/>
                          <w:spacing w:val="10"/>
                          <w:szCs w:val="24"/>
                          <w:shd w:val="clear" w:color="auto" w:fill="FFFFFF"/>
                          <w:lang w:val="lt"/>
                        </w:rPr>
                      </w:pPr>
                      <w:sdt>
                        <w:sdtPr>
                          <w:alias w:val="Numeris"/>
                          <w:tag w:val="nr_b61ca6d51c72421b95844dfcb8c22dce"/>
                          <w:lock w:val="sdtLocked"/>
                          <w:richText/>
                        </w:sdtPr>
                        <w:sdtContent>
                          <w:r>
                            <w:rPr>
                              <w:rFonts w:eastAsia="Calibri"/>
                              <w:szCs w:val="24"/>
                            </w:rPr>
                            <w:t>3.2.16</w:t>
                          </w:r>
                        </w:sdtContent>
                      </w:sdt>
                      <w:r>
                        <w:rPr>
                          <w:rFonts w:eastAsia="Calibri"/>
                          <w:szCs w:val="24"/>
                        </w:rPr>
                        <w:t xml:space="preserve">. </w:t>
                      </w:r>
                      <w:r>
                        <w:rPr>
                          <w:szCs w:val="24"/>
                        </w:rPr>
                        <w:t>grąžinti netinkamomis finansuoti iš projekto lėšų pripažintas išlaidas, visiškai atlyginti Projekto vykd</w:t>
                      </w:r>
                      <w:r>
                        <w:rPr>
                          <w:rFonts w:eastAsia="Calibri"/>
                          <w:szCs w:val="24"/>
                        </w:rPr>
                        <w:t xml:space="preserve">ytojo ar trečiųjų asmenų patirtus nuostolius, kai Projekto vykdytojo ar kitų institucijų vykdomų patikrų metu nustatomi pažeidimai, dėl Partnerio kaltės patiriami nuostoliai ir (ar) nevykdomi ir (ar) netinkamai vykdomi Sutartimi prisiimti įsipareigojimai. Grąžintina lėšų suma turi būti pervesta į Projekto vykdytojo nurodytą sąskaitą per Projekto vykdytojo nurodytą terminą. </w:t>
                      </w:r>
                    </w:p>
                    <w:p>
                      <w:pPr>
                        <w:widowControl w:val="0"/>
                        <w:tabs>
                          <w:tab w:val="left" w:pos="426"/>
                          <w:tab w:val="left" w:pos="993"/>
                        </w:tabs>
                        <w:spacing w:line="276" w:lineRule="auto"/>
                        <w:ind w:right="-1"/>
                        <w:jc w:val="both"/>
                        <w:rPr>
                          <w:rFonts w:eastAsia="Calibri"/>
                          <w:color w:val="000000"/>
                          <w:kern w:val="2"/>
                          <w:szCs w:val="24"/>
                          <w:shd w:val="clear" w:color="auto" w:fill="FFFFFF"/>
                          <w:lang w:val="lt"/>
                        </w:rPr>
                      </w:pPr>
                    </w:p>
                  </w:sdtContent>
                </w:sdt>
              </w:sdtContent>
            </w:sdt>
          </w:sdtContent>
        </w:sdt>
        <w:sdt>
          <w:sdtPr>
            <w:alias w:val="skyrius"/>
            <w:tag w:val="part_0fd7c30fd0c94b81b7617847026fd099"/>
            <w:lock w:val="sdtLocked"/>
            <w:richText/>
          </w:sdtPr>
          <w:sdtContent>
            <w:p>
              <w:pPr>
                <w:keepNext/>
                <w:keepLines/>
                <w:widowControl w:val="0"/>
                <w:spacing w:line="276" w:lineRule="auto"/>
                <w:jc w:val="center"/>
                <w:outlineLvl w:val="2"/>
                <w:rPr>
                  <w:b/>
                  <w:kern w:val="2"/>
                  <w:szCs w:val="24"/>
                  <w:shd w:val="clear" w:color="auto" w:fill="FFFFFF"/>
                </w:rPr>
              </w:pPr>
              <w:sdt>
                <w:sdtPr>
                  <w:alias w:val="Numeris"/>
                  <w:tag w:val="nr_0fd7c30fd0c94b81b7617847026fd099"/>
                  <w:lock w:val="sdtLocked"/>
                  <w:richText/>
                </w:sdtPr>
                <w:sdtContent>
                  <w:r>
                    <w:rPr>
                      <w:b/>
                      <w:kern w:val="2"/>
                      <w:szCs w:val="24"/>
                      <w:shd w:val="clear" w:color="auto" w:fill="FFFFFF"/>
                    </w:rPr>
                    <w:t>IV</w:t>
                  </w:r>
                </w:sdtContent>
              </w:sdt>
              <w:r>
                <w:rPr>
                  <w:b/>
                  <w:kern w:val="2"/>
                  <w:szCs w:val="24"/>
                  <w:shd w:val="clear" w:color="auto" w:fill="FFFFFF"/>
                </w:rPr>
                <w:t xml:space="preserve"> SKYRIUS</w:t>
              </w:r>
            </w:p>
            <w:p>
              <w:pPr>
                <w:keepNext/>
                <w:keepLines/>
                <w:widowControl w:val="0"/>
                <w:spacing w:line="276" w:lineRule="auto"/>
                <w:jc w:val="center"/>
                <w:outlineLvl w:val="2"/>
                <w:rPr>
                  <w:b/>
                  <w:kern w:val="2"/>
                  <w:szCs w:val="24"/>
                  <w:highlight w:val="white"/>
                  <w:shd w:val="clear" w:color="auto" w:fill="FFFFFF"/>
                </w:rPr>
              </w:pPr>
              <w:sdt>
                <w:sdtPr>
                  <w:alias w:val="Pavadinimas"/>
                  <w:tag w:val="title_0fd7c30fd0c94b81b7617847026fd099"/>
                  <w:lock w:val="sdtLocked"/>
                  <w:richText/>
                </w:sdtPr>
                <w:sdtContent>
                  <w:r>
                    <w:rPr>
                      <w:b/>
                      <w:kern w:val="2"/>
                      <w:szCs w:val="24"/>
                      <w:shd w:val="clear" w:color="auto" w:fill="FFFFFF"/>
                    </w:rPr>
                    <w:t>PARTNERIO IŠLAIDŲ KOMPENSAVIMAS</w:t>
                  </w:r>
                </w:sdtContent>
              </w:sdt>
            </w:p>
            <w:p>
              <w:pPr>
                <w:keepNext/>
                <w:keepLines/>
                <w:widowControl w:val="0"/>
                <w:spacing w:line="276" w:lineRule="auto"/>
                <w:ind w:left="1440"/>
                <w:outlineLvl w:val="2"/>
                <w:rPr>
                  <w:b/>
                  <w:kern w:val="2"/>
                  <w:szCs w:val="24"/>
                  <w:highlight w:val="white"/>
                  <w:shd w:val="clear" w:color="auto" w:fill="FFFFFF"/>
                </w:rPr>
              </w:pPr>
            </w:p>
            <w:sdt>
              <w:sdtPr>
                <w:alias w:val="4.1 pp."/>
                <w:tag w:val="part_2774f0783af14e7a9380f4fec2cca593"/>
                <w:lock w:val="sdtLocked"/>
                <w:richText/>
              </w:sdtPr>
              <w:sdtContent>
                <w:p>
                  <w:pPr>
                    <w:widowControl w:val="0"/>
                    <w:tabs>
                      <w:tab w:val="left" w:pos="567"/>
                    </w:tabs>
                    <w:spacing w:line="276" w:lineRule="auto"/>
                    <w:ind w:firstLine="709"/>
                    <w:jc w:val="both"/>
                    <w:rPr>
                      <w:color w:val="000000"/>
                      <w:kern w:val="2"/>
                      <w:szCs w:val="24"/>
                      <w:lang w:val="lt"/>
                    </w:rPr>
                  </w:pPr>
                  <w:sdt>
                    <w:sdtPr>
                      <w:alias w:val="Numeris"/>
                      <w:tag w:val="nr_2774f0783af14e7a9380f4fec2cca593"/>
                      <w:lock w:val="sdtLocked"/>
                      <w:richText/>
                    </w:sdtPr>
                    <w:sdtContent>
                      <w:r>
                        <w:rPr>
                          <w:rFonts w:eastAsia="Calibri"/>
                          <w:color w:val="000000"/>
                          <w:kern w:val="2"/>
                          <w:szCs w:val="24"/>
                          <w:lang w:val="lt"/>
                        </w:rPr>
                        <w:t>4</w:t>
                      </w:r>
                      <w:r>
                        <w:rPr>
                          <w:color w:val="000000"/>
                          <w:kern w:val="2"/>
                          <w:szCs w:val="24"/>
                          <w:lang w:val="lt"/>
                        </w:rPr>
                        <w:t>.1</w:t>
                      </w:r>
                    </w:sdtContent>
                  </w:sdt>
                  <w:r>
                    <w:rPr>
                      <w:color w:val="000000"/>
                      <w:kern w:val="2"/>
                      <w:szCs w:val="24"/>
                      <w:lang w:val="lt"/>
                    </w:rPr>
                    <w:t xml:space="preserve">. Partneriui yra kompensuojamos </w:t>
                  </w:r>
                  <w:r>
                    <w:rPr>
                      <w:kern w:val="2"/>
                      <w:szCs w:val="24"/>
                      <w:lang w:val="lt"/>
                    </w:rPr>
                    <w:t xml:space="preserve">tik dokumentais pagrįstos išlaidos, </w:t>
                  </w:r>
                  <w:r>
                    <w:rPr>
                      <w:color w:val="000000"/>
                      <w:kern w:val="2"/>
                      <w:szCs w:val="24"/>
                      <w:lang w:val="lt"/>
                    </w:rPr>
                    <w:t>kurios buvo faktiškai patirtos Projekto įgyvendinimo laikotarpiu,</w:t>
                  </w:r>
                  <w:r>
                    <w:rPr>
                      <w:color w:val="00000A"/>
                      <w:spacing w:val="10"/>
                      <w:kern w:val="2"/>
                      <w:szCs w:val="24"/>
                      <w:lang w:val="lt"/>
                    </w:rPr>
                    <w:t xml:space="preserve"> t. y. nuo projekto veiklų įgyvendinimo pradžios iki projekto veiklų vykdymo pabaigos.</w:t>
                  </w:r>
                  <w:r>
                    <w:rPr>
                      <w:color w:val="000000"/>
                      <w:kern w:val="2"/>
                      <w:szCs w:val="24"/>
                      <w:lang w:val="lt"/>
                    </w:rPr>
                    <w:t xml:space="preserve"> Kompensuojamos išlaidos turi atitikti išlaidų tinkamumo reikalavimus, įtvirtintus Apraše ir Taisyklėse. Patirtos išlaidos turi būti įtrauktos į finansinę apskaitą, vadovaujantis Lietuvos Respublikos teisės aktų reikalavimais.</w:t>
                  </w:r>
                </w:p>
              </w:sdtContent>
            </w:sdt>
            <w:sdt>
              <w:sdtPr>
                <w:alias w:val="4.2 pp."/>
                <w:tag w:val="part_88f54905d7054805b3852f02b147e32c"/>
                <w:lock w:val="sdtLocked"/>
                <w:richText/>
              </w:sdtPr>
              <w:sdtContent>
                <w:p>
                  <w:pPr>
                    <w:widowControl w:val="0"/>
                    <w:tabs>
                      <w:tab w:val="left" w:pos="567"/>
                    </w:tabs>
                    <w:spacing w:line="276" w:lineRule="auto"/>
                    <w:ind w:firstLine="709"/>
                    <w:jc w:val="both"/>
                    <w:rPr>
                      <w:color w:val="000000"/>
                      <w:kern w:val="2"/>
                      <w:szCs w:val="24"/>
                      <w:lang w:val="lt"/>
                    </w:rPr>
                  </w:pPr>
                  <w:sdt>
                    <w:sdtPr>
                      <w:alias w:val="Numeris"/>
                      <w:tag w:val="nr_88f54905d7054805b3852f02b147e32c"/>
                      <w:lock w:val="sdtLocked"/>
                      <w:richText/>
                    </w:sdtPr>
                    <w:sdtContent>
                      <w:r>
                        <w:rPr>
                          <w:color w:val="000000"/>
                          <w:spacing w:val="10"/>
                          <w:kern w:val="2"/>
                          <w:szCs w:val="24"/>
                          <w:lang w:val="lt"/>
                        </w:rPr>
                        <w:t>4.2</w:t>
                      </w:r>
                    </w:sdtContent>
                  </w:sdt>
                  <w:r>
                    <w:rPr>
                      <w:color w:val="000000"/>
                      <w:spacing w:val="10"/>
                      <w:kern w:val="2"/>
                      <w:szCs w:val="24"/>
                      <w:lang w:val="lt"/>
                    </w:rPr>
                    <w:t>. Partnerio kompensuojamas išlaidas sudaro tiesioginės ir netiesioginės išlaidoms. Tiesioginės išlaidos kompensuojamos pagal faktinį tikslinės grupės asmenų skaičių, t. y. kompensuojamų išlaidų dydis priklausys nuo vaikų, atitinkančių tam tikrą tikslinę grupę, skaičiaus, taikant Sutarties 1 priede nurodytus fiksuotuosius įkainius. Netiesioginės išlaidos sudaro 3 proc. nuo faktiškai patirtų tinkamų tiesioginių išlaidų. Sutarties 1 priede nurodyta planuojama bendra suma yra preliminari ir priklauso nuo Partnerio atliktos Projekto veiklos apimties, t. y. faktinį tikslinės grupės asmenų skaičiaus.</w:t>
                  </w:r>
                </w:p>
              </w:sdtContent>
            </w:sdt>
            <w:sdt>
              <w:sdtPr>
                <w:alias w:val="4.3 pp."/>
                <w:tag w:val="part_7d3d19f7255e462ea85a806dc08c8cfc"/>
                <w:lock w:val="sdtLocked"/>
                <w:richText/>
              </w:sdtPr>
              <w:sdtContent>
                <w:p>
                  <w:pPr>
                    <w:widowControl w:val="0"/>
                    <w:tabs>
                      <w:tab w:val="left" w:pos="567"/>
                    </w:tabs>
                    <w:spacing w:line="276" w:lineRule="auto"/>
                    <w:ind w:firstLine="709"/>
                    <w:jc w:val="both"/>
                    <w:rPr>
                      <w:color w:val="000000"/>
                      <w:kern w:val="2"/>
                      <w:szCs w:val="24"/>
                      <w:lang w:val="lt"/>
                    </w:rPr>
                  </w:pPr>
                  <w:sdt>
                    <w:sdtPr>
                      <w:alias w:val="Numeris"/>
                      <w:tag w:val="nr_7d3d19f7255e462ea85a806dc08c8cfc"/>
                      <w:lock w:val="sdtLocked"/>
                      <w:richText/>
                    </w:sdtPr>
                    <w:sdtContent>
                      <w:r>
                        <w:rPr>
                          <w:color w:val="000000"/>
                          <w:kern w:val="2"/>
                          <w:szCs w:val="24"/>
                          <w:lang w:val="lt"/>
                        </w:rPr>
                        <w:t>4.3</w:t>
                      </w:r>
                    </w:sdtContent>
                  </w:sdt>
                  <w:r>
                    <w:rPr>
                      <w:color w:val="000000"/>
                      <w:kern w:val="2"/>
                      <w:szCs w:val="24"/>
                      <w:lang w:val="lt"/>
                    </w:rPr>
                    <w:t>. Partneriui išlaidos, gali būti kompensuojamos šiais būdais:</w:t>
                  </w:r>
                </w:p>
                <w:sdt>
                  <w:sdtPr>
                    <w:alias w:val="4.3.1 pp."/>
                    <w:tag w:val="part_a119b8b891514765a07792f99ac81220"/>
                    <w:lock w:val="sdtLocked"/>
                    <w:richText/>
                  </w:sdtPr>
                  <w:sdtContent>
                    <w:p>
                      <w:pPr>
                        <w:widowControl w:val="0"/>
                        <w:tabs>
                          <w:tab w:val="left" w:pos="567"/>
                        </w:tabs>
                        <w:spacing w:line="276" w:lineRule="auto"/>
                        <w:ind w:firstLine="709"/>
                        <w:jc w:val="both"/>
                        <w:rPr>
                          <w:color w:val="000000"/>
                          <w:kern w:val="2"/>
                          <w:szCs w:val="24"/>
                          <w:lang w:val="lt"/>
                        </w:rPr>
                      </w:pPr>
                      <w:sdt>
                        <w:sdtPr>
                          <w:alias w:val="Numeris"/>
                          <w:tag w:val="nr_a119b8b891514765a07792f99ac81220"/>
                          <w:lock w:val="sdtLocked"/>
                          <w:richText/>
                        </w:sdtPr>
                        <w:sdtContent>
                          <w:r>
                            <w:rPr>
                              <w:color w:val="000000"/>
                              <w:kern w:val="2"/>
                              <w:szCs w:val="24"/>
                              <w:lang w:val="lt"/>
                            </w:rPr>
                            <w:t>4.3.1</w:t>
                          </w:r>
                        </w:sdtContent>
                      </w:sdt>
                      <w:r>
                        <w:rPr>
                          <w:color w:val="000000"/>
                          <w:kern w:val="2"/>
                          <w:szCs w:val="24"/>
                          <w:lang w:val="lt"/>
                        </w:rPr>
                        <w:t xml:space="preserve">. </w:t>
                      </w:r>
                      <w:r>
                        <w:rPr>
                          <w:kern w:val="2"/>
                          <w:szCs w:val="24"/>
                          <w:lang w:val="lt"/>
                        </w:rPr>
                        <w:t xml:space="preserve">gali būti išmokamas iki 30 proc. dydžio avansas skaičiuojamas nuo Sutarties 1 priede nurodytos planuojamos išlaidų sumos. Partneris siekdamas gauti avansą turi pateikti informaciją apie planuojamas patirti išlaidas ateinančiam 6 mėnesių laikotarpiui pagrįsdamas ją esamais ir (ar) būsimais įsipareigojimais. </w:t>
                      </w:r>
                      <w:r>
                        <w:rPr>
                          <w:kern w:val="2"/>
                          <w:szCs w:val="24"/>
                        </w:rPr>
                        <w:t>Jei Partneriui yra išmokamas avansas, Partneris turi turėti kredito įstaigoje specialiai tam Projektui atidarytą sąskaitą. Partneris gali vienoje kredito įstaigos sąskaitoje laikyti keliems projektams skiriamas finansavimo lėšas, jei yra užtikrinamas atskirų projektų lėšų apskaitos atskyrimas;</w:t>
                      </w:r>
                    </w:p>
                  </w:sdtContent>
                </w:sdt>
                <w:sdt>
                  <w:sdtPr>
                    <w:alias w:val="4.3.2 pp."/>
                    <w:tag w:val="part_461eabea5c2f45dc8a597a5eea520fe7"/>
                    <w:lock w:val="sdtLocked"/>
                    <w:richText/>
                  </w:sdtPr>
                  <w:sdtContent>
                    <w:p>
                      <w:pPr>
                        <w:widowControl w:val="0"/>
                        <w:tabs>
                          <w:tab w:val="left" w:pos="567"/>
                        </w:tabs>
                        <w:spacing w:line="276" w:lineRule="auto"/>
                        <w:ind w:firstLine="709"/>
                        <w:jc w:val="both"/>
                        <w:rPr>
                          <w:color w:val="000000"/>
                          <w:kern w:val="2"/>
                          <w:szCs w:val="24"/>
                          <w:lang w:val="lt"/>
                        </w:rPr>
                      </w:pPr>
                      <w:sdt>
                        <w:sdtPr>
                          <w:alias w:val="Numeris"/>
                          <w:tag w:val="nr_461eabea5c2f45dc8a597a5eea520fe7"/>
                          <w:lock w:val="sdtLocked"/>
                          <w:richText/>
                        </w:sdtPr>
                        <w:sdtContent>
                          <w:r>
                            <w:rPr>
                              <w:kern w:val="2"/>
                              <w:szCs w:val="24"/>
                              <w:lang w:val="lt"/>
                            </w:rPr>
                            <w:t>4.3.2</w:t>
                          </w:r>
                        </w:sdtContent>
                      </w:sdt>
                      <w:r>
                        <w:rPr>
                          <w:kern w:val="2"/>
                          <w:szCs w:val="24"/>
                          <w:lang w:val="lt"/>
                        </w:rPr>
                        <w:t xml:space="preserve">. išlaidos gali būti kompensuojamos, kai Partneris pateiks Projekto vykdytojui visus reikiamus dokumentus ir šios išlaidos deklaravus jas administruojančiai institucijai bus patvirtintos ir išmokėtos Projekto vykdytojui. Tuo atveju, jei Partneriui buvo išmokėtas avansas, </w:t>
                      </w:r>
                      <w:r>
                        <w:rPr>
                          <w:kern w:val="2"/>
                          <w:szCs w:val="24"/>
                        </w:rPr>
                        <w:t>Projekto įgyvendinimo metu mokėtina suma sumažinama išmokėto avanso suma.</w:t>
                      </w:r>
                    </w:p>
                  </w:sdtContent>
                </w:sdt>
              </w:sdtContent>
            </w:sdt>
            <w:sdt>
              <w:sdtPr>
                <w:alias w:val="4.4 pp."/>
                <w:tag w:val="part_fc913d4fea934a1ea178085821126ca6"/>
                <w:lock w:val="sdtLocked"/>
                <w:richText/>
              </w:sdtPr>
              <w:sdtContent>
                <w:p>
                  <w:pPr>
                    <w:widowControl w:val="0"/>
                    <w:tabs>
                      <w:tab w:val="left" w:pos="567"/>
                    </w:tabs>
                    <w:spacing w:line="276" w:lineRule="auto"/>
                    <w:ind w:firstLine="709"/>
                    <w:jc w:val="both"/>
                    <w:rPr>
                      <w:color w:val="000000"/>
                      <w:kern w:val="2"/>
                      <w:szCs w:val="24"/>
                      <w:lang w:val="lt"/>
                    </w:rPr>
                  </w:pPr>
                  <w:sdt>
                    <w:sdtPr>
                      <w:alias w:val="Numeris"/>
                      <w:tag w:val="nr_fc913d4fea934a1ea178085821126ca6"/>
                      <w:lock w:val="sdtLocked"/>
                      <w:richText/>
                    </w:sdtPr>
                    <w:sdtContent>
                      <w:r>
                        <w:rPr>
                          <w:color w:val="000000"/>
                          <w:kern w:val="2"/>
                          <w:szCs w:val="24"/>
                          <w:lang w:val="lt"/>
                        </w:rPr>
                        <w:t>4.4</w:t>
                      </w:r>
                    </w:sdtContent>
                  </w:sdt>
                  <w:r>
                    <w:rPr>
                      <w:color w:val="000000"/>
                      <w:kern w:val="2"/>
                      <w:szCs w:val="24"/>
                      <w:lang w:val="lt"/>
                    </w:rPr>
                    <w:t>. Projekto vykdytojui paprašius, Partneris privalo pateikti išlaidas pagrindžiančius ir išlaidų tinkamumą patvirtinančius dokumentus.</w:t>
                  </w:r>
                </w:p>
              </w:sdtContent>
            </w:sdt>
            <w:sdt>
              <w:sdtPr>
                <w:alias w:val="4.5 pp."/>
                <w:tag w:val="part_4c616450e73e422487a04384c3a7b920"/>
                <w:lock w:val="sdtLocked"/>
                <w:richText/>
              </w:sdtPr>
              <w:sdtContent>
                <w:p>
                  <w:pPr>
                    <w:widowControl w:val="0"/>
                    <w:tabs>
                      <w:tab w:val="left" w:pos="567"/>
                    </w:tabs>
                    <w:spacing w:line="276" w:lineRule="auto"/>
                    <w:ind w:firstLine="709"/>
                    <w:jc w:val="both"/>
                    <w:rPr>
                      <w:color w:val="000000"/>
                      <w:kern w:val="2"/>
                      <w:szCs w:val="24"/>
                      <w:lang w:val="lt"/>
                    </w:rPr>
                  </w:pPr>
                  <w:sdt>
                    <w:sdtPr>
                      <w:alias w:val="Numeris"/>
                      <w:tag w:val="nr_4c616450e73e422487a04384c3a7b920"/>
                      <w:lock w:val="sdtLocked"/>
                      <w:richText/>
                    </w:sdtPr>
                    <w:sdtContent>
                      <w:r>
                        <w:rPr>
                          <w:color w:val="000000"/>
                          <w:kern w:val="2"/>
                          <w:szCs w:val="24"/>
                          <w:lang w:val="lt"/>
                        </w:rPr>
                        <w:t>4.5</w:t>
                      </w:r>
                    </w:sdtContent>
                  </w:sdt>
                  <w:r>
                    <w:rPr>
                      <w:color w:val="000000"/>
                      <w:kern w:val="2"/>
                      <w:szCs w:val="24"/>
                      <w:lang w:val="lt"/>
                    </w:rPr>
                    <w:t xml:space="preserve">. Išlaidos turi būti tinkamai dokumentuotos, t. y. visos įgyvendinant Projektą patirtos išlaidos turi būti pagrįstos projekto tinkamų finansuoti išlaidų patvirtinimo dokumentais, kurių atsekamumas turi būti užtikrintas. </w:t>
                  </w:r>
                </w:p>
                <w:p>
                  <w:pPr>
                    <w:widowControl w:val="0"/>
                    <w:tabs>
                      <w:tab w:val="left" w:pos="709"/>
                    </w:tabs>
                    <w:spacing w:line="276" w:lineRule="auto"/>
                    <w:ind w:left="453" w:hanging="2154"/>
                    <w:rPr>
                      <w:rFonts w:eastAsia="Calibri"/>
                      <w:color w:val="000000"/>
                      <w:kern w:val="2"/>
                      <w:szCs w:val="24"/>
                      <w:lang w:val="lt"/>
                    </w:rPr>
                  </w:pPr>
                  <w:r>
                    <w:rPr>
                      <w:rFonts w:eastAsia="Calibri"/>
                      <w:color w:val="000000"/>
                      <w:kern w:val="2"/>
                      <w:szCs w:val="24"/>
                      <w:lang w:val="lt"/>
                    </w:rPr>
                    <w:t>i.</w:t>
                    <w:tab/>
                  </w:r>
                </w:p>
              </w:sdtContent>
            </w:sdt>
          </w:sdtContent>
        </w:sdt>
        <w:sdt>
          <w:sdtPr>
            <w:alias w:val="skyrius"/>
            <w:tag w:val="part_e3ab75af4403415ca61b056924d745e0"/>
            <w:lock w:val="sdtLocked"/>
            <w:richText/>
          </w:sdtPr>
          <w:sdtContent>
            <w:p>
              <w:pPr>
                <w:widowControl w:val="0"/>
                <w:tabs>
                  <w:tab w:val="left" w:pos="1276"/>
                  <w:tab w:val="left" w:pos="1560"/>
                  <w:tab w:val="left" w:pos="2835"/>
                </w:tabs>
                <w:spacing w:line="276" w:lineRule="auto"/>
                <w:ind w:left="-1701" w:firstLine="1701"/>
                <w:jc w:val="center"/>
                <w:rPr>
                  <w:b/>
                  <w:spacing w:val="10"/>
                  <w:kern w:val="2"/>
                  <w:szCs w:val="24"/>
                </w:rPr>
              </w:pPr>
              <w:sdt>
                <w:sdtPr>
                  <w:alias w:val="Numeris"/>
                  <w:tag w:val="nr_e3ab75af4403415ca61b056924d745e0"/>
                  <w:lock w:val="sdtLocked"/>
                  <w:richText/>
                </w:sdtPr>
                <w:sdtContent>
                  <w:r>
                    <w:rPr>
                      <w:b/>
                      <w:spacing w:val="10"/>
                      <w:kern w:val="2"/>
                      <w:szCs w:val="24"/>
                    </w:rPr>
                    <w:t>V</w:t>
                  </w:r>
                </w:sdtContent>
              </w:sdt>
              <w:r>
                <w:rPr>
                  <w:b/>
                  <w:spacing w:val="10"/>
                  <w:kern w:val="2"/>
                  <w:szCs w:val="24"/>
                </w:rPr>
                <w:t xml:space="preserve"> SKYRIUS</w:t>
              </w:r>
            </w:p>
            <w:p>
              <w:pPr>
                <w:widowControl w:val="0"/>
                <w:tabs>
                  <w:tab w:val="left" w:pos="1276"/>
                  <w:tab w:val="left" w:pos="1560"/>
                  <w:tab w:val="left" w:pos="2835"/>
                </w:tabs>
                <w:spacing w:line="276" w:lineRule="auto"/>
                <w:ind w:left="-1701" w:firstLine="1701"/>
                <w:jc w:val="center"/>
                <w:rPr>
                  <w:b/>
                  <w:spacing w:val="10"/>
                  <w:kern w:val="2"/>
                  <w:szCs w:val="24"/>
                </w:rPr>
              </w:pPr>
              <w:sdt>
                <w:sdtPr>
                  <w:alias w:val="Pavadinimas"/>
                  <w:tag w:val="title_e3ab75af4403415ca61b056924d745e0"/>
                  <w:lock w:val="sdtLocked"/>
                  <w:richText/>
                </w:sdtPr>
                <w:sdtContent>
                  <w:r>
                    <w:rPr>
                      <w:b/>
                      <w:spacing w:val="10"/>
                      <w:kern w:val="2"/>
                      <w:szCs w:val="24"/>
                    </w:rPr>
                    <w:t>DUOMENŲ SAUGOJIMAS</w:t>
                  </w:r>
                </w:sdtContent>
              </w:sdt>
            </w:p>
            <w:p>
              <w:pPr>
                <w:widowControl w:val="0"/>
                <w:tabs>
                  <w:tab w:val="left" w:pos="1276"/>
                  <w:tab w:val="left" w:pos="1560"/>
                  <w:tab w:val="left" w:pos="2835"/>
                </w:tabs>
                <w:spacing w:line="276" w:lineRule="auto"/>
                <w:ind w:left="1440"/>
                <w:rPr>
                  <w:b/>
                  <w:bCs/>
                  <w:spacing w:val="10"/>
                  <w:kern w:val="2"/>
                  <w:szCs w:val="24"/>
                </w:rPr>
              </w:pPr>
            </w:p>
            <w:sdt>
              <w:sdtPr>
                <w:alias w:val="5.1 pp."/>
                <w:tag w:val="part_7d7cea86819a4022ba33894a1c58839a"/>
                <w:lock w:val="sdtLocked"/>
                <w:richText/>
              </w:sdtPr>
              <w:sdtContent>
                <w:p>
                  <w:pPr>
                    <w:tabs>
                      <w:tab w:val="left" w:pos="709"/>
                      <w:tab w:val="left" w:pos="851"/>
                      <w:tab w:val="left" w:pos="1560"/>
                    </w:tabs>
                    <w:spacing w:line="276" w:lineRule="auto"/>
                    <w:ind w:firstLine="709"/>
                    <w:jc w:val="both"/>
                    <w:rPr>
                      <w:szCs w:val="24"/>
                      <w:lang w:eastAsia="lt-LT"/>
                    </w:rPr>
                  </w:pPr>
                  <w:sdt>
                    <w:sdtPr>
                      <w:alias w:val="Numeris"/>
                      <w:tag w:val="nr_7d7cea86819a4022ba33894a1c58839a"/>
                      <w:lock w:val="sdtLocked"/>
                      <w:richText/>
                    </w:sdtPr>
                    <w:sdtContent>
                      <w:r>
                        <w:rPr>
                          <w:bCs/>
                          <w:szCs w:val="24"/>
                        </w:rPr>
                        <w:t>5.1</w:t>
                      </w:r>
                    </w:sdtContent>
                  </w:sdt>
                  <w:r>
                    <w:rPr>
                      <w:bCs/>
                      <w:szCs w:val="24"/>
                    </w:rPr>
                    <w:t xml:space="preserve">. </w:t>
                  </w:r>
                  <w:r>
                    <w:rPr>
                      <w:szCs w:val="24"/>
                      <w:lang w:eastAsia="lt-LT"/>
                    </w:rPr>
                    <w:t>Projekto vykdytojas ir Partneris su Projekto įgyvendinimu susijusius dokumentus, privalo saugoti 5 metus po metų, kuriais Projekto vykdytojui atliktas paskutinis mokėjimas, gruodžio 31 dienos. Projekto vykdytojas ir Partneris privalo saugoti dokumentus ilgiau, nei nurodyta, jei tokia prievolė nustatyta toliau šiame punkte nurodytuose dokumentuose. Projekto vykdytojas ir Partneris visų su Projekto įgyvendinimu susijusių dokumentų saugojimą organizuoja vadovaudamiesi Bendrųjų dokumentų saugojimo terminų rodykle, patvirtinta Lietuvos vyriausiojo archyvaro 2011 m. kovo 9 d. įsakymu Nr. V-100 „Dėl Bendrųjų dokumentų saugojimo terminų rodyklės patvirtinimo“</w:t>
                  </w:r>
                  <w:r>
                    <w:rPr>
                      <w:szCs w:val="24"/>
                      <w:vertAlign w:val="superscript"/>
                      <w:lang w:eastAsia="lt-LT"/>
                    </w:rPr>
                    <w:footnoteReference w:id="4"/>
                  </w:r>
                  <w:r>
                    <w:rPr>
                      <w:szCs w:val="24"/>
                      <w:lang w:eastAsia="lt-LT"/>
                    </w:rPr>
                    <w:t>, Dokumentų tvarkymo ir apskaitos taisyklėmis, patvirtintomis Lietuvos vyriausiojo archyvaro 2011 m. liepos 4 d. įsakymu Nr. V-118 „Dėl Dokumentų tvarkymo ir apskaitos taisyklių patvirtinimo“</w:t>
                  </w:r>
                  <w:r>
                    <w:rPr>
                      <w:szCs w:val="24"/>
                      <w:vertAlign w:val="superscript"/>
                      <w:lang w:eastAsia="lt-LT"/>
                    </w:rPr>
                    <w:footnoteReference w:id="5"/>
                  </w:r>
                  <w:r>
                    <w:rPr>
                      <w:szCs w:val="24"/>
                      <w:lang w:eastAsia="lt-LT"/>
                    </w:rPr>
                    <w:t>, Dokumentų saugojimo taisyklėmis, patvirtintomis Lietuvos vyriausiojo archyvaro 2011 m. gruodžio 28 d. įsakymu Nr. V-157 „Dėl Dokumentų saugojimo taisyklių patvirtinimo“</w:t>
                  </w:r>
                  <w:r>
                    <w:rPr>
                      <w:szCs w:val="24"/>
                      <w:vertAlign w:val="superscript"/>
                      <w:lang w:eastAsia="lt-LT"/>
                    </w:rPr>
                    <w:footnoteReference w:id="6"/>
                  </w:r>
                  <w:r>
                    <w:rPr>
                      <w:szCs w:val="24"/>
                      <w:lang w:eastAsia="lt-LT"/>
                    </w:rPr>
                    <w:t>, Nevalstybinių organizacijų ir privačių juridinių asmenų dokumentų rengimo, tvarkymo ir apskaitos taisyklėmis, patvirtintomis Lietuvos vyriausiojo archyvaro 2011 m. gruodžio 20 d. įsakymu Nr. V-152 „Dėl Nevalstybinių organizacijų ir privačių juridinių asmenų dokumentų rengimo, tvarkymo ir apskaitos taisyklių patvirtinimo“</w:t>
                  </w:r>
                  <w:r>
                    <w:rPr>
                      <w:szCs w:val="24"/>
                      <w:vertAlign w:val="superscript"/>
                      <w:lang w:eastAsia="lt-LT"/>
                    </w:rPr>
                    <w:footnoteReference w:id="7"/>
                  </w:r>
                  <w:r>
                    <w:rPr>
                      <w:szCs w:val="24"/>
                      <w:lang w:eastAsia="lt-LT"/>
                    </w:rPr>
                    <w:t xml:space="preserve"> (ir vėlesniais šių teisės aktų pakeitimais).</w:t>
                  </w:r>
                  <w:r>
                    <w:rPr>
                      <w:szCs w:val="24"/>
                    </w:rPr>
                    <w:t xml:space="preserve"> </w:t>
                  </w:r>
                </w:p>
                <w:p>
                  <w:pPr>
                    <w:widowControl w:val="0"/>
                    <w:tabs>
                      <w:tab w:val="left" w:pos="1276"/>
                      <w:tab w:val="left" w:pos="1560"/>
                      <w:tab w:val="left" w:pos="2835"/>
                    </w:tabs>
                    <w:spacing w:line="276" w:lineRule="auto"/>
                    <w:jc w:val="both"/>
                    <w:rPr>
                      <w:b/>
                      <w:spacing w:val="10"/>
                      <w:kern w:val="2"/>
                      <w:szCs w:val="24"/>
                    </w:rPr>
                  </w:pPr>
                </w:p>
              </w:sdtContent>
            </w:sdt>
          </w:sdtContent>
        </w:sdt>
        <w:sdt>
          <w:sdtPr>
            <w:alias w:val="skyrius"/>
            <w:tag w:val="part_12460543b5474f2386b789f9f2891dac"/>
            <w:lock w:val="sdtLocked"/>
            <w:richText/>
          </w:sdtPr>
          <w:sdtContent>
            <w:p>
              <w:pPr>
                <w:widowControl w:val="0"/>
                <w:tabs>
                  <w:tab w:val="left" w:pos="3686"/>
                  <w:tab w:val="left" w:pos="3969"/>
                  <w:tab w:val="left" w:pos="8758"/>
                </w:tabs>
                <w:spacing w:line="276" w:lineRule="auto"/>
                <w:jc w:val="center"/>
                <w:rPr>
                  <w:b/>
                  <w:spacing w:val="10"/>
                  <w:kern w:val="2"/>
                  <w:szCs w:val="24"/>
                  <w:shd w:val="clear" w:color="auto" w:fill="FFFFFF"/>
                </w:rPr>
              </w:pPr>
              <w:sdt>
                <w:sdtPr>
                  <w:alias w:val="Numeris"/>
                  <w:tag w:val="nr_12460543b5474f2386b789f9f2891dac"/>
                  <w:lock w:val="sdtLocked"/>
                  <w:richText/>
                </w:sdtPr>
                <w:sdtContent>
                  <w:r>
                    <w:rPr>
                      <w:b/>
                      <w:spacing w:val="10"/>
                      <w:kern w:val="2"/>
                      <w:szCs w:val="24"/>
                      <w:shd w:val="clear" w:color="auto" w:fill="FFFFFF"/>
                    </w:rPr>
                    <w:t>VI</w:t>
                  </w:r>
                </w:sdtContent>
              </w:sdt>
              <w:r>
                <w:rPr>
                  <w:b/>
                  <w:spacing w:val="10"/>
                  <w:kern w:val="2"/>
                  <w:szCs w:val="24"/>
                  <w:shd w:val="clear" w:color="auto" w:fill="FFFFFF"/>
                </w:rPr>
                <w:t xml:space="preserve"> SKYRIUS</w:t>
              </w:r>
            </w:p>
            <w:p>
              <w:pPr>
                <w:widowControl w:val="0"/>
                <w:tabs>
                  <w:tab w:val="left" w:pos="3686"/>
                  <w:tab w:val="left" w:pos="3969"/>
                  <w:tab w:val="left" w:pos="8758"/>
                </w:tabs>
                <w:spacing w:line="276" w:lineRule="auto"/>
                <w:jc w:val="center"/>
                <w:rPr>
                  <w:b/>
                  <w:spacing w:val="10"/>
                  <w:kern w:val="2"/>
                  <w:szCs w:val="24"/>
                  <w:shd w:val="clear" w:color="auto" w:fill="FFFFFF"/>
                </w:rPr>
              </w:pPr>
              <w:sdt>
                <w:sdtPr>
                  <w:alias w:val="Pavadinimas"/>
                  <w:tag w:val="title_12460543b5474f2386b789f9f2891dac"/>
                  <w:lock w:val="sdtLocked"/>
                  <w:richText/>
                </w:sdtPr>
                <w:sdtContent>
                  <w:r>
                    <w:rPr>
                      <w:b/>
                      <w:spacing w:val="10"/>
                      <w:kern w:val="2"/>
                      <w:szCs w:val="24"/>
                      <w:shd w:val="clear" w:color="auto" w:fill="FFFFFF"/>
                      <w:lang w:val="lt"/>
                    </w:rPr>
                    <w:t>ASMENS DUOMENŲ TVARKYMAS</w:t>
                  </w:r>
                </w:sdtContent>
              </w:sdt>
            </w:p>
            <w:p>
              <w:pPr>
                <w:widowControl w:val="0"/>
                <w:tabs>
                  <w:tab w:val="left" w:pos="3686"/>
                  <w:tab w:val="left" w:pos="3969"/>
                  <w:tab w:val="left" w:pos="8758"/>
                </w:tabs>
                <w:spacing w:line="276" w:lineRule="auto"/>
                <w:ind w:left="1440"/>
                <w:rPr>
                  <w:b/>
                  <w:spacing w:val="10"/>
                  <w:kern w:val="2"/>
                  <w:szCs w:val="24"/>
                  <w:shd w:val="clear" w:color="auto" w:fill="FFFFFF"/>
                </w:rPr>
              </w:pPr>
            </w:p>
            <w:sdt>
              <w:sdtPr>
                <w:alias w:val="6.1 pp."/>
                <w:tag w:val="part_3441b81f96ef499fa8a4be0f8389bccc"/>
                <w:lock w:val="sdtLocked"/>
                <w:richText/>
              </w:sdtPr>
              <w:sdtContent>
                <w:p>
                  <w:pPr>
                    <w:widowControl w:val="0"/>
                    <w:tabs>
                      <w:tab w:val="left" w:pos="3686"/>
                      <w:tab w:val="left" w:pos="3969"/>
                      <w:tab w:val="left" w:pos="8758"/>
                    </w:tabs>
                    <w:spacing w:line="276" w:lineRule="auto"/>
                    <w:ind w:firstLine="709"/>
                    <w:jc w:val="both"/>
                    <w:rPr>
                      <w:kern w:val="2"/>
                      <w:szCs w:val="24"/>
                      <w:lang w:val="lt" w:eastAsia="lt-LT"/>
                    </w:rPr>
                  </w:pPr>
                  <w:sdt>
                    <w:sdtPr>
                      <w:alias w:val="Numeris"/>
                      <w:tag w:val="nr_3441b81f96ef499fa8a4be0f8389bccc"/>
                      <w:lock w:val="sdtLocked"/>
                      <w:richText/>
                    </w:sdtPr>
                    <w:sdtContent>
                      <w:r>
                        <w:rPr>
                          <w:kern w:val="2"/>
                          <w:szCs w:val="24"/>
                          <w:lang w:val="lt" w:eastAsia="lt-LT"/>
                        </w:rPr>
                        <w:t>6.1</w:t>
                      </w:r>
                    </w:sdtContent>
                  </w:sdt>
                  <w:r>
                    <w:rPr>
                      <w:kern w:val="2"/>
                      <w:szCs w:val="24"/>
                      <w:lang w:val="lt" w:eastAsia="lt-LT"/>
                    </w:rPr>
                    <w:t xml:space="preserve">. Šalys įsipareigoja užtikrinti tinkamą asmens duomenų, gautų vykdant šią Sutartį, tvarkymą, atitinkantį 2016 m. balandžio 27 d. Europos Parlamento ir Tarybos reglamente </w:t>
                  </w:r>
                  <w:fldSimple w:instr="HYPERLINK http://eur-lex.europa.eu/legal-content/LIT/TXT/?uri=CELEX:32679R2016&amp;locale=lt \t _blank">
                    <w:r>
                      <w:rPr>
                        <w:kern w:val="2"/>
                        <w:szCs w:val="24"/>
                        <w:lang w:val="lt" w:eastAsia="lt-LT"/>
                        <w:u w:val="single"/>
                        <w:color w:val="0000FF" w:themeColor="hyperlink"/>
                      </w:rPr>
                      <w:t>(ES) Nr. 2016/679</w:t>
                    </w:r>
                  </w:fldSimple>
                  <w:r>
                    <w:rPr>
                      <w:kern w:val="2"/>
                      <w:szCs w:val="24"/>
                      <w:lang w:val="lt" w:eastAsia="lt-LT"/>
                    </w:rPr>
                    <w:t xml:space="preserve"> dėl fizinių asmenų apsaugos tvarkant asmens duomenis ir dėl laisvo tokių duomenų judėjimo ir kuriuo panaikinama Direktyva </w:t>
                  </w:r>
                  <w:fldSimple w:instr="HYPERLINK http://eur-lex.europa.eu/legal-content/LIT/TXT/?uri=CELEX:32046L0095&amp;locale=lt \t _blank">
                    <w:r>
                      <w:rPr>
                        <w:kern w:val="2"/>
                        <w:szCs w:val="24"/>
                        <w:lang w:val="lt" w:eastAsia="lt-LT"/>
                        <w:u w:val="single"/>
                        <w:color w:val="0000FF" w:themeColor="hyperlink"/>
                      </w:rPr>
                      <w:t>Nr. 95/46/EB</w:t>
                    </w:r>
                  </w:fldSimple>
                  <w:r>
                    <w:rPr>
                      <w:kern w:val="2"/>
                      <w:szCs w:val="24"/>
                      <w:lang w:val="lt" w:eastAsia="lt-LT"/>
                    </w:rPr>
                    <w:t xml:space="preserve"> (tolau – Bendrasis duomenų apsaugos reglamentas, BDAR) bei Lietuvos Respublikos asmens duomenų teisinės apsaugos įstatyme keliamus reikalavimus.</w:t>
                  </w:r>
                </w:p>
              </w:sdtContent>
            </w:sdt>
            <w:sdt>
              <w:sdtPr>
                <w:alias w:val="6.2 pp."/>
                <w:tag w:val="part_eb76a3533c294aa1a5bcca124e321085"/>
                <w:lock w:val="sdtLocked"/>
                <w:richText/>
              </w:sdtPr>
              <w:sdtContent>
                <w:p>
                  <w:pPr>
                    <w:widowControl w:val="0"/>
                    <w:tabs>
                      <w:tab w:val="left" w:pos="3686"/>
                      <w:tab w:val="left" w:pos="3969"/>
                      <w:tab w:val="left" w:pos="8758"/>
                    </w:tabs>
                    <w:spacing w:line="276" w:lineRule="auto"/>
                    <w:ind w:firstLine="709"/>
                    <w:jc w:val="both"/>
                    <w:rPr>
                      <w:kern w:val="2"/>
                      <w:szCs w:val="24"/>
                      <w:lang w:val="lt" w:eastAsia="lt-LT"/>
                    </w:rPr>
                  </w:pPr>
                  <w:sdt>
                    <w:sdtPr>
                      <w:alias w:val="Numeris"/>
                      <w:tag w:val="nr_eb76a3533c294aa1a5bcca124e321085"/>
                      <w:lock w:val="sdtLocked"/>
                      <w:richText/>
                    </w:sdtPr>
                    <w:sdtContent>
                      <w:r>
                        <w:rPr>
                          <w:kern w:val="2"/>
                          <w:szCs w:val="24"/>
                          <w:lang w:val="lt" w:eastAsia="lt-LT"/>
                        </w:rPr>
                        <w:t>6.2</w:t>
                      </w:r>
                    </w:sdtContent>
                  </w:sdt>
                  <w:r>
                    <w:rPr>
                      <w:kern w:val="2"/>
                      <w:szCs w:val="24"/>
                      <w:lang w:val="lt" w:eastAsia="lt-LT"/>
                    </w:rPr>
                    <w:t>. Partneris užtikrina, jog yra gauti fizinių asmenų sutikimai, ir sutinka, kad Projekto vykdytojas, laikydamasis BDAR reikalavimų, tvarkytų fizinių asmenų asmens duomenis, kuriuos Partneris pateiks Projekto vykdytojui vykdydamas šią Sutartį.</w:t>
                  </w:r>
                </w:p>
                <w:p>
                  <w:pPr>
                    <w:widowControl w:val="0"/>
                    <w:tabs>
                      <w:tab w:val="left" w:pos="3686"/>
                      <w:tab w:val="left" w:pos="3969"/>
                      <w:tab w:val="left" w:pos="8758"/>
                    </w:tabs>
                    <w:spacing w:line="276" w:lineRule="auto"/>
                    <w:jc w:val="both"/>
                    <w:rPr>
                      <w:b/>
                      <w:spacing w:val="10"/>
                      <w:kern w:val="2"/>
                      <w:szCs w:val="24"/>
                      <w:shd w:val="clear" w:color="auto" w:fill="FFFFFF"/>
                    </w:rPr>
                  </w:pPr>
                </w:p>
              </w:sdtContent>
            </w:sdt>
          </w:sdtContent>
        </w:sdt>
        <w:sdt>
          <w:sdtPr>
            <w:alias w:val="skyrius"/>
            <w:tag w:val="part_e565a3c1b2e345168b324a1c6d99dcfa"/>
            <w:lock w:val="sdtLocked"/>
            <w:richText/>
          </w:sdtPr>
          <w:sdtContent>
            <w:p>
              <w:pPr>
                <w:widowControl w:val="0"/>
                <w:tabs>
                  <w:tab w:val="left" w:pos="3686"/>
                  <w:tab w:val="left" w:pos="3969"/>
                  <w:tab w:val="left" w:pos="8758"/>
                </w:tabs>
                <w:spacing w:line="276" w:lineRule="auto"/>
                <w:jc w:val="center"/>
                <w:rPr>
                  <w:b/>
                  <w:spacing w:val="10"/>
                  <w:kern w:val="2"/>
                  <w:szCs w:val="24"/>
                  <w:shd w:val="clear" w:color="auto" w:fill="FFFFFF"/>
                  <w:lang w:val="lt"/>
                </w:rPr>
              </w:pPr>
              <w:sdt>
                <w:sdtPr>
                  <w:alias w:val="Numeris"/>
                  <w:tag w:val="nr_e565a3c1b2e345168b324a1c6d99dcfa"/>
                  <w:lock w:val="sdtLocked"/>
                  <w:richText/>
                </w:sdtPr>
                <w:sdtContent>
                  <w:r>
                    <w:rPr>
                      <w:b/>
                      <w:spacing w:val="10"/>
                      <w:kern w:val="2"/>
                      <w:szCs w:val="24"/>
                      <w:shd w:val="clear" w:color="auto" w:fill="FFFFFF"/>
                      <w:lang w:val="lt"/>
                    </w:rPr>
                    <w:t>VII</w:t>
                  </w:r>
                </w:sdtContent>
              </w:sdt>
              <w:r>
                <w:rPr>
                  <w:b/>
                  <w:spacing w:val="10"/>
                  <w:kern w:val="2"/>
                  <w:szCs w:val="24"/>
                  <w:shd w:val="clear" w:color="auto" w:fill="FFFFFF"/>
                  <w:lang w:val="lt"/>
                </w:rPr>
                <w:t xml:space="preserve"> SKYRIUS</w:t>
              </w:r>
            </w:p>
            <w:p>
              <w:pPr>
                <w:widowControl w:val="0"/>
                <w:tabs>
                  <w:tab w:val="left" w:pos="3686"/>
                  <w:tab w:val="left" w:pos="3969"/>
                  <w:tab w:val="left" w:pos="8758"/>
                </w:tabs>
                <w:spacing w:line="276" w:lineRule="auto"/>
                <w:jc w:val="center"/>
                <w:rPr>
                  <w:b/>
                  <w:spacing w:val="10"/>
                  <w:kern w:val="2"/>
                  <w:szCs w:val="24"/>
                  <w:shd w:val="clear" w:color="auto" w:fill="FFFFFF"/>
                </w:rPr>
              </w:pPr>
              <w:sdt>
                <w:sdtPr>
                  <w:alias w:val="Pavadinimas"/>
                  <w:tag w:val="title_e565a3c1b2e345168b324a1c6d99dcfa"/>
                  <w:lock w:val="sdtLocked"/>
                  <w:richText/>
                </w:sdtPr>
                <w:sdtContent>
                  <w:r>
                    <w:rPr>
                      <w:b/>
                      <w:spacing w:val="10"/>
                      <w:kern w:val="2"/>
                      <w:szCs w:val="24"/>
                      <w:shd w:val="clear" w:color="auto" w:fill="FFFFFF"/>
                      <w:lang w:val="lt"/>
                    </w:rPr>
                    <w:t>KEITIMASIS INFORMACIJA TARP SUTARTIES ŠALIŲ. KONFIDENCIALUMO UŽTIKRINIMAS</w:t>
                  </w:r>
                </w:sdtContent>
              </w:sdt>
            </w:p>
            <w:p>
              <w:pPr>
                <w:widowControl w:val="0"/>
                <w:tabs>
                  <w:tab w:val="left" w:pos="3686"/>
                  <w:tab w:val="left" w:pos="3969"/>
                  <w:tab w:val="left" w:pos="8758"/>
                </w:tabs>
                <w:spacing w:line="276" w:lineRule="auto"/>
                <w:ind w:left="1440"/>
                <w:rPr>
                  <w:b/>
                  <w:spacing w:val="10"/>
                  <w:kern w:val="2"/>
                  <w:szCs w:val="24"/>
                  <w:shd w:val="clear" w:color="auto" w:fill="FFFFFF"/>
                </w:rPr>
              </w:pPr>
            </w:p>
            <w:sdt>
              <w:sdtPr>
                <w:alias w:val="7.1 pp."/>
                <w:tag w:val="part_0e86604e9ccd4c0fbb9619c36eb8b1ff"/>
                <w:lock w:val="sdtLocked"/>
                <w:richText/>
              </w:sdtPr>
              <w:sdtContent>
                <w:p>
                  <w:pPr>
                    <w:widowControl w:val="0"/>
                    <w:tabs>
                      <w:tab w:val="left" w:pos="3686"/>
                      <w:tab w:val="left" w:pos="3969"/>
                      <w:tab w:val="left" w:pos="8758"/>
                    </w:tabs>
                    <w:spacing w:line="276" w:lineRule="auto"/>
                    <w:ind w:firstLine="709"/>
                    <w:jc w:val="both"/>
                    <w:rPr>
                      <w:kern w:val="2"/>
                      <w:szCs w:val="24"/>
                      <w:shd w:val="clear" w:color="auto" w:fill="FFFFFF"/>
                      <w:lang w:val="lt" w:eastAsia="lt-LT"/>
                    </w:rPr>
                  </w:pPr>
                  <w:sdt>
                    <w:sdtPr>
                      <w:alias w:val="Numeris"/>
                      <w:tag w:val="nr_0e86604e9ccd4c0fbb9619c36eb8b1ff"/>
                      <w:lock w:val="sdtLocked"/>
                      <w:richText/>
                    </w:sdtPr>
                    <w:sdtContent>
                      <w:r>
                        <w:rPr>
                          <w:bCs/>
                          <w:spacing w:val="10"/>
                          <w:kern w:val="2"/>
                          <w:szCs w:val="24"/>
                          <w:shd w:val="clear" w:color="auto" w:fill="FFFFFF"/>
                          <w:lang w:val="lt"/>
                        </w:rPr>
                        <w:t>7.1</w:t>
                      </w:r>
                    </w:sdtContent>
                  </w:sdt>
                  <w:r>
                    <w:rPr>
                      <w:bCs/>
                      <w:spacing w:val="10"/>
                      <w:kern w:val="2"/>
                      <w:szCs w:val="24"/>
                      <w:shd w:val="clear" w:color="auto" w:fill="FFFFFF"/>
                      <w:lang w:val="lt"/>
                    </w:rPr>
                    <w:t xml:space="preserve">. </w:t>
                  </w:r>
                  <w:r>
                    <w:rPr>
                      <w:kern w:val="2"/>
                      <w:szCs w:val="24"/>
                      <w:shd w:val="clear" w:color="auto" w:fill="FFFFFF"/>
                      <w:lang w:val="lt" w:eastAsia="lt-LT"/>
                    </w:rPr>
                    <w:t>Šalys įsipareigoja vienos kitoms teikti su vykdomu Projektu susijusią informaciją.</w:t>
                  </w:r>
                </w:p>
              </w:sdtContent>
            </w:sdt>
            <w:sdt>
              <w:sdtPr>
                <w:alias w:val="7.2 pp."/>
                <w:tag w:val="part_2c6c8fc38f764794b3f0b8f430ace173"/>
                <w:lock w:val="sdtLocked"/>
                <w:richText/>
              </w:sdtPr>
              <w:sdtContent>
                <w:p>
                  <w:pPr>
                    <w:widowControl w:val="0"/>
                    <w:tabs>
                      <w:tab w:val="left" w:pos="3686"/>
                      <w:tab w:val="left" w:pos="3969"/>
                      <w:tab w:val="left" w:pos="8758"/>
                    </w:tabs>
                    <w:spacing w:line="276" w:lineRule="auto"/>
                    <w:ind w:firstLine="709"/>
                    <w:jc w:val="both"/>
                    <w:rPr>
                      <w:kern w:val="2"/>
                      <w:szCs w:val="24"/>
                      <w:shd w:val="clear" w:color="auto" w:fill="FFFFFF"/>
                      <w:lang w:val="lt" w:eastAsia="lt-LT"/>
                    </w:rPr>
                  </w:pPr>
                  <w:sdt>
                    <w:sdtPr>
                      <w:alias w:val="Numeris"/>
                      <w:tag w:val="nr_2c6c8fc38f764794b3f0b8f430ace173"/>
                      <w:lock w:val="sdtLocked"/>
                      <w:richText/>
                    </w:sdtPr>
                    <w:sdtContent>
                      <w:r>
                        <w:rPr>
                          <w:kern w:val="2"/>
                          <w:szCs w:val="24"/>
                          <w:shd w:val="clear" w:color="auto" w:fill="FFFFFF"/>
                          <w:lang w:val="lt" w:eastAsia="lt-LT"/>
                        </w:rPr>
                        <w:t>7.2</w:t>
                      </w:r>
                    </w:sdtContent>
                  </w:sdt>
                  <w:r>
                    <w:rPr>
                      <w:kern w:val="2"/>
                      <w:szCs w:val="24"/>
                      <w:shd w:val="clear" w:color="auto" w:fill="FFFFFF"/>
                      <w:lang w:val="lt" w:eastAsia="lt-LT"/>
                    </w:rPr>
                    <w:t>. Informacija yra teikiama pagal poreikį Šalims priimtinais terminais bei atsižvelgiant į administruojančiosios institucijos ir kitų institucijų nustatytus terminus su projekto vykdymu susijusiai informacijai pateikti.</w:t>
                  </w:r>
                </w:p>
              </w:sdtContent>
            </w:sdt>
            <w:sdt>
              <w:sdtPr>
                <w:alias w:val="7.3 pp."/>
                <w:tag w:val="part_4e1f4d4407ed49faa5b0ac308cce347c"/>
                <w:lock w:val="sdtLocked"/>
                <w:richText/>
              </w:sdtPr>
              <w:sdtContent>
                <w:p>
                  <w:pPr>
                    <w:widowControl w:val="0"/>
                    <w:tabs>
                      <w:tab w:val="left" w:pos="3686"/>
                      <w:tab w:val="left" w:pos="3969"/>
                      <w:tab w:val="left" w:pos="8758"/>
                    </w:tabs>
                    <w:spacing w:line="276" w:lineRule="auto"/>
                    <w:ind w:firstLine="709"/>
                    <w:jc w:val="both"/>
                    <w:rPr>
                      <w:kern w:val="2"/>
                      <w:szCs w:val="24"/>
                      <w:shd w:val="clear" w:color="auto" w:fill="FFFFFF"/>
                      <w:lang w:val="lt" w:eastAsia="lt-LT"/>
                    </w:rPr>
                  </w:pPr>
                  <w:sdt>
                    <w:sdtPr>
                      <w:alias w:val="Numeris"/>
                      <w:tag w:val="nr_4e1f4d4407ed49faa5b0ac308cce347c"/>
                      <w:lock w:val="sdtLocked"/>
                      <w:richText/>
                    </w:sdtPr>
                    <w:sdtContent>
                      <w:r>
                        <w:rPr>
                          <w:kern w:val="2"/>
                          <w:szCs w:val="24"/>
                          <w:shd w:val="clear" w:color="auto" w:fill="FFFFFF"/>
                          <w:lang w:val="lt" w:eastAsia="lt-LT"/>
                        </w:rPr>
                        <w:t>7.3</w:t>
                      </w:r>
                    </w:sdtContent>
                  </w:sdt>
                  <w:r>
                    <w:rPr>
                      <w:kern w:val="2"/>
                      <w:szCs w:val="24"/>
                      <w:shd w:val="clear" w:color="auto" w:fill="FFFFFF"/>
                      <w:lang w:val="lt" w:eastAsia="lt-LT"/>
                    </w:rPr>
                    <w:t>. Sutarties vykdymo laikotarpiu Šalių viena kitai teikiama informacija gali būti laikoma konfidencialia, jei informaciją teikianti Šalis tai aiškiai ir nedviprasmiškai nurodo ar informacijos konfidencialumas aiškiai ir nedviprasmiškai nurodomas pateiktuose dokumentuose. Konfidencialia informacija negali būti laikoma viešai skelbiama paskelbta informacija bei kita informacija, kuri pagal teisės aktų reikalavimus negali būti laikoma nevieša informacija. Šalis ketinanti atskleisti trečiajam asmeniui kitos Šalies pateiktą informaciją turi kreiptis dėl raštiško kitos Šalies sutikimo arba trečiąjį asmenį norintį gauti atitinkamą informaciją nukreipti kreiptis į Šalį, kuriai priklauso prašoma informacija. Ribojimas atskleisti informaciją netaikomas, kai toks informacijos paviešinimas yra būtinas ir numatytas Lietuvos Respublikos įstatymuose ir (ar) informacijos reikalauja pagal Lietuvos Respublikos galiojančius įstatymus ir teisės aktus tokią informaciją gauti turinčios institucijos. Ribojimas atskleisti informaciją netaikomas informaciją perduodant Projektą administruojantiems asmenims, jei jie nėra Partnerio darbuotojai.</w:t>
                  </w:r>
                </w:p>
                <w:p>
                  <w:pPr>
                    <w:widowControl w:val="0"/>
                    <w:tabs>
                      <w:tab w:val="left" w:pos="3686"/>
                      <w:tab w:val="left" w:pos="3969"/>
                      <w:tab w:val="left" w:pos="8758"/>
                    </w:tabs>
                    <w:spacing w:line="276" w:lineRule="auto"/>
                    <w:jc w:val="both"/>
                    <w:rPr>
                      <w:bCs/>
                      <w:spacing w:val="10"/>
                      <w:kern w:val="2"/>
                      <w:szCs w:val="24"/>
                      <w:shd w:val="clear" w:color="auto" w:fill="FFFFFF"/>
                    </w:rPr>
                  </w:pPr>
                </w:p>
              </w:sdtContent>
            </w:sdt>
          </w:sdtContent>
        </w:sdt>
        <w:sdt>
          <w:sdtPr>
            <w:alias w:val="skyrius"/>
            <w:tag w:val="part_899a660e6b9640bd9411efc077f47484"/>
            <w:lock w:val="sdtLocked"/>
            <w:richText/>
          </w:sdtPr>
          <w:sdtContent>
            <w:p>
              <w:pPr>
                <w:widowControl w:val="0"/>
                <w:tabs>
                  <w:tab w:val="left" w:pos="3686"/>
                  <w:tab w:val="left" w:pos="3969"/>
                  <w:tab w:val="left" w:pos="8758"/>
                </w:tabs>
                <w:spacing w:line="276" w:lineRule="auto"/>
                <w:jc w:val="center"/>
                <w:rPr>
                  <w:b/>
                  <w:spacing w:val="10"/>
                  <w:kern w:val="2"/>
                  <w:szCs w:val="24"/>
                  <w:shd w:val="clear" w:color="auto" w:fill="FFFFFF"/>
                </w:rPr>
              </w:pPr>
              <w:sdt>
                <w:sdtPr>
                  <w:alias w:val="Numeris"/>
                  <w:tag w:val="nr_899a660e6b9640bd9411efc077f47484"/>
                  <w:lock w:val="sdtLocked"/>
                  <w:richText/>
                </w:sdtPr>
                <w:sdtContent>
                  <w:r>
                    <w:rPr>
                      <w:b/>
                      <w:spacing w:val="10"/>
                      <w:kern w:val="2"/>
                      <w:szCs w:val="24"/>
                      <w:shd w:val="clear" w:color="auto" w:fill="FFFFFF"/>
                    </w:rPr>
                    <w:t>VIII</w:t>
                  </w:r>
                </w:sdtContent>
              </w:sdt>
              <w:r>
                <w:rPr>
                  <w:b/>
                  <w:spacing w:val="10"/>
                  <w:kern w:val="2"/>
                  <w:szCs w:val="24"/>
                  <w:shd w:val="clear" w:color="auto" w:fill="FFFFFF"/>
                </w:rPr>
                <w:t xml:space="preserve"> SKYRIUS</w:t>
              </w:r>
            </w:p>
            <w:p>
              <w:pPr>
                <w:widowControl w:val="0"/>
                <w:tabs>
                  <w:tab w:val="left" w:pos="3686"/>
                  <w:tab w:val="left" w:pos="3969"/>
                  <w:tab w:val="left" w:pos="8758"/>
                </w:tabs>
                <w:spacing w:line="276" w:lineRule="auto"/>
                <w:jc w:val="center"/>
                <w:rPr>
                  <w:b/>
                  <w:spacing w:val="10"/>
                  <w:kern w:val="2"/>
                  <w:szCs w:val="24"/>
                  <w:shd w:val="clear" w:color="auto" w:fill="FFFFFF"/>
                </w:rPr>
              </w:pPr>
              <w:sdt>
                <w:sdtPr>
                  <w:alias w:val="Pavadinimas"/>
                  <w:tag w:val="title_899a660e6b9640bd9411efc077f47484"/>
                  <w:lock w:val="sdtLocked"/>
                  <w:richText/>
                </w:sdtPr>
                <w:sdtContent>
                  <w:r>
                    <w:rPr>
                      <w:b/>
                      <w:spacing w:val="10"/>
                      <w:kern w:val="2"/>
                      <w:szCs w:val="24"/>
                      <w:shd w:val="clear" w:color="auto" w:fill="FFFFFF"/>
                    </w:rPr>
                    <w:t>NENUGALIMOS JĖGOS</w:t>
                  </w:r>
                </w:sdtContent>
              </w:sdt>
            </w:p>
            <w:p>
              <w:pPr>
                <w:widowControl w:val="0"/>
                <w:tabs>
                  <w:tab w:val="left" w:pos="3686"/>
                  <w:tab w:val="left" w:pos="3969"/>
                  <w:tab w:val="left" w:pos="8758"/>
                </w:tabs>
                <w:spacing w:line="276" w:lineRule="auto"/>
                <w:ind w:left="1440"/>
                <w:rPr>
                  <w:b/>
                  <w:spacing w:val="10"/>
                  <w:kern w:val="2"/>
                  <w:szCs w:val="24"/>
                  <w:shd w:val="clear" w:color="auto" w:fill="FFFFFF"/>
                </w:rPr>
              </w:pPr>
            </w:p>
            <w:sdt>
              <w:sdtPr>
                <w:alias w:val="8.1 pp."/>
                <w:tag w:val="part_16fbd59a89614585ab4a5bf1fb0158f7"/>
                <w:lock w:val="sdtLocked"/>
                <w:richText/>
              </w:sdtPr>
              <w:sdtContent>
                <w:p>
                  <w:pPr>
                    <w:widowControl w:val="0"/>
                    <w:tabs>
                      <w:tab w:val="left" w:pos="567"/>
                    </w:tabs>
                    <w:spacing w:line="276" w:lineRule="auto"/>
                    <w:ind w:right="60" w:firstLine="709"/>
                    <w:jc w:val="both"/>
                    <w:rPr>
                      <w:kern w:val="2"/>
                      <w:szCs w:val="24"/>
                      <w:lang w:eastAsia="lt-LT"/>
                    </w:rPr>
                  </w:pPr>
                  <w:sdt>
                    <w:sdtPr>
                      <w:alias w:val="Numeris"/>
                      <w:tag w:val="nr_16fbd59a89614585ab4a5bf1fb0158f7"/>
                      <w:lock w:val="sdtLocked"/>
                      <w:richText/>
                    </w:sdtPr>
                    <w:sdtContent>
                      <w:r>
                        <w:rPr>
                          <w:kern w:val="2"/>
                          <w:szCs w:val="24"/>
                          <w:lang w:val="lt" w:eastAsia="lt-LT"/>
                        </w:rPr>
                        <w:t>8.1</w:t>
                      </w:r>
                    </w:sdtContent>
                  </w:sdt>
                  <w:r>
                    <w:rPr>
                      <w:kern w:val="2"/>
                      <w:szCs w:val="24"/>
                      <w:lang w:val="lt" w:eastAsia="lt-LT"/>
                    </w:rPr>
                    <w:t>. Nei viena iš Šalių, pasirašiusių Sutartį, neatsako už dalinį arba visišką įsipareigojimų neįvykdymą, jeigu tai įvyko dėl aplinkybių, kurių Šalis negalėjo kontroliuoti bei protingai numatyti Sutarties sudarymo metu, ir negalėjo užkirsti kelio šių aplinkybių ar jų pasekmių atsiradimui. Esant minėtoms aplinkybėms, Sutartyje nurodytų įsipareigojimų įvykdymo terminas pailginamas nenugalimosios jėgos (</w:t>
                  </w:r>
                  <w:r>
                    <w:rPr>
                      <w:i/>
                      <w:iCs/>
                      <w:spacing w:val="10"/>
                      <w:kern w:val="2"/>
                      <w:szCs w:val="24"/>
                      <w:lang w:val="lt" w:eastAsia="lt-LT"/>
                    </w:rPr>
                    <w:t>force majeure)</w:t>
                  </w:r>
                  <w:r>
                    <w:rPr>
                      <w:kern w:val="2"/>
                      <w:szCs w:val="24"/>
                      <w:lang w:val="lt" w:eastAsia="lt-LT"/>
                    </w:rPr>
                    <w:t xml:space="preserve"> veikimo laikotarpiui.</w:t>
                  </w:r>
                </w:p>
              </w:sdtContent>
            </w:sdt>
            <w:sdt>
              <w:sdtPr>
                <w:alias w:val="8.2 pp."/>
                <w:tag w:val="part_b0935ecd76f544c7ac353df74ad10062"/>
                <w:lock w:val="sdtLocked"/>
                <w:richText/>
              </w:sdtPr>
              <w:sdtContent>
                <w:p>
                  <w:pPr>
                    <w:widowControl w:val="0"/>
                    <w:tabs>
                      <w:tab w:val="left" w:pos="567"/>
                    </w:tabs>
                    <w:spacing w:line="276" w:lineRule="auto"/>
                    <w:ind w:right="60" w:firstLine="709"/>
                    <w:jc w:val="both"/>
                    <w:rPr>
                      <w:kern w:val="2"/>
                      <w:szCs w:val="24"/>
                      <w:lang w:val="lt" w:eastAsia="lt-LT"/>
                    </w:rPr>
                  </w:pPr>
                  <w:sdt>
                    <w:sdtPr>
                      <w:alias w:val="Numeris"/>
                      <w:tag w:val="nr_b0935ecd76f544c7ac353df74ad10062"/>
                      <w:lock w:val="sdtLocked"/>
                      <w:richText/>
                    </w:sdtPr>
                    <w:sdtContent>
                      <w:r>
                        <w:rPr>
                          <w:kern w:val="2"/>
                          <w:szCs w:val="24"/>
                          <w:lang w:val="lt" w:eastAsia="lt-LT"/>
                        </w:rPr>
                        <w:t>8.</w:t>
                      </w:r>
                      <w:r>
                        <w:rPr>
                          <w:kern w:val="2"/>
                          <w:szCs w:val="24"/>
                          <w:lang w:eastAsia="lt-LT"/>
                        </w:rPr>
                        <w:t>2</w:t>
                      </w:r>
                    </w:sdtContent>
                  </w:sdt>
                  <w:r>
                    <w:rPr>
                      <w:kern w:val="2"/>
                      <w:szCs w:val="24"/>
                      <w:lang w:eastAsia="lt-LT"/>
                    </w:rPr>
                    <w:t xml:space="preserve">. </w:t>
                  </w:r>
                  <w:r>
                    <w:rPr>
                      <w:kern w:val="2"/>
                      <w:szCs w:val="24"/>
                      <w:lang w:val="lt" w:eastAsia="lt-LT"/>
                    </w:rPr>
                    <w:t>Šalis, kuri negali įvykdyti savo įsipareigojimų dėl</w:t>
                  </w:r>
                  <w:r>
                    <w:rPr>
                      <w:i/>
                      <w:iCs/>
                      <w:spacing w:val="10"/>
                      <w:kern w:val="2"/>
                      <w:szCs w:val="24"/>
                      <w:lang w:val="lt" w:eastAsia="lt-LT"/>
                    </w:rPr>
                    <w:t xml:space="preserve"> </w:t>
                  </w:r>
                  <w:r>
                    <w:rPr>
                      <w:kern w:val="2"/>
                      <w:szCs w:val="24"/>
                      <w:lang w:val="lt" w:eastAsia="lt-LT"/>
                    </w:rPr>
                    <w:t>nenugalimosios jėgos (</w:t>
                  </w:r>
                  <w:r>
                    <w:rPr>
                      <w:i/>
                      <w:iCs/>
                      <w:spacing w:val="10"/>
                      <w:kern w:val="2"/>
                      <w:szCs w:val="24"/>
                      <w:lang w:val="lt" w:eastAsia="lt-LT"/>
                    </w:rPr>
                    <w:t>force majeure)</w:t>
                  </w:r>
                  <w:r>
                    <w:rPr>
                      <w:kern w:val="2"/>
                      <w:szCs w:val="24"/>
                      <w:lang w:val="lt" w:eastAsia="lt-LT"/>
                    </w:rPr>
                    <w:t xml:space="preserve">  aplinkybių, privalo apie tai nedelsdama, bet ne vėliau kaip per 7 (septynias) darbo dienas nuo šių aplinkybių atsiradimo, raštu pranešti kitai Šaliai. Pranešime nurodyti faktai vėliau turi būti patvirtinti kompetentingos valdžios institucijos. Šį kompetentingos valdžios institucijos patvirtinimą Šalis turi pateikti kitai Šaliai per 7 (septynias) darbo dienas nuo kompetentingos valdžios institucijos patvirtinimo gavimo. Pavėluotai informavus kitą Šalį arba nepateikus informacijos, neleidžiama remtis išvardytomis aplinkybėmis, atleidžiančiomis nuo atsakomybės dėl prisiimtų įsipareigojimų pavėluoto įvykdymo arba neįvykdymo.</w:t>
                  </w:r>
                </w:p>
              </w:sdtContent>
            </w:sdt>
            <w:sdt>
              <w:sdtPr>
                <w:alias w:val="8.3 pp."/>
                <w:tag w:val="part_9f77c399111c401ebe996d30fb1e2f24"/>
                <w:lock w:val="sdtLocked"/>
                <w:richText/>
              </w:sdtPr>
              <w:sdtContent>
                <w:p>
                  <w:pPr>
                    <w:widowControl w:val="0"/>
                    <w:tabs>
                      <w:tab w:val="left" w:pos="567"/>
                    </w:tabs>
                    <w:spacing w:line="276" w:lineRule="auto"/>
                    <w:ind w:right="60" w:firstLine="709"/>
                    <w:jc w:val="both"/>
                    <w:rPr>
                      <w:kern w:val="2"/>
                      <w:szCs w:val="24"/>
                      <w:lang w:eastAsia="lt-LT"/>
                    </w:rPr>
                  </w:pPr>
                  <w:sdt>
                    <w:sdtPr>
                      <w:alias w:val="Numeris"/>
                      <w:tag w:val="nr_9f77c399111c401ebe996d30fb1e2f24"/>
                      <w:lock w:val="sdtLocked"/>
                      <w:richText/>
                    </w:sdtPr>
                    <w:sdtContent>
                      <w:r>
                        <w:rPr>
                          <w:color w:val="000000"/>
                          <w:kern w:val="2"/>
                          <w:szCs w:val="24"/>
                          <w:lang w:val="lt" w:eastAsia="lt-LT"/>
                        </w:rPr>
                        <w:t>8.3</w:t>
                      </w:r>
                    </w:sdtContent>
                  </w:sdt>
                  <w:r>
                    <w:rPr>
                      <w:color w:val="000000"/>
                      <w:kern w:val="2"/>
                      <w:szCs w:val="24"/>
                      <w:lang w:val="lt" w:eastAsia="lt-LT"/>
                    </w:rPr>
                    <w:t>. Nenugalimos jėgos aplinkybių buvimas nustatomas vadovaujantis Lietuvos Respublikos civilinio kodekso 6.212 straipsniu, Lietuvos Respublikos Vyriausybės 1996 m. liepos 15 d. nutarimu Nr. 840 „Dėl atleidimo nuo atsakomybės esant nenugalimos jėgos (force majeure) aplinkybėms taisyklių patvirtinimo" bei Lietuvos Respublikos Vyriausybės 1997 m. kovo 13 d. nutarimu Nr. 222 „Dėl nenugalimos jėgos (force majeure) aplinkybes liudijančių pažymų išdavimo tvarkos patvirtinimo“.</w:t>
                  </w:r>
                </w:p>
                <w:p>
                  <w:pPr>
                    <w:widowControl w:val="0"/>
                    <w:tabs>
                      <w:tab w:val="left" w:pos="1024"/>
                      <w:tab w:val="left" w:pos="8758"/>
                    </w:tabs>
                    <w:spacing w:line="276" w:lineRule="auto"/>
                    <w:jc w:val="both"/>
                    <w:rPr>
                      <w:spacing w:val="10"/>
                      <w:kern w:val="2"/>
                      <w:szCs w:val="24"/>
                    </w:rPr>
                  </w:pPr>
                </w:p>
              </w:sdtContent>
            </w:sdt>
          </w:sdtContent>
        </w:sdt>
        <w:sdt>
          <w:sdtPr>
            <w:alias w:val="skyrius"/>
            <w:tag w:val="part_1906b66089ee4f179edec94b88835b6b"/>
            <w:lock w:val="sdtLocked"/>
            <w:richText/>
          </w:sdtPr>
          <w:sdtContent>
            <w:p>
              <w:pPr>
                <w:widowControl w:val="0"/>
                <w:tabs>
                  <w:tab w:val="left" w:pos="8758"/>
                </w:tabs>
                <w:spacing w:line="276" w:lineRule="auto"/>
                <w:jc w:val="center"/>
                <w:rPr>
                  <w:b/>
                  <w:spacing w:val="10"/>
                  <w:kern w:val="2"/>
                  <w:szCs w:val="24"/>
                  <w:shd w:val="clear" w:color="auto" w:fill="FFFFFF"/>
                </w:rPr>
              </w:pPr>
              <w:sdt>
                <w:sdtPr>
                  <w:alias w:val="Numeris"/>
                  <w:tag w:val="nr_1906b66089ee4f179edec94b88835b6b"/>
                  <w:lock w:val="sdtLocked"/>
                  <w:richText/>
                </w:sdtPr>
                <w:sdtContent>
                  <w:r>
                    <w:rPr>
                      <w:b/>
                      <w:spacing w:val="10"/>
                      <w:kern w:val="2"/>
                      <w:szCs w:val="24"/>
                      <w:shd w:val="clear" w:color="auto" w:fill="FFFFFF"/>
                    </w:rPr>
                    <w:t>IX</w:t>
                  </w:r>
                </w:sdtContent>
              </w:sdt>
              <w:r>
                <w:rPr>
                  <w:b/>
                  <w:spacing w:val="10"/>
                  <w:kern w:val="2"/>
                  <w:szCs w:val="24"/>
                  <w:shd w:val="clear" w:color="auto" w:fill="FFFFFF"/>
                </w:rPr>
                <w:t xml:space="preserve"> SKYRIUS</w:t>
              </w:r>
            </w:p>
            <w:p>
              <w:pPr>
                <w:widowControl w:val="0"/>
                <w:tabs>
                  <w:tab w:val="left" w:pos="8758"/>
                </w:tabs>
                <w:spacing w:line="276" w:lineRule="auto"/>
                <w:jc w:val="center"/>
                <w:rPr>
                  <w:b/>
                  <w:spacing w:val="10"/>
                  <w:kern w:val="2"/>
                  <w:szCs w:val="24"/>
                  <w:shd w:val="clear" w:color="auto" w:fill="FFFFFF"/>
                </w:rPr>
              </w:pPr>
              <w:sdt>
                <w:sdtPr>
                  <w:alias w:val="Pavadinimas"/>
                  <w:tag w:val="title_1906b66089ee4f179edec94b88835b6b"/>
                  <w:lock w:val="sdtLocked"/>
                  <w:richText/>
                </w:sdtPr>
                <w:sdtContent>
                  <w:r>
                    <w:rPr>
                      <w:b/>
                      <w:spacing w:val="10"/>
                      <w:kern w:val="2"/>
                      <w:szCs w:val="24"/>
                      <w:shd w:val="clear" w:color="auto" w:fill="FFFFFF"/>
                    </w:rPr>
                    <w:t>SUTARTIES VYKDYMO TERMINAI, GALIOJIMO, PAKEITIMO IR NUTRAUKIMO SĄLYGOS</w:t>
                  </w:r>
                </w:sdtContent>
              </w:sdt>
            </w:p>
            <w:p>
              <w:pPr>
                <w:widowControl w:val="0"/>
                <w:tabs>
                  <w:tab w:val="left" w:pos="8758"/>
                </w:tabs>
                <w:spacing w:line="276" w:lineRule="auto"/>
                <w:ind w:left="1440"/>
                <w:rPr>
                  <w:b/>
                  <w:spacing w:val="10"/>
                  <w:kern w:val="2"/>
                  <w:szCs w:val="24"/>
                  <w:shd w:val="clear" w:color="auto" w:fill="FFFFFF"/>
                </w:rPr>
              </w:pPr>
            </w:p>
            <w:sdt>
              <w:sdtPr>
                <w:alias w:val="9.1 pp."/>
                <w:tag w:val="part_491b9a94a78841419d50ec13e2938a7c"/>
                <w:lock w:val="sdtLocked"/>
                <w:richText/>
              </w:sdtPr>
              <w:sdtContent>
                <w:p>
                  <w:pPr>
                    <w:widowControl w:val="0"/>
                    <w:tabs>
                      <w:tab w:val="left" w:pos="0"/>
                      <w:tab w:val="left" w:pos="9498"/>
                    </w:tabs>
                    <w:spacing w:line="276" w:lineRule="auto"/>
                    <w:ind w:firstLine="709"/>
                    <w:jc w:val="both"/>
                    <w:rPr>
                      <w:kern w:val="2"/>
                      <w:szCs w:val="24"/>
                      <w:lang w:eastAsia="lt-LT"/>
                    </w:rPr>
                  </w:pPr>
                  <w:sdt>
                    <w:sdtPr>
                      <w:alias w:val="Numeris"/>
                      <w:tag w:val="nr_491b9a94a78841419d50ec13e2938a7c"/>
                      <w:lock w:val="sdtLocked"/>
                      <w:richText/>
                    </w:sdtPr>
                    <w:sdtContent>
                      <w:r>
                        <w:rPr>
                          <w:kern w:val="2"/>
                          <w:szCs w:val="24"/>
                          <w:lang w:eastAsia="lt-LT"/>
                        </w:rPr>
                        <w:t>9.1</w:t>
                      </w:r>
                    </w:sdtContent>
                  </w:sdt>
                  <w:r>
                    <w:rPr>
                      <w:kern w:val="2"/>
                      <w:szCs w:val="24"/>
                      <w:lang w:eastAsia="lt-LT"/>
                    </w:rPr>
                    <w:t xml:space="preserve">. Sutartis sudaroma raštu ir pasirašoma įgaliotų Šalių atstovų el. parašais. Sutartis įsigalioja nuo dienos, kai ją pasirašo abiejų Šalių įgalioti atstovai. Sutartis galioja iki Projekto įgyvendinimo pabaigos. </w:t>
                  </w:r>
                </w:p>
              </w:sdtContent>
            </w:sdt>
            <w:sdt>
              <w:sdtPr>
                <w:alias w:val="9.2 pp."/>
                <w:tag w:val="part_517a2d3536a94999a05b63e8cf9a5d15"/>
                <w:lock w:val="sdtLocked"/>
                <w:richText/>
              </w:sdtPr>
              <w:sdtContent>
                <w:p>
                  <w:pPr>
                    <w:widowControl w:val="0"/>
                    <w:tabs>
                      <w:tab w:val="left" w:pos="0"/>
                      <w:tab w:val="left" w:pos="9498"/>
                    </w:tabs>
                    <w:spacing w:line="276" w:lineRule="auto"/>
                    <w:ind w:firstLine="709"/>
                    <w:jc w:val="both"/>
                    <w:rPr>
                      <w:kern w:val="2"/>
                      <w:szCs w:val="24"/>
                      <w:lang w:eastAsia="lt-LT"/>
                    </w:rPr>
                  </w:pPr>
                  <w:sdt>
                    <w:sdtPr>
                      <w:alias w:val="Numeris"/>
                      <w:tag w:val="nr_517a2d3536a94999a05b63e8cf9a5d15"/>
                      <w:lock w:val="sdtLocked"/>
                      <w:richText/>
                    </w:sdtPr>
                    <w:sdtContent>
                      <w:r>
                        <w:rPr>
                          <w:kern w:val="2"/>
                          <w:szCs w:val="24"/>
                          <w:lang w:eastAsia="lt-LT"/>
                        </w:rPr>
                        <w:t>9.2</w:t>
                      </w:r>
                    </w:sdtContent>
                  </w:sdt>
                  <w:r>
                    <w:rPr>
                      <w:kern w:val="2"/>
                      <w:szCs w:val="24"/>
                      <w:lang w:eastAsia="lt-LT"/>
                    </w:rPr>
                    <w:t xml:space="preserve">. Sutartis gali būti keičiama ar nutraukiama rašytiniu Šalių susitarimu. </w:t>
                  </w:r>
                </w:p>
              </w:sdtContent>
            </w:sdt>
            <w:sdt>
              <w:sdtPr>
                <w:alias w:val="9.3 pp."/>
                <w:tag w:val="part_b8d2eb9266084a4ab713a3f6adf13f0a"/>
                <w:lock w:val="sdtLocked"/>
                <w:richText/>
              </w:sdtPr>
              <w:sdtContent>
                <w:p>
                  <w:pPr>
                    <w:widowControl w:val="0"/>
                    <w:tabs>
                      <w:tab w:val="left" w:pos="0"/>
                      <w:tab w:val="left" w:pos="9498"/>
                    </w:tabs>
                    <w:spacing w:line="276" w:lineRule="auto"/>
                    <w:ind w:firstLine="709"/>
                    <w:jc w:val="both"/>
                    <w:rPr>
                      <w:kern w:val="2"/>
                      <w:szCs w:val="24"/>
                      <w:lang w:eastAsia="lt-LT"/>
                    </w:rPr>
                  </w:pPr>
                  <w:sdt>
                    <w:sdtPr>
                      <w:alias w:val="Numeris"/>
                      <w:tag w:val="nr_b8d2eb9266084a4ab713a3f6adf13f0a"/>
                      <w:lock w:val="sdtLocked"/>
                      <w:richText/>
                    </w:sdtPr>
                    <w:sdtContent>
                      <w:r>
                        <w:rPr>
                          <w:kern w:val="2"/>
                          <w:szCs w:val="24"/>
                          <w:lang w:eastAsia="lt-LT"/>
                        </w:rPr>
                        <w:t>9.3</w:t>
                      </w:r>
                    </w:sdtContent>
                  </w:sdt>
                  <w:r>
                    <w:rPr>
                      <w:kern w:val="2"/>
                      <w:szCs w:val="24"/>
                      <w:lang w:eastAsia="lt-LT"/>
                    </w:rPr>
                    <w:t>. Sutarties galiojimo laikotarpiu Šalis, inicijuojanti Sutarties sąlygų pakeitimą, pateikia kitai Šaliai motyvuotą raštišką prašymą keisti Sutarties sąlygas bei dokumentų, pagrindžiančių prašyme nurodytas aplinkybes, argumentus ir paaiškinimus, kopijas (jei tokio pobūdžio prašymą galima pagrįsti dokumentais). Į pateiktą prašymą pakeisti atitinkamą Sutarties sąlygą kita Šalis motyvuotai atsako ne vėliau kaip per 20 (dvidešimt) kalendorinių dienų. Šalims nesutarus dėl Sutarties sąlygų keitimo Sutartis nekeičiama.</w:t>
                  </w:r>
                </w:p>
              </w:sdtContent>
            </w:sdt>
            <w:sdt>
              <w:sdtPr>
                <w:alias w:val="9.4 pp."/>
                <w:tag w:val="part_66c8d420a8424c8b9f72047115907283"/>
                <w:lock w:val="sdtLocked"/>
                <w:richText/>
              </w:sdtPr>
              <w:sdtContent>
                <w:p>
                  <w:pPr>
                    <w:widowControl w:val="0"/>
                    <w:tabs>
                      <w:tab w:val="left" w:pos="0"/>
                      <w:tab w:val="left" w:pos="9498"/>
                    </w:tabs>
                    <w:spacing w:line="276" w:lineRule="auto"/>
                    <w:ind w:firstLine="709"/>
                    <w:jc w:val="both"/>
                    <w:rPr>
                      <w:kern w:val="2"/>
                      <w:szCs w:val="24"/>
                      <w:lang w:eastAsia="lt-LT"/>
                    </w:rPr>
                  </w:pPr>
                  <w:sdt>
                    <w:sdtPr>
                      <w:alias w:val="Numeris"/>
                      <w:tag w:val="nr_66c8d420a8424c8b9f72047115907283"/>
                      <w:lock w:val="sdtLocked"/>
                      <w:richText/>
                    </w:sdtPr>
                    <w:sdtContent>
                      <w:r>
                        <w:rPr>
                          <w:kern w:val="2"/>
                          <w:szCs w:val="24"/>
                          <w:lang w:eastAsia="lt-LT"/>
                        </w:rPr>
                        <w:t>9.4</w:t>
                      </w:r>
                    </w:sdtContent>
                  </w:sdt>
                  <w:r>
                    <w:rPr>
                      <w:kern w:val="2"/>
                      <w:szCs w:val="24"/>
                      <w:lang w:eastAsia="lt-LT"/>
                    </w:rPr>
                    <w:t>. Jeigu Sutartis vienos Šalies nevykdoma arba netinkamai vykdoma, kita Šalis gali inicijuoti Sutarties nutraukimą. Sutartis gali būti nutraukiama vienašališkai, pranešus kitai Šaliai raštu apie Sutarties nutraukimą prieš 10 (dešimt) kalendorinių dienų.</w:t>
                  </w:r>
                </w:p>
              </w:sdtContent>
            </w:sdt>
            <w:sdt>
              <w:sdtPr>
                <w:alias w:val="9.5 pp."/>
                <w:tag w:val="part_f6b0001c91554365a018779229053717"/>
                <w:lock w:val="sdtLocked"/>
                <w:richText/>
              </w:sdtPr>
              <w:sdtContent>
                <w:p>
                  <w:pPr>
                    <w:widowControl w:val="0"/>
                    <w:tabs>
                      <w:tab w:val="left" w:pos="0"/>
                      <w:tab w:val="left" w:pos="9498"/>
                    </w:tabs>
                    <w:spacing w:line="276" w:lineRule="auto"/>
                    <w:ind w:firstLine="709"/>
                    <w:jc w:val="both"/>
                    <w:rPr>
                      <w:kern w:val="2"/>
                      <w:szCs w:val="24"/>
                      <w:lang w:eastAsia="lt-LT"/>
                    </w:rPr>
                  </w:pPr>
                  <w:sdt>
                    <w:sdtPr>
                      <w:alias w:val="Numeris"/>
                      <w:tag w:val="nr_f6b0001c91554365a018779229053717"/>
                      <w:lock w:val="sdtLocked"/>
                      <w:richText/>
                    </w:sdtPr>
                    <w:sdtContent>
                      <w:r>
                        <w:rPr>
                          <w:kern w:val="2"/>
                          <w:szCs w:val="24"/>
                          <w:lang w:eastAsia="lt-LT"/>
                        </w:rPr>
                        <w:t>9.5</w:t>
                      </w:r>
                    </w:sdtContent>
                  </w:sdt>
                  <w:r>
                    <w:rPr>
                      <w:kern w:val="2"/>
                      <w:szCs w:val="24"/>
                      <w:lang w:eastAsia="lt-LT"/>
                    </w:rPr>
                    <w:t>. Sutarties nutraukimas neatleidžia Šalių nuo tinkamo sutartinių įsipareigojimų, atsiradusių iki jos nutraukimo, įvykdymo. Šalys įsipareigoja tinkamai vykdyti savo įsipareigojimus, prisiimtus šia Sutartimi, ir susilaikyti nuo bet kokių veiksmų, kuriais galėtų padaryti žalos viena kitai ar apsunkintų kitos Šalies ar įsipareigojimų pagal Projektą įvykdymą.</w:t>
                  </w:r>
                </w:p>
                <w:p>
                  <w:pPr>
                    <w:widowControl w:val="0"/>
                    <w:tabs>
                      <w:tab w:val="left" w:pos="567"/>
                      <w:tab w:val="left" w:pos="9498"/>
                    </w:tabs>
                    <w:spacing w:line="276" w:lineRule="auto"/>
                    <w:jc w:val="both"/>
                    <w:rPr>
                      <w:kern w:val="2"/>
                      <w:szCs w:val="24"/>
                      <w:lang w:eastAsia="lt-LT"/>
                    </w:rPr>
                  </w:pPr>
                </w:p>
              </w:sdtContent>
            </w:sdt>
          </w:sdtContent>
        </w:sdt>
        <w:sdt>
          <w:sdtPr>
            <w:alias w:val="skyrius"/>
            <w:tag w:val="part_366345ce7de7486b98fb60cdad75f990"/>
            <w:lock w:val="sdtLocked"/>
            <w:richText/>
          </w:sdtPr>
          <w:sdtContent>
            <w:p>
              <w:pPr>
                <w:keepNext/>
                <w:keepLines/>
                <w:widowControl w:val="0"/>
                <w:tabs>
                  <w:tab w:val="left" w:pos="567"/>
                  <w:tab w:val="left" w:pos="8758"/>
                </w:tabs>
                <w:spacing w:line="276" w:lineRule="auto"/>
                <w:jc w:val="center"/>
                <w:outlineLvl w:val="4"/>
                <w:rPr>
                  <w:rFonts w:eastAsia="Calibri"/>
                  <w:b/>
                  <w:color w:val="00000A"/>
                  <w:spacing w:val="10"/>
                  <w:szCs w:val="24"/>
                  <w:shd w:val="clear" w:color="auto" w:fill="FFFFFF"/>
                </w:rPr>
              </w:pPr>
              <w:sdt>
                <w:sdtPr>
                  <w:alias w:val="Numeris"/>
                  <w:tag w:val="nr_366345ce7de7486b98fb60cdad75f990"/>
                  <w:lock w:val="sdtLocked"/>
                  <w:richText/>
                </w:sdtPr>
                <w:sdtContent>
                  <w:r>
                    <w:rPr>
                      <w:rFonts w:eastAsia="Calibri"/>
                      <w:b/>
                      <w:color w:val="00000A"/>
                      <w:spacing w:val="10"/>
                      <w:szCs w:val="24"/>
                      <w:shd w:val="clear" w:color="auto" w:fill="FFFFFF"/>
                    </w:rPr>
                    <w:t>X</w:t>
                  </w:r>
                </w:sdtContent>
              </w:sdt>
              <w:r>
                <w:rPr>
                  <w:rFonts w:eastAsia="Calibri"/>
                  <w:b/>
                  <w:color w:val="00000A"/>
                  <w:spacing w:val="10"/>
                  <w:szCs w:val="24"/>
                  <w:shd w:val="clear" w:color="auto" w:fill="FFFFFF"/>
                </w:rPr>
                <w:t xml:space="preserve"> SKYRIUS</w:t>
              </w:r>
            </w:p>
            <w:p>
              <w:pPr>
                <w:keepNext/>
                <w:keepLines/>
                <w:widowControl w:val="0"/>
                <w:tabs>
                  <w:tab w:val="left" w:pos="567"/>
                  <w:tab w:val="left" w:pos="8758"/>
                </w:tabs>
                <w:spacing w:line="276" w:lineRule="auto"/>
                <w:jc w:val="center"/>
                <w:outlineLvl w:val="4"/>
                <w:rPr>
                  <w:rFonts w:eastAsia="Calibri"/>
                  <w:b/>
                  <w:color w:val="00000A"/>
                  <w:spacing w:val="10"/>
                  <w:szCs w:val="24"/>
                  <w:shd w:val="clear" w:color="auto" w:fill="FFFFFF"/>
                </w:rPr>
              </w:pPr>
              <w:sdt>
                <w:sdtPr>
                  <w:alias w:val="Pavadinimas"/>
                  <w:tag w:val="title_366345ce7de7486b98fb60cdad75f990"/>
                  <w:lock w:val="sdtLocked"/>
                  <w:richText/>
                </w:sdtPr>
                <w:sdtContent>
                  <w:r>
                    <w:rPr>
                      <w:rFonts w:eastAsia="Calibri"/>
                      <w:b/>
                      <w:color w:val="00000A"/>
                      <w:spacing w:val="10"/>
                      <w:szCs w:val="24"/>
                      <w:shd w:val="clear" w:color="auto" w:fill="FFFFFF"/>
                    </w:rPr>
                    <w:t>KITOS SĄLYGOS</w:t>
                  </w:r>
                </w:sdtContent>
              </w:sdt>
            </w:p>
            <w:p>
              <w:pPr>
                <w:keepNext/>
                <w:keepLines/>
                <w:widowControl w:val="0"/>
                <w:tabs>
                  <w:tab w:val="left" w:pos="567"/>
                  <w:tab w:val="left" w:pos="8758"/>
                </w:tabs>
                <w:spacing w:line="276" w:lineRule="auto"/>
                <w:ind w:left="1440"/>
                <w:outlineLvl w:val="4"/>
                <w:rPr>
                  <w:rFonts w:eastAsia="Calibri"/>
                  <w:b/>
                  <w:color w:val="00000A"/>
                  <w:spacing w:val="10"/>
                  <w:szCs w:val="24"/>
                  <w:shd w:val="clear" w:color="auto" w:fill="FFFFFF"/>
                </w:rPr>
              </w:pPr>
            </w:p>
            <w:sdt>
              <w:sdtPr>
                <w:alias w:val="10.1 pp."/>
                <w:tag w:val="part_9fcdaf988e6c4d668cb6b27189dc9abd"/>
                <w:lock w:val="sdtLocked"/>
                <w:richText/>
              </w:sdtPr>
              <w:sdtContent>
                <w:p>
                  <w:pPr>
                    <w:widowControl w:val="0"/>
                    <w:tabs>
                      <w:tab w:val="left" w:pos="284"/>
                      <w:tab w:val="left" w:pos="567"/>
                      <w:tab w:val="left" w:pos="8758"/>
                    </w:tabs>
                    <w:spacing w:line="276" w:lineRule="auto"/>
                    <w:ind w:firstLine="709"/>
                    <w:jc w:val="both"/>
                    <w:rPr>
                      <w:kern w:val="2"/>
                      <w:szCs w:val="24"/>
                      <w:lang w:eastAsia="lt-LT"/>
                    </w:rPr>
                  </w:pPr>
                  <w:sdt>
                    <w:sdtPr>
                      <w:alias w:val="Numeris"/>
                      <w:tag w:val="nr_9fcdaf988e6c4d668cb6b27189dc9abd"/>
                      <w:lock w:val="sdtLocked"/>
                      <w:richText/>
                    </w:sdtPr>
                    <w:sdtContent>
                      <w:r>
                        <w:rPr>
                          <w:kern w:val="2"/>
                          <w:szCs w:val="24"/>
                          <w:lang w:eastAsia="lt-LT"/>
                        </w:rPr>
                        <w:t>10.1</w:t>
                      </w:r>
                    </w:sdtContent>
                  </w:sdt>
                  <w:r>
                    <w:rPr>
                      <w:kern w:val="2"/>
                      <w:szCs w:val="24"/>
                      <w:lang w:eastAsia="lt-LT"/>
                    </w:rPr>
                    <w:t xml:space="preserve">. Kilusius ginčus Šalys sprendžia tarpusavio susitarimu, o nesusitarusios – Lietuvos  Respublikos įstatymų nustatyta tvarka.</w:t>
                  </w:r>
                </w:p>
              </w:sdtContent>
            </w:sdt>
            <w:sdt>
              <w:sdtPr>
                <w:alias w:val="10.2 pp."/>
                <w:tag w:val="part_63ebdb4e7a45437bbb41a33cb067077a"/>
                <w:lock w:val="sdtLocked"/>
                <w:richText/>
              </w:sdtPr>
              <w:sdtContent>
                <w:p>
                  <w:pPr>
                    <w:widowControl w:val="0"/>
                    <w:tabs>
                      <w:tab w:val="left" w:pos="284"/>
                      <w:tab w:val="left" w:pos="567"/>
                      <w:tab w:val="left" w:pos="8758"/>
                    </w:tabs>
                    <w:spacing w:line="276" w:lineRule="auto"/>
                    <w:ind w:firstLine="709"/>
                    <w:jc w:val="both"/>
                    <w:rPr>
                      <w:kern w:val="2"/>
                      <w:szCs w:val="24"/>
                      <w:lang w:eastAsia="lt-LT"/>
                    </w:rPr>
                  </w:pPr>
                  <w:sdt>
                    <w:sdtPr>
                      <w:alias w:val="Numeris"/>
                      <w:tag w:val="nr_63ebdb4e7a45437bbb41a33cb067077a"/>
                      <w:lock w:val="sdtLocked"/>
                      <w:richText/>
                    </w:sdtPr>
                    <w:sdtContent>
                      <w:r>
                        <w:rPr>
                          <w:kern w:val="2"/>
                          <w:szCs w:val="24"/>
                          <w:lang w:eastAsia="lt-LT"/>
                        </w:rPr>
                        <w:t>10.2</w:t>
                      </w:r>
                    </w:sdtContent>
                  </w:sdt>
                  <w:r>
                    <w:rPr>
                      <w:kern w:val="2"/>
                      <w:szCs w:val="24"/>
                      <w:lang w:eastAsia="lt-LT"/>
                    </w:rPr>
                    <w:t>. Vykdydamos Šią Sutartį, Šalys vadovaujasi Lietuvos Respublikos civiliniu kodeksu ir kitais Lietuvos Respublikos norminiais teisės aktais.</w:t>
                  </w:r>
                </w:p>
              </w:sdtContent>
            </w:sdt>
            <w:sdt>
              <w:sdtPr>
                <w:alias w:val="10.3 pp."/>
                <w:tag w:val="part_187dd2f4a30f4f989c6bd0164547492c"/>
                <w:lock w:val="sdtLocked"/>
                <w:richText/>
              </w:sdtPr>
              <w:sdtContent>
                <w:p>
                  <w:pPr>
                    <w:widowControl w:val="0"/>
                    <w:tabs>
                      <w:tab w:val="left" w:pos="284"/>
                      <w:tab w:val="left" w:pos="567"/>
                      <w:tab w:val="left" w:pos="8758"/>
                    </w:tabs>
                    <w:spacing w:line="276" w:lineRule="auto"/>
                    <w:ind w:firstLine="709"/>
                    <w:jc w:val="both"/>
                    <w:rPr>
                      <w:kern w:val="2"/>
                      <w:szCs w:val="24"/>
                      <w:lang w:eastAsia="lt-LT"/>
                    </w:rPr>
                  </w:pPr>
                  <w:sdt>
                    <w:sdtPr>
                      <w:alias w:val="Numeris"/>
                      <w:tag w:val="nr_187dd2f4a30f4f989c6bd0164547492c"/>
                      <w:lock w:val="sdtLocked"/>
                      <w:richText/>
                    </w:sdtPr>
                    <w:sdtContent>
                      <w:r>
                        <w:rPr>
                          <w:kern w:val="2"/>
                          <w:szCs w:val="24"/>
                          <w:lang w:eastAsia="lt-LT"/>
                        </w:rPr>
                        <w:t>10.3</w:t>
                      </w:r>
                    </w:sdtContent>
                  </w:sdt>
                  <w:r>
                    <w:rPr>
                      <w:kern w:val="2"/>
                      <w:szCs w:val="24"/>
                      <w:lang w:eastAsia="lt-LT"/>
                    </w:rPr>
                    <w:t>. Pasikeitus Šalių adresams bei rekvizitams, Šalys privalo per 3 (tris) darbo dienas apie tai raštu informuoti viena kitą.</w:t>
                  </w:r>
                </w:p>
              </w:sdtContent>
            </w:sdt>
            <w:sdt>
              <w:sdtPr>
                <w:alias w:val="10.4 pp."/>
                <w:tag w:val="part_41d13e7642e4491aa025efa0e37a4c6d"/>
                <w:lock w:val="sdtLocked"/>
                <w:richText/>
              </w:sdtPr>
              <w:sdtContent>
                <w:p>
                  <w:pPr>
                    <w:widowControl w:val="0"/>
                    <w:tabs>
                      <w:tab w:val="left" w:pos="284"/>
                      <w:tab w:val="left" w:pos="567"/>
                      <w:tab w:val="left" w:pos="8758"/>
                    </w:tabs>
                    <w:spacing w:line="276" w:lineRule="auto"/>
                    <w:ind w:firstLine="709"/>
                    <w:jc w:val="both"/>
                    <w:rPr>
                      <w:kern w:val="2"/>
                      <w:szCs w:val="24"/>
                      <w:lang w:eastAsia="lt-LT"/>
                    </w:rPr>
                  </w:pPr>
                  <w:sdt>
                    <w:sdtPr>
                      <w:alias w:val="Numeris"/>
                      <w:tag w:val="nr_41d13e7642e4491aa025efa0e37a4c6d"/>
                      <w:lock w:val="sdtLocked"/>
                      <w:richText/>
                    </w:sdtPr>
                    <w:sdtContent>
                      <w:r>
                        <w:rPr>
                          <w:kern w:val="2"/>
                          <w:szCs w:val="24"/>
                          <w:lang w:eastAsia="lt-LT"/>
                        </w:rPr>
                        <w:t>10.4</w:t>
                      </w:r>
                    </w:sdtContent>
                  </w:sdt>
                  <w:r>
                    <w:rPr>
                      <w:kern w:val="2"/>
                      <w:szCs w:val="24"/>
                      <w:lang w:eastAsia="lt-LT"/>
                    </w:rPr>
                    <w:t>. Sutarties priedai yra neatskiriama Sutarties dalis.</w:t>
                  </w:r>
                </w:p>
              </w:sdtContent>
            </w:sdt>
            <w:sdt>
              <w:sdtPr>
                <w:alias w:val="10.5 pp."/>
                <w:tag w:val="part_71dbbc8382554f4ab4a61b1c0e3f9e7b"/>
                <w:lock w:val="sdtLocked"/>
                <w:richText/>
              </w:sdtPr>
              <w:sdtContent>
                <w:p>
                  <w:pPr>
                    <w:widowControl w:val="0"/>
                    <w:tabs>
                      <w:tab w:val="left" w:pos="284"/>
                      <w:tab w:val="left" w:pos="567"/>
                      <w:tab w:val="left" w:pos="8758"/>
                    </w:tabs>
                    <w:spacing w:line="276" w:lineRule="auto"/>
                    <w:ind w:firstLine="709"/>
                    <w:jc w:val="both"/>
                    <w:rPr>
                      <w:kern w:val="2"/>
                      <w:szCs w:val="24"/>
                      <w:lang w:eastAsia="lt-LT"/>
                    </w:rPr>
                  </w:pPr>
                  <w:sdt>
                    <w:sdtPr>
                      <w:alias w:val="Numeris"/>
                      <w:tag w:val="nr_71dbbc8382554f4ab4a61b1c0e3f9e7b"/>
                      <w:lock w:val="sdtLocked"/>
                      <w:richText/>
                    </w:sdtPr>
                    <w:sdtContent>
                      <w:r>
                        <w:rPr>
                          <w:kern w:val="2"/>
                          <w:szCs w:val="24"/>
                          <w:lang w:eastAsia="lt-LT"/>
                        </w:rPr>
                        <w:t>10.5</w:t>
                      </w:r>
                    </w:sdtContent>
                  </w:sdt>
                  <w:r>
                    <w:rPr>
                      <w:kern w:val="2"/>
                      <w:szCs w:val="24"/>
                      <w:lang w:eastAsia="lt-LT"/>
                    </w:rPr>
                    <w:t>. Sutarties priedai:</w:t>
                  </w:r>
                </w:p>
                <w:sdt>
                  <w:sdtPr>
                    <w:alias w:val="10.5.1 pp."/>
                    <w:tag w:val="part_2e2faeaa96e14c74847c6c2f17015b23"/>
                    <w:lock w:val="sdtLocked"/>
                    <w:richText/>
                  </w:sdtPr>
                  <w:sdtContent>
                    <w:p>
                      <w:pPr>
                        <w:widowControl w:val="0"/>
                        <w:tabs>
                          <w:tab w:val="left" w:pos="284"/>
                          <w:tab w:val="left" w:pos="567"/>
                          <w:tab w:val="left" w:pos="8758"/>
                        </w:tabs>
                        <w:spacing w:line="276" w:lineRule="auto"/>
                        <w:ind w:firstLine="709"/>
                        <w:jc w:val="both"/>
                        <w:rPr>
                          <w:kern w:val="2"/>
                          <w:szCs w:val="24"/>
                          <w:lang w:eastAsia="lt-LT"/>
                        </w:rPr>
                      </w:pPr>
                      <w:sdt>
                        <w:sdtPr>
                          <w:alias w:val="Numeris"/>
                          <w:tag w:val="nr_2e2faeaa96e14c74847c6c2f17015b23"/>
                          <w:lock w:val="sdtLocked"/>
                          <w:richText/>
                        </w:sdtPr>
                        <w:sdtContent>
                          <w:r>
                            <w:rPr>
                              <w:kern w:val="2"/>
                              <w:szCs w:val="24"/>
                              <w:lang w:eastAsia="lt-LT"/>
                            </w:rPr>
                            <w:t>10.5.1</w:t>
                          </w:r>
                        </w:sdtContent>
                      </w:sdt>
                      <w:r>
                        <w:rPr>
                          <w:kern w:val="2"/>
                          <w:szCs w:val="24"/>
                          <w:lang w:eastAsia="lt-LT"/>
                        </w:rPr>
                        <w:t xml:space="preserve">. </w:t>
                      </w:r>
                      <w:r>
                        <w:rPr>
                          <w:rFonts w:eastAsia="Calibri"/>
                          <w:spacing w:val="10"/>
                          <w:kern w:val="2"/>
                          <w:szCs w:val="24"/>
                          <w:shd w:val="clear" w:color="auto" w:fill="FFFFFF"/>
                          <w:lang w:val="lt" w:eastAsia="lt-LT"/>
                        </w:rPr>
                        <w:t>Priedas Nr.1 „</w:t>
                      </w:r>
                      <w:r>
                        <w:rPr>
                          <w:spacing w:val="10"/>
                          <w:kern w:val="2"/>
                          <w:szCs w:val="24"/>
                          <w:shd w:val="clear" w:color="auto" w:fill="FFFFFF"/>
                          <w:lang w:eastAsia="lt-LT"/>
                        </w:rPr>
                        <w:t>Partnerio veiklų ir išlaidų lentelė</w:t>
                      </w:r>
                      <w:r>
                        <w:rPr>
                          <w:rFonts w:eastAsia="Calibri"/>
                          <w:spacing w:val="10"/>
                          <w:kern w:val="2"/>
                          <w:szCs w:val="24"/>
                          <w:shd w:val="clear" w:color="auto" w:fill="FFFFFF"/>
                          <w:lang w:val="lt" w:eastAsia="lt-LT"/>
                        </w:rPr>
                        <w:t>“.</w:t>
                      </w:r>
                    </w:p>
                    <w:p>
                      <w:pPr>
                        <w:widowControl w:val="0"/>
                        <w:tabs>
                          <w:tab w:val="left" w:pos="284"/>
                          <w:tab w:val="left" w:pos="567"/>
                          <w:tab w:val="left" w:pos="8758"/>
                        </w:tabs>
                        <w:spacing w:line="276" w:lineRule="auto"/>
                        <w:jc w:val="both"/>
                        <w:rPr>
                          <w:rFonts w:eastAsia="Calibri"/>
                          <w:spacing w:val="10"/>
                          <w:kern w:val="2"/>
                          <w:sz w:val="19"/>
                          <w:szCs w:val="19"/>
                          <w:shd w:val="clear" w:color="auto" w:fill="FFFFFF"/>
                          <w:lang w:val="lt" w:eastAsia="lt-LT"/>
                        </w:rPr>
                      </w:pPr>
                    </w:p>
                  </w:sdtContent>
                </w:sdt>
              </w:sdtContent>
            </w:sdt>
            <w:sdt>
              <w:sdtPr>
                <w:alias w:val="poskyris"/>
                <w:tag w:val="part_f4468a743ab04af391109fcc1091136e"/>
                <w:lock w:val="sdtLocked"/>
                <w:richText/>
              </w:sdtPr>
              <w:sdtContent>
                <w:p>
                  <w:pPr>
                    <w:widowControl w:val="0"/>
                    <w:tabs>
                      <w:tab w:val="left" w:pos="284"/>
                      <w:tab w:val="left" w:pos="567"/>
                      <w:tab w:val="left" w:pos="8758"/>
                    </w:tabs>
                    <w:spacing w:line="276" w:lineRule="auto"/>
                    <w:jc w:val="center"/>
                    <w:rPr>
                      <w:b/>
                      <w:spacing w:val="10"/>
                      <w:kern w:val="2"/>
                      <w:szCs w:val="24"/>
                    </w:rPr>
                  </w:pPr>
                  <w:sdt>
                    <w:sdtPr>
                      <w:alias w:val="Pavadinimas"/>
                      <w:tag w:val="title_f4468a743ab04af391109fcc1091136e"/>
                      <w:lock w:val="sdtLocked"/>
                      <w:richText/>
                    </w:sdtPr>
                    <w:sdtContent>
                      <w:r>
                        <w:rPr>
                          <w:b/>
                          <w:spacing w:val="10"/>
                          <w:kern w:val="2"/>
                          <w:szCs w:val="24"/>
                        </w:rPr>
                        <w:t>ŠALIŲ ADRESAI IR REKVIZITAI</w:t>
                      </w:r>
                    </w:sdtContent>
                  </w:sdt>
                </w:p>
                <w:p>
                  <w:pPr>
                    <w:suppressAutoHyphens/>
                    <w:spacing w:line="276" w:lineRule="auto"/>
                    <w:jc w:val="right"/>
                    <w:textAlignment w:val="baseline"/>
                    <w:rPr>
                      <w:szCs w:val="24"/>
                    </w:rPr>
                  </w:pPr>
                </w:p>
                <w:tbl>
                  <w:tblPr>
                    <w:tblW w:w="9720" w:type="dxa"/>
                    <w:tblInd w:w="108" w:type="dxa"/>
                    <w:tblLayout w:type="fixed"/>
                    <w:tblLook w:val="04A0" w:firstRow="1" w:lastRow="0" w:firstColumn="1" w:lastColumn="0" w:noHBand="0" w:noVBand="1"/>
                  </w:tblPr>
                  <w:tblGrid>
                    <w:gridCol w:w="4712"/>
                    <w:gridCol w:w="5008"/>
                  </w:tblGrid>
                  <w:tr>
                    <w:trPr>
                      <w:trHeight w:val="806"/>
                    </w:trPr>
                    <w:tc>
                      <w:tcPr>
                        <w:tcW w:w="4712" w:type="dxa"/>
                      </w:tcPr>
                      <w:p>
                        <w:pPr>
                          <w:spacing w:line="276" w:lineRule="auto"/>
                          <w:ind w:right="-252"/>
                          <w:jc w:val="both"/>
                          <w:rPr>
                            <w:b/>
                            <w:bCs/>
                            <w:szCs w:val="24"/>
                          </w:rPr>
                        </w:pPr>
                        <w:r>
                          <w:rPr>
                            <w:b/>
                            <w:bCs/>
                            <w:szCs w:val="24"/>
                          </w:rPr>
                          <w:t>Projekto vykdytojas:</w:t>
                        </w:r>
                      </w:p>
                      <w:p>
                        <w:pPr>
                          <w:rPr>
                            <w:sz w:val="14"/>
                            <w:szCs w:val="14"/>
                          </w:rPr>
                        </w:pPr>
                      </w:p>
                      <w:p>
                        <w:pPr>
                          <w:spacing w:line="276" w:lineRule="auto"/>
                          <w:ind w:right="-252"/>
                          <w:jc w:val="both"/>
                          <w:rPr>
                            <w:b/>
                            <w:bCs/>
                            <w:szCs w:val="24"/>
                          </w:rPr>
                        </w:pPr>
                        <w:r>
                          <w:rPr>
                            <w:b/>
                            <w:bCs/>
                            <w:szCs w:val="24"/>
                          </w:rPr>
                          <w:t>Europos socialinio fondo agentūra</w:t>
                        </w:r>
                      </w:p>
                      <w:p>
                        <w:pPr>
                          <w:rPr>
                            <w:sz w:val="14"/>
                            <w:szCs w:val="14"/>
                          </w:rPr>
                        </w:pPr>
                      </w:p>
                      <w:p>
                        <w:pPr>
                          <w:spacing w:line="276" w:lineRule="auto"/>
                          <w:ind w:right="-252"/>
                          <w:jc w:val="both"/>
                          <w:rPr>
                            <w:b/>
                            <w:bCs/>
                            <w:szCs w:val="24"/>
                          </w:rPr>
                        </w:pPr>
                      </w:p>
                      <w:p>
                        <w:pPr>
                          <w:rPr>
                            <w:sz w:val="14"/>
                            <w:szCs w:val="14"/>
                          </w:rPr>
                        </w:pPr>
                      </w:p>
                      <w:p>
                        <w:pPr>
                          <w:spacing w:line="276" w:lineRule="auto"/>
                          <w:ind w:right="-252"/>
                          <w:jc w:val="both"/>
                          <w:rPr>
                            <w:szCs w:val="24"/>
                          </w:rPr>
                        </w:pPr>
                        <w:r>
                          <w:rPr>
                            <w:szCs w:val="24"/>
                          </w:rPr>
                          <w:t>M. Katkaus g. 44, LT-09217 Vilnius</w:t>
                        </w:r>
                      </w:p>
                      <w:p>
                        <w:pPr>
                          <w:rPr>
                            <w:sz w:val="14"/>
                            <w:szCs w:val="14"/>
                          </w:rPr>
                        </w:pPr>
                      </w:p>
                      <w:p>
                        <w:pPr>
                          <w:spacing w:line="276" w:lineRule="auto"/>
                          <w:ind w:right="-252"/>
                          <w:jc w:val="both"/>
                          <w:rPr>
                            <w:szCs w:val="24"/>
                          </w:rPr>
                        </w:pPr>
                        <w:r>
                          <w:rPr>
                            <w:szCs w:val="24"/>
                          </w:rPr>
                          <w:t>Juridinio asmens kodas 192050725</w:t>
                        </w:r>
                      </w:p>
                      <w:p>
                        <w:pPr>
                          <w:rPr>
                            <w:sz w:val="14"/>
                            <w:szCs w:val="14"/>
                          </w:rPr>
                        </w:pPr>
                      </w:p>
                      <w:p>
                        <w:pPr>
                          <w:spacing w:line="276" w:lineRule="auto"/>
                          <w:ind w:right="-252"/>
                          <w:jc w:val="both"/>
                          <w:rPr>
                            <w:szCs w:val="24"/>
                          </w:rPr>
                        </w:pPr>
                        <w:r>
                          <w:rPr>
                            <w:szCs w:val="24"/>
                          </w:rPr>
                          <w:t>Tel.: (8 5 ) 264 9340</w:t>
                        </w:r>
                      </w:p>
                      <w:p>
                        <w:pPr>
                          <w:rPr>
                            <w:sz w:val="14"/>
                            <w:szCs w:val="14"/>
                          </w:rPr>
                        </w:pPr>
                      </w:p>
                      <w:p>
                        <w:pPr>
                          <w:spacing w:line="276" w:lineRule="auto"/>
                          <w:ind w:right="-252"/>
                          <w:jc w:val="both"/>
                          <w:rPr>
                            <w:szCs w:val="24"/>
                          </w:rPr>
                        </w:pPr>
                        <w:r>
                          <w:rPr>
                            <w:szCs w:val="24"/>
                          </w:rPr>
                          <w:t xml:space="preserve">A/S </w:t>
                        </w:r>
                        <w:r>
                          <w:rPr>
                            <w:color w:val="000000"/>
                            <w:szCs w:val="24"/>
                          </w:rPr>
                          <w:t xml:space="preserve">Nr. </w:t>
                        </w:r>
                        <w:r>
                          <w:rPr>
                            <w:iCs/>
                            <w:color w:val="000000"/>
                            <w:szCs w:val="24"/>
                            <w:lang w:eastAsia="lt-LT"/>
                          </w:rPr>
                          <w:t>LT074040063610001874</w:t>
                        </w:r>
                      </w:p>
                      <w:p>
                        <w:pPr>
                          <w:rPr>
                            <w:sz w:val="14"/>
                            <w:szCs w:val="14"/>
                          </w:rPr>
                        </w:pPr>
                      </w:p>
                      <w:p>
                        <w:pPr>
                          <w:spacing w:line="276" w:lineRule="auto"/>
                          <w:ind w:right="-252"/>
                          <w:jc w:val="both"/>
                          <w:rPr>
                            <w:szCs w:val="24"/>
                          </w:rPr>
                        </w:pPr>
                        <w:r>
                          <w:rPr>
                            <w:szCs w:val="24"/>
                          </w:rPr>
                          <w:t>„Swedbank“ AB, banko kodas 73000</w:t>
                        </w:r>
                      </w:p>
                      <w:p>
                        <w:pPr>
                          <w:rPr>
                            <w:sz w:val="14"/>
                            <w:szCs w:val="14"/>
                          </w:rPr>
                        </w:pPr>
                      </w:p>
                      <w:p>
                        <w:pPr>
                          <w:spacing w:line="276" w:lineRule="auto"/>
                          <w:ind w:right="-252"/>
                          <w:jc w:val="both"/>
                          <w:rPr>
                            <w:color w:val="0563C1"/>
                            <w:szCs w:val="24"/>
                            <w:u w:val="single"/>
                          </w:rPr>
                        </w:pPr>
                        <w:r>
                          <w:rPr>
                            <w:szCs w:val="24"/>
                          </w:rPr>
                          <w:t xml:space="preserve">El. paštas: </w:t>
                        </w:r>
                        <w:r>
                          <w:rPr>
                            <w:color w:val="0563C1"/>
                            <w:szCs w:val="24"/>
                            <w:u w:val="single"/>
                          </w:rPr>
                          <w:t>info@esf.lt</w:t>
                        </w:r>
                      </w:p>
                      <w:p>
                        <w:pPr>
                          <w:rPr>
                            <w:sz w:val="14"/>
                            <w:szCs w:val="14"/>
                          </w:rPr>
                        </w:pPr>
                      </w:p>
                      <w:p>
                        <w:pPr>
                          <w:spacing w:line="276" w:lineRule="auto"/>
                          <w:ind w:right="-252"/>
                          <w:jc w:val="both"/>
                          <w:rPr>
                            <w:color w:val="0563C1"/>
                            <w:szCs w:val="24"/>
                            <w:u w:val="single"/>
                          </w:rPr>
                        </w:pPr>
                      </w:p>
                      <w:p>
                        <w:pPr>
                          <w:rPr>
                            <w:sz w:val="14"/>
                            <w:szCs w:val="14"/>
                          </w:rPr>
                        </w:pPr>
                      </w:p>
                      <w:p>
                        <w:pPr>
                          <w:spacing w:line="276" w:lineRule="auto"/>
                          <w:ind w:right="-252"/>
                          <w:jc w:val="both"/>
                          <w:rPr>
                            <w:szCs w:val="24"/>
                          </w:rPr>
                        </w:pPr>
                        <w:r>
                          <w:rPr>
                            <w:szCs w:val="24"/>
                          </w:rPr>
                          <w:t>Direktorė Lina Nevinskienė</w:t>
                        </w:r>
                      </w:p>
                      <w:p>
                        <w:pPr>
                          <w:rPr>
                            <w:sz w:val="14"/>
                            <w:szCs w:val="14"/>
                          </w:rPr>
                        </w:pPr>
                      </w:p>
                      <w:p>
                        <w:pPr>
                          <w:spacing w:line="276" w:lineRule="auto"/>
                          <w:jc w:val="both"/>
                          <w:rPr>
                            <w:szCs w:val="24"/>
                          </w:rPr>
                        </w:pPr>
                      </w:p>
                      <w:p>
                        <w:pPr>
                          <w:rPr>
                            <w:sz w:val="14"/>
                            <w:szCs w:val="14"/>
                          </w:rPr>
                        </w:pPr>
                      </w:p>
                      <w:p>
                        <w:pPr>
                          <w:spacing w:line="276" w:lineRule="auto"/>
                          <w:jc w:val="both"/>
                          <w:rPr>
                            <w:szCs w:val="24"/>
                          </w:rPr>
                        </w:pPr>
                        <w:r>
                          <w:rPr>
                            <w:szCs w:val="24"/>
                          </w:rPr>
                          <w:t>_____________</w:t>
                        </w:r>
                      </w:p>
                    </w:tc>
                    <w:tc>
                      <w:tcPr>
                        <w:tcW w:w="5008" w:type="dxa"/>
                      </w:tcPr>
                      <w:p>
                        <w:pPr>
                          <w:spacing w:line="276" w:lineRule="auto"/>
                          <w:jc w:val="both"/>
                          <w:rPr>
                            <w:b/>
                            <w:bCs/>
                            <w:szCs w:val="24"/>
                          </w:rPr>
                        </w:pPr>
                        <w:r>
                          <w:rPr>
                            <w:b/>
                            <w:bCs/>
                            <w:szCs w:val="24"/>
                          </w:rPr>
                          <w:t>Partneris:</w:t>
                        </w:r>
                      </w:p>
                      <w:p>
                        <w:pPr>
                          <w:rPr>
                            <w:sz w:val="14"/>
                            <w:szCs w:val="14"/>
                          </w:rPr>
                        </w:pPr>
                      </w:p>
                      <w:p>
                        <w:pPr>
                          <w:spacing w:line="276" w:lineRule="auto"/>
                          <w:jc w:val="both"/>
                          <w:rPr>
                            <w:b/>
                            <w:bCs/>
                            <w:szCs w:val="24"/>
                          </w:rPr>
                        </w:pPr>
                        <w:r>
                          <w:rPr>
                            <w:b/>
                            <w:bCs/>
                            <w:szCs w:val="24"/>
                          </w:rPr>
                          <w:t xml:space="preserve">Radviliškio rajono savivaldybės administracija </w:t>
                        </w:r>
                      </w:p>
                      <w:p>
                        <w:pPr>
                          <w:rPr>
                            <w:sz w:val="14"/>
                            <w:szCs w:val="14"/>
                          </w:rPr>
                        </w:pPr>
                      </w:p>
                      <w:p>
                        <w:pPr>
                          <w:spacing w:line="276" w:lineRule="auto"/>
                          <w:jc w:val="both"/>
                          <w:rPr>
                            <w:b/>
                            <w:bCs/>
                            <w:szCs w:val="24"/>
                          </w:rPr>
                        </w:pPr>
                      </w:p>
                      <w:p>
                        <w:pPr>
                          <w:rPr>
                            <w:sz w:val="14"/>
                            <w:szCs w:val="14"/>
                          </w:rPr>
                        </w:pPr>
                      </w:p>
                      <w:p>
                        <w:pPr>
                          <w:spacing w:line="276" w:lineRule="auto"/>
                          <w:jc w:val="both"/>
                          <w:rPr>
                            <w:i/>
                            <w:iCs/>
                            <w:color w:val="FF0000"/>
                            <w:szCs w:val="24"/>
                          </w:rPr>
                        </w:pPr>
                        <w:r>
                          <w:rPr>
                            <w:i/>
                            <w:iCs/>
                            <w:color w:val="FF0000"/>
                            <w:szCs w:val="24"/>
                          </w:rPr>
                          <w:t>Adresas</w:t>
                        </w:r>
                      </w:p>
                      <w:p>
                        <w:pPr>
                          <w:rPr>
                            <w:sz w:val="14"/>
                            <w:szCs w:val="14"/>
                          </w:rPr>
                        </w:pPr>
                      </w:p>
                      <w:p>
                        <w:pPr>
                          <w:spacing w:line="276" w:lineRule="auto"/>
                          <w:jc w:val="both"/>
                          <w:rPr>
                            <w:i/>
                            <w:iCs/>
                            <w:color w:val="FF0000"/>
                            <w:szCs w:val="24"/>
                          </w:rPr>
                        </w:pPr>
                        <w:r>
                          <w:rPr>
                            <w:i/>
                            <w:iCs/>
                            <w:color w:val="FF0000"/>
                            <w:szCs w:val="24"/>
                          </w:rPr>
                          <w:t xml:space="preserve">Juridinio asmens kodas </w:t>
                        </w:r>
                      </w:p>
                      <w:p>
                        <w:pPr>
                          <w:rPr>
                            <w:sz w:val="14"/>
                            <w:szCs w:val="14"/>
                          </w:rPr>
                        </w:pPr>
                      </w:p>
                      <w:p>
                        <w:pPr>
                          <w:spacing w:line="276" w:lineRule="auto"/>
                          <w:jc w:val="both"/>
                          <w:rPr>
                            <w:i/>
                            <w:iCs/>
                            <w:color w:val="FF0000"/>
                            <w:szCs w:val="24"/>
                          </w:rPr>
                        </w:pPr>
                        <w:r>
                          <w:rPr>
                            <w:i/>
                            <w:iCs/>
                            <w:color w:val="FF0000"/>
                            <w:szCs w:val="24"/>
                          </w:rPr>
                          <w:t xml:space="preserve">Tel. +370 </w:t>
                        </w:r>
                      </w:p>
                      <w:p>
                        <w:pPr>
                          <w:rPr>
                            <w:sz w:val="14"/>
                            <w:szCs w:val="14"/>
                          </w:rPr>
                        </w:pPr>
                      </w:p>
                      <w:p>
                        <w:pPr>
                          <w:spacing w:line="276" w:lineRule="auto"/>
                          <w:jc w:val="both"/>
                          <w:rPr>
                            <w:i/>
                            <w:iCs/>
                            <w:color w:val="FF0000"/>
                            <w:szCs w:val="24"/>
                          </w:rPr>
                        </w:pPr>
                        <w:r>
                          <w:rPr>
                            <w:i/>
                            <w:iCs/>
                            <w:color w:val="FF0000"/>
                            <w:szCs w:val="24"/>
                          </w:rPr>
                          <w:t xml:space="preserve">A/S Nr.  LT</w:t>
                        </w:r>
                      </w:p>
                      <w:p>
                        <w:pPr>
                          <w:rPr>
                            <w:sz w:val="14"/>
                            <w:szCs w:val="14"/>
                          </w:rPr>
                        </w:pPr>
                      </w:p>
                      <w:p>
                        <w:pPr>
                          <w:spacing w:line="276" w:lineRule="auto"/>
                          <w:jc w:val="both"/>
                          <w:rPr>
                            <w:i/>
                            <w:iCs/>
                            <w:color w:val="FF0000"/>
                            <w:szCs w:val="24"/>
                          </w:rPr>
                        </w:pPr>
                        <w:r>
                          <w:rPr>
                            <w:i/>
                            <w:iCs/>
                            <w:color w:val="FF0000"/>
                            <w:szCs w:val="24"/>
                          </w:rPr>
                          <w:t>Banko pavadinimas</w:t>
                        </w:r>
                      </w:p>
                      <w:p>
                        <w:pPr>
                          <w:rPr>
                            <w:sz w:val="14"/>
                            <w:szCs w:val="14"/>
                          </w:rPr>
                        </w:pPr>
                      </w:p>
                      <w:p>
                        <w:pPr>
                          <w:spacing w:line="276" w:lineRule="auto"/>
                          <w:jc w:val="both"/>
                          <w:rPr>
                            <w:i/>
                            <w:iCs/>
                            <w:color w:val="FF0000"/>
                            <w:szCs w:val="24"/>
                            <w:u w:val="single"/>
                          </w:rPr>
                        </w:pPr>
                        <w:r>
                          <w:rPr>
                            <w:i/>
                            <w:iCs/>
                            <w:color w:val="FF0000"/>
                            <w:szCs w:val="24"/>
                          </w:rPr>
                          <w:t xml:space="preserve">El. paštas: </w:t>
                        </w:r>
                      </w:p>
                      <w:p>
                        <w:pPr>
                          <w:rPr>
                            <w:sz w:val="14"/>
                            <w:szCs w:val="14"/>
                          </w:rPr>
                        </w:pPr>
                      </w:p>
                      <w:p>
                        <w:pPr>
                          <w:spacing w:line="276" w:lineRule="auto"/>
                          <w:jc w:val="both"/>
                          <w:rPr>
                            <w:color w:val="FF0000"/>
                            <w:szCs w:val="24"/>
                          </w:rPr>
                        </w:pPr>
                      </w:p>
                      <w:p>
                        <w:pPr>
                          <w:rPr>
                            <w:sz w:val="14"/>
                            <w:szCs w:val="14"/>
                          </w:rPr>
                        </w:pPr>
                      </w:p>
                      <w:p>
                        <w:pPr>
                          <w:spacing w:line="276" w:lineRule="auto"/>
                          <w:jc w:val="both"/>
                          <w:rPr>
                            <w:color w:val="FF0000"/>
                            <w:szCs w:val="24"/>
                          </w:rPr>
                        </w:pPr>
                        <w:r>
                          <w:rPr>
                            <w:color w:val="FF0000"/>
                            <w:szCs w:val="24"/>
                          </w:rPr>
                          <w:t xml:space="preserve">Direktorius </w:t>
                        </w:r>
                      </w:p>
                      <w:p>
                        <w:pPr>
                          <w:rPr>
                            <w:sz w:val="14"/>
                            <w:szCs w:val="14"/>
                          </w:rPr>
                        </w:pPr>
                      </w:p>
                      <w:p>
                        <w:pPr>
                          <w:spacing w:line="276" w:lineRule="auto"/>
                          <w:ind w:firstLine="62"/>
                          <w:jc w:val="both"/>
                          <w:rPr>
                            <w:szCs w:val="24"/>
                          </w:rPr>
                        </w:pPr>
                      </w:p>
                      <w:p>
                        <w:pPr>
                          <w:rPr>
                            <w:sz w:val="14"/>
                            <w:szCs w:val="14"/>
                          </w:rPr>
                        </w:pPr>
                      </w:p>
                      <w:p>
                        <w:pPr>
                          <w:spacing w:line="276" w:lineRule="auto"/>
                          <w:jc w:val="both"/>
                          <w:rPr>
                            <w:szCs w:val="24"/>
                          </w:rPr>
                        </w:pPr>
                        <w:r>
                          <w:rPr>
                            <w:szCs w:val="24"/>
                          </w:rPr>
                          <w:t>____________________</w:t>
                        </w:r>
                      </w:p>
                    </w:tc>
                  </w:tr>
                </w:tbl>
                <w:p>
                  <w:pPr>
                    <w:suppressAutoHyphens/>
                    <w:spacing w:line="276" w:lineRule="auto"/>
                    <w:textAlignment w:val="baseline"/>
                    <w:rPr>
                      <w:szCs w:val="24"/>
                    </w:rPr>
                  </w:pPr>
                </w:p>
                <w:p>
                  <w:pPr>
                    <w:spacing w:line="276" w:lineRule="auto"/>
                    <w:jc w:val="center"/>
                    <w:rPr>
                      <w:b/>
                      <w:bCs/>
                      <w:szCs w:val="24"/>
                      <w:lang w:eastAsia="lt-LT"/>
                    </w:rPr>
                  </w:pPr>
                </w:p>
                <w:p>
                  <w:pPr>
                    <w:spacing w:line="259" w:lineRule="auto"/>
                    <w:rPr>
                      <w:b/>
                      <w:bCs/>
                      <w:szCs w:val="24"/>
                      <w:lang w:eastAsia="lt-LT"/>
                    </w:rPr>
                    <w:sectPr>
                      <w:pgSz w:w="11906" w:h="16838"/>
                      <w:pgMar w:top="1134" w:right="567" w:bottom="1134" w:left="1701" w:header="567" w:footer="567" w:gutter="0"/>
                      <w:cols w:space="1296"/>
                      <w:docGrid w:linePitch="360"/>
                    </w:sectPr>
                  </w:pPr>
                  <w:r>
                    <w:rPr>
                      <w:b/>
                      <w:bCs/>
                      <w:szCs w:val="24"/>
                      <w:lang w:eastAsia="lt-LT"/>
                    </w:rPr>
                    <w:br w:type="page"/>
                  </w:r>
                </w:p>
                <w:p>
                  <w:pPr>
                    <w:rPr>
                      <w:sz w:val="14"/>
                      <w:szCs w:val="14"/>
                    </w:rPr>
                  </w:pPr>
                </w:p>
                <w:tbl>
                  <w:tblPr>
                    <w:tblW w:w="14821" w:type="dxa"/>
                    <w:tblLook w:val="04A0" w:firstRow="1" w:lastRow="0" w:firstColumn="1" w:lastColumn="0" w:noHBand="0" w:noVBand="1"/>
                  </w:tblPr>
                  <w:tblGrid>
                    <w:gridCol w:w="1985"/>
                    <w:gridCol w:w="1158"/>
                    <w:gridCol w:w="1121"/>
                    <w:gridCol w:w="1220"/>
                    <w:gridCol w:w="1023"/>
                    <w:gridCol w:w="2183"/>
                    <w:gridCol w:w="19"/>
                    <w:gridCol w:w="1334"/>
                    <w:gridCol w:w="9"/>
                    <w:gridCol w:w="4749"/>
                    <w:gridCol w:w="9"/>
                    <w:gridCol w:w="11"/>
                  </w:tblGrid>
                  <w:tr>
                    <w:trPr>
                      <w:gridAfter w:val="2"/>
                      <w:wAfter w:w="20" w:type="dxa"/>
                      <w:trHeight w:val="1200"/>
                    </w:trPr>
                    <w:tc>
                      <w:tcPr>
                        <w:tcW w:w="1985" w:type="dxa"/>
                        <w:tcBorders>
                          <w:top w:val="nil"/>
                          <w:left w:val="nil"/>
                          <w:bottom w:val="nil"/>
                          <w:right w:val="nil"/>
                        </w:tcBorders>
                        <w:shd w:val="clear" w:color="auto" w:fill="auto"/>
                        <w:vAlign w:val="bottom"/>
                        <w:hideMark/>
                      </w:tcPr>
                      <w:p>
                        <w:pPr>
                          <w:rPr>
                            <w:szCs w:val="24"/>
                            <w:lang w:eastAsia="lt-LT"/>
                          </w:rPr>
                        </w:pPr>
                      </w:p>
                    </w:tc>
                    <w:tc>
                      <w:tcPr>
                        <w:tcW w:w="1158" w:type="dxa"/>
                        <w:tcBorders>
                          <w:top w:val="nil"/>
                          <w:left w:val="nil"/>
                          <w:bottom w:val="nil"/>
                          <w:right w:val="nil"/>
                        </w:tcBorders>
                        <w:shd w:val="clear" w:color="auto" w:fill="auto"/>
                        <w:vAlign w:val="bottom"/>
                        <w:hideMark/>
                      </w:tcPr>
                      <w:p>
                        <w:pPr>
                          <w:rPr>
                            <w:sz w:val="20"/>
                            <w:lang w:eastAsia="lt-LT"/>
                          </w:rPr>
                        </w:pPr>
                      </w:p>
                    </w:tc>
                    <w:tc>
                      <w:tcPr>
                        <w:tcW w:w="1121" w:type="dxa"/>
                        <w:tcBorders>
                          <w:top w:val="nil"/>
                          <w:left w:val="nil"/>
                          <w:bottom w:val="nil"/>
                          <w:right w:val="nil"/>
                        </w:tcBorders>
                        <w:shd w:val="clear" w:color="auto" w:fill="auto"/>
                        <w:vAlign w:val="bottom"/>
                        <w:hideMark/>
                      </w:tcPr>
                      <w:p>
                        <w:pPr>
                          <w:rPr>
                            <w:sz w:val="20"/>
                            <w:lang w:eastAsia="lt-LT"/>
                          </w:rPr>
                        </w:pPr>
                      </w:p>
                    </w:tc>
                    <w:tc>
                      <w:tcPr>
                        <w:tcW w:w="1220" w:type="dxa"/>
                        <w:tcBorders>
                          <w:top w:val="nil"/>
                          <w:left w:val="nil"/>
                          <w:bottom w:val="nil"/>
                          <w:right w:val="nil"/>
                        </w:tcBorders>
                        <w:shd w:val="clear" w:color="auto" w:fill="auto"/>
                        <w:vAlign w:val="bottom"/>
                        <w:hideMark/>
                      </w:tcPr>
                      <w:p>
                        <w:pPr>
                          <w:rPr>
                            <w:sz w:val="20"/>
                            <w:lang w:eastAsia="lt-LT"/>
                          </w:rPr>
                        </w:pPr>
                      </w:p>
                    </w:tc>
                    <w:tc>
                      <w:tcPr>
                        <w:tcW w:w="1023" w:type="dxa"/>
                        <w:tcBorders>
                          <w:top w:val="nil"/>
                          <w:left w:val="nil"/>
                          <w:bottom w:val="nil"/>
                          <w:right w:val="nil"/>
                        </w:tcBorders>
                        <w:shd w:val="clear" w:color="auto" w:fill="auto"/>
                        <w:vAlign w:val="bottom"/>
                        <w:hideMark/>
                      </w:tcPr>
                      <w:p>
                        <w:pPr>
                          <w:rPr>
                            <w:sz w:val="20"/>
                            <w:lang w:eastAsia="lt-LT"/>
                          </w:rPr>
                        </w:pPr>
                      </w:p>
                    </w:tc>
                    <w:tc>
                      <w:tcPr>
                        <w:tcW w:w="2183" w:type="dxa"/>
                        <w:tcBorders>
                          <w:top w:val="nil"/>
                          <w:left w:val="nil"/>
                          <w:bottom w:val="nil"/>
                          <w:right w:val="nil"/>
                        </w:tcBorders>
                        <w:shd w:val="clear" w:color="auto" w:fill="auto"/>
                        <w:vAlign w:val="bottom"/>
                        <w:hideMark/>
                      </w:tcPr>
                      <w:p>
                        <w:pPr>
                          <w:rPr>
                            <w:sz w:val="20"/>
                            <w:lang w:eastAsia="lt-LT"/>
                          </w:rPr>
                        </w:pPr>
                      </w:p>
                    </w:tc>
                    <w:tc>
                      <w:tcPr>
                        <w:tcW w:w="1353" w:type="dxa"/>
                        <w:gridSpan w:val="2"/>
                        <w:tcBorders>
                          <w:top w:val="nil"/>
                          <w:left w:val="nil"/>
                          <w:bottom w:val="nil"/>
                          <w:right w:val="nil"/>
                        </w:tcBorders>
                        <w:shd w:val="clear" w:color="auto" w:fill="auto"/>
                        <w:noWrap/>
                        <w:vAlign w:val="bottom"/>
                        <w:hideMark/>
                      </w:tcPr>
                      <w:p>
                        <w:pPr>
                          <w:rPr>
                            <w:sz w:val="20"/>
                            <w:lang w:eastAsia="lt-LT"/>
                          </w:rPr>
                        </w:pPr>
                      </w:p>
                    </w:tc>
                    <w:tc>
                      <w:tcPr>
                        <w:tcW w:w="4758" w:type="dxa"/>
                        <w:gridSpan w:val="2"/>
                        <w:tcBorders>
                          <w:top w:val="nil"/>
                          <w:left w:val="nil"/>
                          <w:bottom w:val="nil"/>
                          <w:right w:val="nil"/>
                        </w:tcBorders>
                        <w:shd w:val="clear" w:color="auto" w:fill="auto"/>
                        <w:vAlign w:val="bottom"/>
                        <w:hideMark/>
                      </w:tcPr>
                      <w:p>
                        <w:pPr>
                          <w:rPr>
                            <w:color w:val="000000"/>
                            <w:sz w:val="22"/>
                            <w:szCs w:val="22"/>
                            <w:lang w:eastAsia="lt-LT"/>
                          </w:rPr>
                        </w:pPr>
                        <w:r>
                          <w:rPr>
                            <w:color w:val="000000"/>
                            <w:sz w:val="22"/>
                            <w:szCs w:val="22"/>
                            <w:lang w:eastAsia="lt-LT"/>
                          </w:rPr>
                          <w:t xml:space="preserve">Projekto „Ankstyvojo ugdymo užtikrinimas vaikams iš socialinę riziką patiriančių šeimų”  jungtinės veiklos sutarties Nr. </w:t>
                        </w:r>
                        <w:r>
                          <w:rPr>
                            <w:color w:val="FF0000"/>
                            <w:sz w:val="22"/>
                            <w:szCs w:val="22"/>
                            <w:lang w:eastAsia="lt-LT"/>
                          </w:rPr>
                          <w:t>10-013-P-0001/1</w:t>
                        </w:r>
                        <w:r>
                          <w:rPr>
                            <w:color w:val="000000"/>
                            <w:sz w:val="22"/>
                            <w:szCs w:val="22"/>
                            <w:lang w:eastAsia="lt-LT"/>
                          </w:rPr>
                          <w:br/>
                          <w:t>1 priedas</w:t>
                        </w:r>
                      </w:p>
                    </w:tc>
                  </w:tr>
                  <w:tr>
                    <w:trPr>
                      <w:trHeight w:val="300"/>
                    </w:trPr>
                    <w:tc>
                      <w:tcPr>
                        <w:tcW w:w="14821" w:type="dxa"/>
                        <w:gridSpan w:val="12"/>
                        <w:tcBorders>
                          <w:top w:val="nil"/>
                          <w:left w:val="nil"/>
                          <w:bottom w:val="nil"/>
                          <w:right w:val="nil"/>
                        </w:tcBorders>
                        <w:shd w:val="clear" w:color="auto" w:fill="auto"/>
                        <w:noWrap/>
                        <w:vAlign w:val="bottom"/>
                        <w:hideMark/>
                      </w:tcPr>
                      <w:p>
                        <w:pPr>
                          <w:jc w:val="center"/>
                          <w:rPr>
                            <w:b/>
                            <w:bCs/>
                            <w:sz w:val="22"/>
                            <w:szCs w:val="22"/>
                            <w:lang w:eastAsia="lt-LT"/>
                          </w:rPr>
                        </w:pPr>
                        <w:r>
                          <w:rPr>
                            <w:b/>
                            <w:bCs/>
                            <w:sz w:val="22"/>
                            <w:szCs w:val="22"/>
                            <w:lang w:eastAsia="lt-LT"/>
                          </w:rPr>
                          <w:t xml:space="preserve">Partnerio  veiklų ir išlaidų lentelė</w:t>
                        </w:r>
                      </w:p>
                    </w:tc>
                  </w:tr>
                  <w:tr>
                    <w:trPr>
                      <w:gridAfter w:val="2"/>
                      <w:wAfter w:w="20" w:type="dxa"/>
                      <w:trHeight w:val="315"/>
                    </w:trPr>
                    <w:tc>
                      <w:tcPr>
                        <w:tcW w:w="1985" w:type="dxa"/>
                        <w:tcBorders>
                          <w:top w:val="nil"/>
                          <w:left w:val="nil"/>
                          <w:bottom w:val="nil"/>
                          <w:right w:val="nil"/>
                        </w:tcBorders>
                        <w:shd w:val="clear" w:color="auto" w:fill="auto"/>
                        <w:vAlign w:val="bottom"/>
                        <w:hideMark/>
                      </w:tcPr>
                      <w:p>
                        <w:pPr>
                          <w:jc w:val="center"/>
                          <w:rPr>
                            <w:b/>
                            <w:bCs/>
                            <w:sz w:val="22"/>
                            <w:szCs w:val="22"/>
                            <w:lang w:eastAsia="lt-LT"/>
                          </w:rPr>
                        </w:pPr>
                      </w:p>
                    </w:tc>
                    <w:tc>
                      <w:tcPr>
                        <w:tcW w:w="1158" w:type="dxa"/>
                        <w:tcBorders>
                          <w:top w:val="nil"/>
                          <w:left w:val="nil"/>
                          <w:bottom w:val="nil"/>
                          <w:right w:val="nil"/>
                        </w:tcBorders>
                        <w:shd w:val="clear" w:color="auto" w:fill="auto"/>
                        <w:vAlign w:val="bottom"/>
                        <w:hideMark/>
                      </w:tcPr>
                      <w:p>
                        <w:pPr>
                          <w:rPr>
                            <w:sz w:val="20"/>
                            <w:lang w:eastAsia="lt-LT"/>
                          </w:rPr>
                        </w:pPr>
                      </w:p>
                    </w:tc>
                    <w:tc>
                      <w:tcPr>
                        <w:tcW w:w="1121" w:type="dxa"/>
                        <w:tcBorders>
                          <w:top w:val="nil"/>
                          <w:left w:val="nil"/>
                          <w:bottom w:val="nil"/>
                          <w:right w:val="nil"/>
                        </w:tcBorders>
                        <w:shd w:val="clear" w:color="auto" w:fill="auto"/>
                        <w:vAlign w:val="bottom"/>
                        <w:hideMark/>
                      </w:tcPr>
                      <w:p>
                        <w:pPr>
                          <w:rPr>
                            <w:sz w:val="20"/>
                            <w:lang w:eastAsia="lt-LT"/>
                          </w:rPr>
                        </w:pPr>
                      </w:p>
                    </w:tc>
                    <w:tc>
                      <w:tcPr>
                        <w:tcW w:w="1220" w:type="dxa"/>
                        <w:tcBorders>
                          <w:top w:val="nil"/>
                          <w:left w:val="nil"/>
                          <w:bottom w:val="nil"/>
                          <w:right w:val="nil"/>
                        </w:tcBorders>
                        <w:shd w:val="clear" w:color="auto" w:fill="auto"/>
                        <w:vAlign w:val="bottom"/>
                        <w:hideMark/>
                      </w:tcPr>
                      <w:p>
                        <w:pPr>
                          <w:rPr>
                            <w:sz w:val="20"/>
                            <w:lang w:eastAsia="lt-LT"/>
                          </w:rPr>
                        </w:pPr>
                      </w:p>
                    </w:tc>
                    <w:tc>
                      <w:tcPr>
                        <w:tcW w:w="1023" w:type="dxa"/>
                        <w:tcBorders>
                          <w:top w:val="nil"/>
                          <w:left w:val="nil"/>
                          <w:bottom w:val="nil"/>
                          <w:right w:val="nil"/>
                        </w:tcBorders>
                        <w:shd w:val="clear" w:color="auto" w:fill="auto"/>
                        <w:vAlign w:val="bottom"/>
                        <w:hideMark/>
                      </w:tcPr>
                      <w:p>
                        <w:pPr>
                          <w:rPr>
                            <w:sz w:val="20"/>
                            <w:lang w:eastAsia="lt-LT"/>
                          </w:rPr>
                        </w:pPr>
                      </w:p>
                    </w:tc>
                    <w:tc>
                      <w:tcPr>
                        <w:tcW w:w="2183" w:type="dxa"/>
                        <w:tcBorders>
                          <w:top w:val="nil"/>
                          <w:left w:val="nil"/>
                          <w:bottom w:val="nil"/>
                          <w:right w:val="nil"/>
                        </w:tcBorders>
                        <w:shd w:val="clear" w:color="auto" w:fill="auto"/>
                        <w:vAlign w:val="bottom"/>
                        <w:hideMark/>
                      </w:tcPr>
                      <w:p>
                        <w:pPr>
                          <w:rPr>
                            <w:sz w:val="20"/>
                            <w:lang w:eastAsia="lt-LT"/>
                          </w:rPr>
                        </w:pPr>
                      </w:p>
                    </w:tc>
                    <w:tc>
                      <w:tcPr>
                        <w:tcW w:w="1353" w:type="dxa"/>
                        <w:gridSpan w:val="2"/>
                        <w:tcBorders>
                          <w:top w:val="nil"/>
                          <w:left w:val="nil"/>
                          <w:bottom w:val="nil"/>
                          <w:right w:val="nil"/>
                        </w:tcBorders>
                        <w:shd w:val="clear" w:color="auto" w:fill="auto"/>
                        <w:noWrap/>
                        <w:vAlign w:val="bottom"/>
                        <w:hideMark/>
                      </w:tcPr>
                      <w:p>
                        <w:pPr>
                          <w:rPr>
                            <w:sz w:val="20"/>
                            <w:lang w:eastAsia="lt-LT"/>
                          </w:rPr>
                        </w:pPr>
                      </w:p>
                    </w:tc>
                    <w:tc>
                      <w:tcPr>
                        <w:tcW w:w="4758" w:type="dxa"/>
                        <w:gridSpan w:val="2"/>
                        <w:tcBorders>
                          <w:top w:val="nil"/>
                          <w:left w:val="nil"/>
                          <w:bottom w:val="nil"/>
                          <w:right w:val="nil"/>
                        </w:tcBorders>
                        <w:shd w:val="clear" w:color="auto" w:fill="auto"/>
                        <w:vAlign w:val="bottom"/>
                        <w:hideMark/>
                      </w:tcPr>
                      <w:p>
                        <w:pPr>
                          <w:rPr>
                            <w:sz w:val="20"/>
                            <w:lang w:eastAsia="lt-LT"/>
                          </w:rPr>
                        </w:pPr>
                      </w:p>
                    </w:tc>
                  </w:tr>
                  <w:tr>
                    <w:trPr>
                      <w:gridAfter w:val="2"/>
                      <w:wAfter w:w="20" w:type="dxa"/>
                      <w:trHeight w:val="900"/>
                    </w:trPr>
                    <w:tc>
                      <w:tcPr>
                        <w:tcW w:w="1985" w:type="dxa"/>
                        <w:tcBorders>
                          <w:top w:val="single" w:sz="8" w:space="0" w:color="auto"/>
                          <w:left w:val="single" w:sz="8" w:space="0" w:color="auto"/>
                          <w:bottom w:val="single" w:sz="4" w:space="0" w:color="auto"/>
                          <w:right w:val="single" w:sz="4" w:space="0" w:color="auto"/>
                        </w:tcBorders>
                        <w:shd w:val="clear" w:color="000000" w:fill="BDD7EE"/>
                        <w:vAlign w:val="center"/>
                        <w:hideMark/>
                      </w:tcPr>
                      <w:p>
                        <w:pPr>
                          <w:jc w:val="center"/>
                          <w:rPr>
                            <w:b/>
                            <w:bCs/>
                            <w:sz w:val="22"/>
                            <w:szCs w:val="22"/>
                            <w:lang w:eastAsia="lt-LT"/>
                          </w:rPr>
                        </w:pPr>
                        <w:r>
                          <w:rPr>
                            <w:b/>
                            <w:bCs/>
                            <w:sz w:val="22"/>
                            <w:szCs w:val="22"/>
                            <w:lang w:eastAsia="lt-LT"/>
                          </w:rPr>
                          <w:t>Veikla</w:t>
                        </w:r>
                      </w:p>
                    </w:tc>
                    <w:tc>
                      <w:tcPr>
                        <w:tcW w:w="1158" w:type="dxa"/>
                        <w:tcBorders>
                          <w:top w:val="single" w:sz="8" w:space="0" w:color="auto"/>
                          <w:left w:val="nil"/>
                          <w:bottom w:val="single" w:sz="4" w:space="0" w:color="auto"/>
                          <w:right w:val="single" w:sz="4" w:space="0" w:color="auto"/>
                        </w:tcBorders>
                        <w:shd w:val="clear" w:color="000000" w:fill="BDD7EE"/>
                        <w:vAlign w:val="center"/>
                        <w:hideMark/>
                      </w:tcPr>
                      <w:p>
                        <w:pPr>
                          <w:jc w:val="center"/>
                          <w:rPr>
                            <w:b/>
                            <w:bCs/>
                            <w:sz w:val="22"/>
                            <w:szCs w:val="22"/>
                            <w:lang w:eastAsia="lt-LT"/>
                          </w:rPr>
                        </w:pPr>
                        <w:r>
                          <w:rPr>
                            <w:b/>
                            <w:bCs/>
                            <w:sz w:val="22"/>
                            <w:szCs w:val="22"/>
                            <w:lang w:eastAsia="lt-LT"/>
                          </w:rPr>
                          <w:t>Poveiklė</w:t>
                        </w:r>
                      </w:p>
                    </w:tc>
                    <w:tc>
                      <w:tcPr>
                        <w:tcW w:w="1121" w:type="dxa"/>
                        <w:tcBorders>
                          <w:top w:val="single" w:sz="8" w:space="0" w:color="auto"/>
                          <w:left w:val="nil"/>
                          <w:bottom w:val="single" w:sz="4" w:space="0" w:color="auto"/>
                          <w:right w:val="single" w:sz="4" w:space="0" w:color="auto"/>
                        </w:tcBorders>
                        <w:shd w:val="clear" w:color="000000" w:fill="BDD7EE"/>
                        <w:vAlign w:val="center"/>
                        <w:hideMark/>
                      </w:tcPr>
                      <w:p>
                        <w:pPr>
                          <w:jc w:val="center"/>
                          <w:rPr>
                            <w:b/>
                            <w:bCs/>
                            <w:sz w:val="22"/>
                            <w:szCs w:val="22"/>
                            <w:lang w:eastAsia="lt-LT"/>
                          </w:rPr>
                        </w:pPr>
                        <w:r>
                          <w:rPr>
                            <w:b/>
                            <w:bCs/>
                            <w:sz w:val="22"/>
                            <w:szCs w:val="22"/>
                            <w:lang w:eastAsia="lt-LT"/>
                          </w:rPr>
                          <w:t>Veiksmas / išlaidų tipas</w:t>
                        </w:r>
                      </w:p>
                    </w:tc>
                    <w:tc>
                      <w:tcPr>
                        <w:tcW w:w="1220" w:type="dxa"/>
                        <w:tcBorders>
                          <w:top w:val="single" w:sz="8" w:space="0" w:color="auto"/>
                          <w:left w:val="nil"/>
                          <w:bottom w:val="single" w:sz="4" w:space="0" w:color="auto"/>
                          <w:right w:val="single" w:sz="4" w:space="0" w:color="auto"/>
                        </w:tcBorders>
                        <w:shd w:val="clear" w:color="000000" w:fill="BDD7EE"/>
                        <w:vAlign w:val="center"/>
                        <w:hideMark/>
                      </w:tcPr>
                      <w:p>
                        <w:pPr>
                          <w:jc w:val="center"/>
                          <w:rPr>
                            <w:b/>
                            <w:bCs/>
                            <w:sz w:val="22"/>
                            <w:szCs w:val="22"/>
                            <w:lang w:eastAsia="lt-LT"/>
                          </w:rPr>
                        </w:pPr>
                        <w:r>
                          <w:rPr>
                            <w:b/>
                            <w:bCs/>
                            <w:sz w:val="22"/>
                            <w:szCs w:val="22"/>
                            <w:lang w:eastAsia="lt-LT"/>
                          </w:rPr>
                          <w:t>Matavimo vienetas</w:t>
                        </w:r>
                      </w:p>
                    </w:tc>
                    <w:tc>
                      <w:tcPr>
                        <w:tcW w:w="1023" w:type="dxa"/>
                        <w:tcBorders>
                          <w:top w:val="single" w:sz="8" w:space="0" w:color="auto"/>
                          <w:left w:val="nil"/>
                          <w:bottom w:val="single" w:sz="4" w:space="0" w:color="auto"/>
                          <w:right w:val="single" w:sz="4" w:space="0" w:color="auto"/>
                        </w:tcBorders>
                        <w:shd w:val="clear" w:color="000000" w:fill="BDD7EE"/>
                        <w:vAlign w:val="center"/>
                        <w:hideMark/>
                      </w:tcPr>
                      <w:p>
                        <w:pPr>
                          <w:jc w:val="center"/>
                          <w:rPr>
                            <w:b/>
                            <w:bCs/>
                            <w:sz w:val="22"/>
                            <w:szCs w:val="22"/>
                            <w:lang w:eastAsia="lt-LT"/>
                          </w:rPr>
                        </w:pPr>
                        <w:r>
                          <w:rPr>
                            <w:b/>
                            <w:bCs/>
                            <w:sz w:val="22"/>
                            <w:szCs w:val="22"/>
                            <w:lang w:eastAsia="lt-LT"/>
                          </w:rPr>
                          <w:t>Rodiklio siektina reikšmė</w:t>
                        </w:r>
                      </w:p>
                    </w:tc>
                    <w:tc>
                      <w:tcPr>
                        <w:tcW w:w="2183" w:type="dxa"/>
                        <w:tcBorders>
                          <w:top w:val="single" w:sz="8" w:space="0" w:color="auto"/>
                          <w:left w:val="nil"/>
                          <w:bottom w:val="single" w:sz="4" w:space="0" w:color="auto"/>
                          <w:right w:val="single" w:sz="4" w:space="0" w:color="auto"/>
                        </w:tcBorders>
                        <w:shd w:val="clear" w:color="000000" w:fill="BDD7EE"/>
                        <w:vAlign w:val="center"/>
                        <w:hideMark/>
                      </w:tcPr>
                      <w:p>
                        <w:pPr>
                          <w:jc w:val="center"/>
                          <w:rPr>
                            <w:b/>
                            <w:bCs/>
                            <w:sz w:val="22"/>
                            <w:szCs w:val="22"/>
                            <w:lang w:eastAsia="lt-LT"/>
                          </w:rPr>
                        </w:pPr>
                        <w:r>
                          <w:rPr>
                            <w:b/>
                            <w:bCs/>
                            <w:sz w:val="22"/>
                            <w:szCs w:val="22"/>
                            <w:lang w:eastAsia="lt-LT"/>
                          </w:rPr>
                          <w:t>Fiksuotieji įkainiai, Eur</w:t>
                        </w:r>
                      </w:p>
                    </w:tc>
                    <w:tc>
                      <w:tcPr>
                        <w:tcW w:w="1353" w:type="dxa"/>
                        <w:gridSpan w:val="2"/>
                        <w:tcBorders>
                          <w:top w:val="single" w:sz="8" w:space="0" w:color="auto"/>
                          <w:left w:val="nil"/>
                          <w:bottom w:val="nil"/>
                          <w:right w:val="nil"/>
                        </w:tcBorders>
                        <w:shd w:val="clear" w:color="000000" w:fill="BDD7EE"/>
                        <w:vAlign w:val="center"/>
                        <w:hideMark/>
                      </w:tcPr>
                      <w:p>
                        <w:pPr>
                          <w:jc w:val="center"/>
                          <w:rPr>
                            <w:b/>
                            <w:bCs/>
                            <w:sz w:val="22"/>
                            <w:szCs w:val="22"/>
                            <w:lang w:eastAsia="lt-LT"/>
                          </w:rPr>
                        </w:pPr>
                        <w:r>
                          <w:rPr>
                            <w:b/>
                            <w:bCs/>
                            <w:sz w:val="22"/>
                            <w:szCs w:val="22"/>
                            <w:lang w:eastAsia="lt-LT"/>
                          </w:rPr>
                          <w:t>Planuojama bendra suma iš viso, Eur</w:t>
                        </w:r>
                      </w:p>
                    </w:tc>
                    <w:tc>
                      <w:tcPr>
                        <w:tcW w:w="4758" w:type="dxa"/>
                        <w:gridSpan w:val="2"/>
                        <w:tcBorders>
                          <w:top w:val="single" w:sz="8" w:space="0" w:color="auto"/>
                          <w:left w:val="single" w:sz="4" w:space="0" w:color="auto"/>
                          <w:bottom w:val="nil"/>
                          <w:right w:val="single" w:sz="8" w:space="0" w:color="auto"/>
                        </w:tcBorders>
                        <w:shd w:val="clear" w:color="000000" w:fill="BDD7EE"/>
                        <w:vAlign w:val="center"/>
                        <w:hideMark/>
                      </w:tcPr>
                      <w:p>
                        <w:pPr>
                          <w:jc w:val="center"/>
                          <w:rPr>
                            <w:b/>
                            <w:bCs/>
                            <w:sz w:val="22"/>
                            <w:szCs w:val="22"/>
                            <w:lang w:eastAsia="lt-LT"/>
                          </w:rPr>
                        </w:pPr>
                        <w:r>
                          <w:rPr>
                            <w:b/>
                            <w:bCs/>
                            <w:sz w:val="22"/>
                            <w:szCs w:val="22"/>
                            <w:lang w:eastAsia="lt-LT"/>
                          </w:rPr>
                          <w:t>Komentaras</w:t>
                        </w:r>
                      </w:p>
                    </w:tc>
                  </w:tr>
                  <w:tr>
                    <w:trPr>
                      <w:gridAfter w:val="2"/>
                      <w:wAfter w:w="20" w:type="dxa"/>
                      <w:trHeight w:val="3099"/>
                    </w:trPr>
                    <w:tc>
                      <w:tcPr>
                        <w:tcW w:w="1985" w:type="dxa"/>
                        <w:tcBorders>
                          <w:top w:val="nil"/>
                          <w:left w:val="single" w:sz="8" w:space="0" w:color="auto"/>
                          <w:bottom w:val="nil"/>
                          <w:right w:val="single" w:sz="4" w:space="0" w:color="auto"/>
                        </w:tcBorders>
                        <w:shd w:val="clear" w:color="auto" w:fill="auto"/>
                        <w:hideMark/>
                      </w:tcPr>
                      <w:p>
                        <w:pPr>
                          <w:rPr>
                            <w:sz w:val="22"/>
                            <w:szCs w:val="22"/>
                            <w:lang w:eastAsia="lt-LT"/>
                          </w:rPr>
                        </w:pPr>
                        <w:r>
                          <w:rPr>
                            <w:sz w:val="22"/>
                            <w:szCs w:val="22"/>
                            <w:lang w:eastAsia="lt-LT"/>
                          </w:rPr>
                          <w:t>2. Įgyvendinti priemones, kad į ikimokyklinį ugdymą būtų sėkmingai įtraukti vaikai iš socialinę riziką patiriančių šeimų (Vaiko garantijos iniciatyva) Vidurio ir Vakarų Lietuvos regione</w:t>
                        </w:r>
                      </w:p>
                    </w:tc>
                    <w:tc>
                      <w:tcPr>
                        <w:tcW w:w="1158" w:type="dxa"/>
                        <w:tcBorders>
                          <w:top w:val="nil"/>
                          <w:left w:val="single" w:sz="4" w:space="0" w:color="auto"/>
                          <w:bottom w:val="nil"/>
                          <w:right w:val="single" w:sz="4" w:space="0" w:color="auto"/>
                        </w:tcBorders>
                        <w:shd w:val="clear" w:color="auto" w:fill="auto"/>
                        <w:hideMark/>
                      </w:tcPr>
                      <w:p>
                        <w:pPr>
                          <w:rPr>
                            <w:sz w:val="22"/>
                            <w:szCs w:val="22"/>
                            <w:lang w:eastAsia="lt-LT"/>
                          </w:rPr>
                        </w:pPr>
                        <w:r>
                          <w:rPr>
                            <w:sz w:val="22"/>
                            <w:szCs w:val="22"/>
                            <w:lang w:eastAsia="lt-LT"/>
                          </w:rPr>
                          <w:t>2.1. Pagalbos suteikimas ugdymo procese</w:t>
                        </w:r>
                      </w:p>
                    </w:tc>
                    <w:tc>
                      <w:tcPr>
                        <w:tcW w:w="1121" w:type="dxa"/>
                        <w:tcBorders>
                          <w:top w:val="nil"/>
                          <w:left w:val="nil"/>
                          <w:bottom w:val="nil"/>
                          <w:right w:val="single" w:sz="4" w:space="0" w:color="auto"/>
                        </w:tcBorders>
                        <w:shd w:val="clear" w:color="auto" w:fill="auto"/>
                        <w:hideMark/>
                      </w:tcPr>
                      <w:p>
                        <w:pPr>
                          <w:rPr>
                            <w:sz w:val="22"/>
                            <w:szCs w:val="22"/>
                            <w:lang w:eastAsia="lt-LT"/>
                          </w:rPr>
                        </w:pPr>
                        <w:r>
                          <w:rPr>
                            <w:sz w:val="22"/>
                            <w:szCs w:val="22"/>
                            <w:lang w:eastAsia="lt-LT"/>
                          </w:rPr>
                          <w:t>Tikslinės grupės išlaidos pagal fiksuotus įkainius</w:t>
                        </w:r>
                      </w:p>
                    </w:tc>
                    <w:tc>
                      <w:tcPr>
                        <w:tcW w:w="1220" w:type="dxa"/>
                        <w:tcBorders>
                          <w:top w:val="nil"/>
                          <w:left w:val="nil"/>
                          <w:bottom w:val="nil"/>
                          <w:right w:val="single" w:sz="4" w:space="0" w:color="auto"/>
                        </w:tcBorders>
                        <w:shd w:val="clear" w:color="auto" w:fill="auto"/>
                        <w:hideMark/>
                      </w:tcPr>
                      <w:p>
                        <w:pPr>
                          <w:jc w:val="center"/>
                          <w:rPr>
                            <w:sz w:val="22"/>
                            <w:szCs w:val="22"/>
                            <w:lang w:eastAsia="lt-LT"/>
                          </w:rPr>
                        </w:pPr>
                        <w:r>
                          <w:rPr>
                            <w:sz w:val="22"/>
                            <w:szCs w:val="22"/>
                            <w:lang w:eastAsia="lt-LT"/>
                          </w:rPr>
                          <w:t>asm./mėn.</w:t>
                        </w:r>
                      </w:p>
                    </w:tc>
                    <w:tc>
                      <w:tcPr>
                        <w:tcW w:w="1023" w:type="dxa"/>
                        <w:tcBorders>
                          <w:top w:val="nil"/>
                          <w:left w:val="nil"/>
                          <w:bottom w:val="nil"/>
                          <w:right w:val="single" w:sz="4" w:space="0" w:color="auto"/>
                        </w:tcBorders>
                        <w:shd w:val="clear" w:color="auto" w:fill="auto"/>
                        <w:hideMark/>
                      </w:tcPr>
                      <w:p>
                        <w:pPr>
                          <w:jc w:val="center"/>
                          <w:rPr>
                            <w:sz w:val="22"/>
                            <w:szCs w:val="22"/>
                            <w:lang w:eastAsia="lt-LT"/>
                          </w:rPr>
                        </w:pPr>
                        <w:r>
                          <w:rPr>
                            <w:sz w:val="22"/>
                            <w:szCs w:val="22"/>
                            <w:lang w:eastAsia="lt-LT"/>
                          </w:rPr>
                          <w:t>100,00</w:t>
                        </w:r>
                      </w:p>
                    </w:tc>
                    <w:tc>
                      <w:tcPr>
                        <w:tcW w:w="2183" w:type="dxa"/>
                        <w:tcBorders>
                          <w:top w:val="nil"/>
                          <w:left w:val="nil"/>
                          <w:bottom w:val="nil"/>
                          <w:right w:val="single" w:sz="4" w:space="0" w:color="auto"/>
                        </w:tcBorders>
                        <w:shd w:val="clear" w:color="auto" w:fill="auto"/>
                        <w:hideMark/>
                      </w:tcPr>
                      <w:p>
                        <w:pPr>
                          <w:jc w:val="center"/>
                          <w:rPr>
                            <w:sz w:val="22"/>
                            <w:szCs w:val="22"/>
                            <w:lang w:eastAsia="lt-LT"/>
                          </w:rPr>
                        </w:pPr>
                        <w:r>
                          <w:rPr>
                            <w:sz w:val="22"/>
                            <w:szCs w:val="22"/>
                            <w:lang w:eastAsia="lt-LT"/>
                          </w:rPr>
                          <w:t>FĮ-49-01 - 379,71 Eur</w:t>
                          <w:br/>
                          <w:t>FĮ-49-02 - 364,41 Eur</w:t>
                          <w:br/>
                          <w:t>FĮ-49-03 - 39,50 Eur</w:t>
                          <w:br/>
                          <w:t>FĮ-49-04 - 24,20 Eur</w:t>
                          <w:br/>
                          <w:t>FĮ-49-05 - 78,07 Eur</w:t>
                          <w:br/>
                          <w:t>FĮ-49-06 - 62,77 Eur</w:t>
                        </w:r>
                      </w:p>
                    </w:tc>
                    <w:tc>
                      <w:tcPr>
                        <w:tcW w:w="1353" w:type="dxa"/>
                        <w:gridSpan w:val="2"/>
                        <w:tcBorders>
                          <w:top w:val="nil"/>
                          <w:left w:val="nil"/>
                          <w:bottom w:val="nil"/>
                          <w:right w:val="single" w:sz="4" w:space="0" w:color="auto"/>
                        </w:tcBorders>
                        <w:shd w:val="clear" w:color="auto" w:fill="auto"/>
                        <w:hideMark/>
                      </w:tcPr>
                      <w:p>
                        <w:pPr>
                          <w:jc w:val="center"/>
                          <w:rPr>
                            <w:sz w:val="22"/>
                            <w:szCs w:val="22"/>
                            <w:lang w:eastAsia="lt-LT"/>
                          </w:rPr>
                        </w:pPr>
                        <w:r>
                          <w:rPr>
                            <w:sz w:val="22"/>
                            <w:szCs w:val="22"/>
                            <w:lang w:eastAsia="lt-LT"/>
                          </w:rPr>
                          <w:t>729 591,12</w:t>
                        </w:r>
                      </w:p>
                    </w:tc>
                    <w:tc>
                      <w:tcPr>
                        <w:tcW w:w="4758" w:type="dxa"/>
                        <w:gridSpan w:val="2"/>
                        <w:tcBorders>
                          <w:top w:val="nil"/>
                          <w:left w:val="nil"/>
                          <w:bottom w:val="nil"/>
                          <w:right w:val="single" w:sz="4" w:space="0" w:color="auto"/>
                        </w:tcBorders>
                        <w:shd w:val="clear" w:color="auto" w:fill="auto"/>
                        <w:hideMark/>
                      </w:tcPr>
                      <w:p>
                        <w:pPr>
                          <w:rPr>
                            <w:sz w:val="22"/>
                            <w:szCs w:val="22"/>
                            <w:lang w:eastAsia="lt-LT"/>
                          </w:rPr>
                        </w:pPr>
                        <w:r>
                          <w:rPr>
                            <w:sz w:val="22"/>
                            <w:szCs w:val="22"/>
                            <w:lang w:eastAsia="lt-LT"/>
                          </w:rPr>
                          <w:t xml:space="preserve">Išlaidos bus apmokamos vadovaujantis Fiksuotųjų vieneto įkainių tyrimu*. </w:t>
                          <w:br/>
                          <w:t>Rodiklio siektina reikšmė nustatyta atlikus savivaldybių bei švietimo įstaigų apklausą ir preliminariai paskaičiuota galima išlaidų suma. Atkreiptinas dėmesys, kad projekto įgyvendinimo metu išlaidos bus kompensuojamos pagal faktą, t. y. išlaidos priklausys nuo vaikų, atitinkančių tam tikrą tikslinę grupę (fiksuotąjį įkainį), skaičiaus per mėnesį.</w:t>
                        </w:r>
                      </w:p>
                    </w:tc>
                  </w:tr>
                  <w:tr>
                    <w:trPr>
                      <w:gridAfter w:val="2"/>
                      <w:wAfter w:w="20" w:type="dxa"/>
                      <w:trHeight w:val="600"/>
                    </w:trPr>
                    <w:tc>
                      <w:tcPr>
                        <w:tcW w:w="1985" w:type="dxa"/>
                        <w:tcBorders>
                          <w:top w:val="single" w:sz="4" w:space="0" w:color="auto"/>
                          <w:left w:val="single" w:sz="8" w:space="0" w:color="auto"/>
                          <w:bottom w:val="single" w:sz="4" w:space="0" w:color="auto"/>
                          <w:right w:val="single" w:sz="4" w:space="0" w:color="auto"/>
                        </w:tcBorders>
                        <w:shd w:val="clear" w:color="000000" w:fill="BDD7EE"/>
                        <w:vAlign w:val="bottom"/>
                        <w:hideMark/>
                      </w:tcPr>
                      <w:p>
                        <w:pPr>
                          <w:rPr>
                            <w:b/>
                            <w:bCs/>
                            <w:sz w:val="22"/>
                            <w:szCs w:val="22"/>
                            <w:lang w:eastAsia="lt-LT"/>
                          </w:rPr>
                        </w:pPr>
                        <w:r>
                          <w:rPr>
                            <w:b/>
                            <w:bCs/>
                            <w:sz w:val="22"/>
                            <w:szCs w:val="22"/>
                            <w:lang w:eastAsia="lt-LT"/>
                          </w:rPr>
                          <w:t>Iš viso tiesioginių išlaidų:</w:t>
                        </w:r>
                      </w:p>
                    </w:tc>
                    <w:tc>
                      <w:tcPr>
                        <w:tcW w:w="1158" w:type="dxa"/>
                        <w:tcBorders>
                          <w:top w:val="single" w:sz="4" w:space="0" w:color="auto"/>
                          <w:left w:val="nil"/>
                          <w:bottom w:val="single" w:sz="4" w:space="0" w:color="auto"/>
                          <w:right w:val="single" w:sz="4" w:space="0" w:color="auto"/>
                        </w:tcBorders>
                        <w:shd w:val="clear" w:color="000000" w:fill="BDD7EE"/>
                        <w:hideMark/>
                      </w:tcPr>
                      <w:p>
                        <w:pPr>
                          <w:ind w:firstLine="57"/>
                          <w:rPr>
                            <w:sz w:val="22"/>
                            <w:szCs w:val="22"/>
                            <w:lang w:eastAsia="lt-LT"/>
                          </w:rPr>
                        </w:pPr>
                      </w:p>
                    </w:tc>
                    <w:tc>
                      <w:tcPr>
                        <w:tcW w:w="1121" w:type="dxa"/>
                        <w:tcBorders>
                          <w:top w:val="single" w:sz="4" w:space="0" w:color="auto"/>
                          <w:left w:val="nil"/>
                          <w:bottom w:val="single" w:sz="4" w:space="0" w:color="auto"/>
                          <w:right w:val="single" w:sz="4" w:space="0" w:color="auto"/>
                        </w:tcBorders>
                        <w:shd w:val="clear" w:color="000000" w:fill="BDD7EE"/>
                        <w:vAlign w:val="bottom"/>
                        <w:hideMark/>
                      </w:tcPr>
                      <w:p>
                        <w:pPr>
                          <w:ind w:firstLine="57"/>
                          <w:rPr>
                            <w:sz w:val="22"/>
                            <w:szCs w:val="22"/>
                            <w:lang w:eastAsia="lt-LT"/>
                          </w:rPr>
                        </w:pPr>
                      </w:p>
                    </w:tc>
                    <w:tc>
                      <w:tcPr>
                        <w:tcW w:w="1220" w:type="dxa"/>
                        <w:tcBorders>
                          <w:top w:val="single" w:sz="4" w:space="0" w:color="auto"/>
                          <w:left w:val="nil"/>
                          <w:bottom w:val="single" w:sz="4" w:space="0" w:color="auto"/>
                          <w:right w:val="single" w:sz="4" w:space="0" w:color="auto"/>
                        </w:tcBorders>
                        <w:shd w:val="clear" w:color="000000" w:fill="BDD7EE"/>
                        <w:vAlign w:val="bottom"/>
                        <w:hideMark/>
                      </w:tcPr>
                      <w:p>
                        <w:pPr>
                          <w:ind w:firstLine="57"/>
                          <w:jc w:val="center"/>
                          <w:rPr>
                            <w:sz w:val="22"/>
                            <w:szCs w:val="22"/>
                            <w:lang w:eastAsia="lt-LT"/>
                          </w:rPr>
                        </w:pPr>
                      </w:p>
                    </w:tc>
                    <w:tc>
                      <w:tcPr>
                        <w:tcW w:w="1023" w:type="dxa"/>
                        <w:tcBorders>
                          <w:top w:val="single" w:sz="4" w:space="0" w:color="auto"/>
                          <w:left w:val="nil"/>
                          <w:bottom w:val="single" w:sz="4" w:space="0" w:color="auto"/>
                          <w:right w:val="single" w:sz="4" w:space="0" w:color="auto"/>
                        </w:tcBorders>
                        <w:shd w:val="clear" w:color="000000" w:fill="BDD7EE"/>
                        <w:vAlign w:val="bottom"/>
                        <w:hideMark/>
                      </w:tcPr>
                      <w:p>
                        <w:pPr>
                          <w:ind w:firstLine="57"/>
                          <w:jc w:val="center"/>
                          <w:rPr>
                            <w:sz w:val="22"/>
                            <w:szCs w:val="22"/>
                            <w:lang w:eastAsia="lt-LT"/>
                          </w:rPr>
                        </w:pPr>
                      </w:p>
                    </w:tc>
                    <w:tc>
                      <w:tcPr>
                        <w:tcW w:w="2183" w:type="dxa"/>
                        <w:tcBorders>
                          <w:top w:val="single" w:sz="4" w:space="0" w:color="auto"/>
                          <w:left w:val="nil"/>
                          <w:bottom w:val="single" w:sz="4" w:space="0" w:color="auto"/>
                          <w:right w:val="single" w:sz="4" w:space="0" w:color="auto"/>
                        </w:tcBorders>
                        <w:shd w:val="clear" w:color="000000" w:fill="BDD7EE"/>
                        <w:vAlign w:val="bottom"/>
                        <w:hideMark/>
                      </w:tcPr>
                      <w:p>
                        <w:pPr>
                          <w:ind w:firstLine="57"/>
                          <w:jc w:val="center"/>
                          <w:rPr>
                            <w:sz w:val="22"/>
                            <w:szCs w:val="22"/>
                            <w:lang w:eastAsia="lt-LT"/>
                          </w:rPr>
                        </w:pPr>
                      </w:p>
                    </w:tc>
                    <w:tc>
                      <w:tcPr>
                        <w:tcW w:w="1353" w:type="dxa"/>
                        <w:gridSpan w:val="2"/>
                        <w:tcBorders>
                          <w:top w:val="single" w:sz="4" w:space="0" w:color="auto"/>
                          <w:left w:val="nil"/>
                          <w:bottom w:val="single" w:sz="4" w:space="0" w:color="auto"/>
                          <w:right w:val="single" w:sz="4" w:space="0" w:color="auto"/>
                        </w:tcBorders>
                        <w:shd w:val="clear" w:color="000000" w:fill="BDD7EE"/>
                        <w:vAlign w:val="bottom"/>
                        <w:hideMark/>
                      </w:tcPr>
                      <w:p>
                        <w:pPr>
                          <w:jc w:val="center"/>
                          <w:rPr>
                            <w:sz w:val="22"/>
                            <w:szCs w:val="22"/>
                            <w:lang w:eastAsia="lt-LT"/>
                          </w:rPr>
                        </w:pPr>
                        <w:r>
                          <w:rPr>
                            <w:sz w:val="22"/>
                            <w:szCs w:val="22"/>
                            <w:lang w:eastAsia="lt-LT"/>
                          </w:rPr>
                          <w:t>729 591,12</w:t>
                        </w:r>
                      </w:p>
                    </w:tc>
                    <w:tc>
                      <w:tcPr>
                        <w:tcW w:w="4758" w:type="dxa"/>
                        <w:gridSpan w:val="2"/>
                        <w:tcBorders>
                          <w:top w:val="single" w:sz="4" w:space="0" w:color="auto"/>
                          <w:left w:val="nil"/>
                          <w:bottom w:val="single" w:sz="4" w:space="0" w:color="auto"/>
                          <w:right w:val="single" w:sz="8" w:space="0" w:color="auto"/>
                        </w:tcBorders>
                        <w:shd w:val="clear" w:color="000000" w:fill="BDD7EE"/>
                        <w:hideMark/>
                      </w:tcPr>
                      <w:p>
                        <w:pPr>
                          <w:ind w:firstLine="57"/>
                          <w:rPr>
                            <w:sz w:val="22"/>
                            <w:szCs w:val="22"/>
                            <w:lang w:eastAsia="lt-LT"/>
                          </w:rPr>
                        </w:pPr>
                      </w:p>
                    </w:tc>
                  </w:tr>
                  <w:tr>
                    <w:trPr>
                      <w:gridAfter w:val="2"/>
                      <w:wAfter w:w="20" w:type="dxa"/>
                      <w:trHeight w:val="1500"/>
                    </w:trPr>
                    <w:tc>
                      <w:tcPr>
                        <w:tcW w:w="1985" w:type="dxa"/>
                        <w:tcBorders>
                          <w:top w:val="nil"/>
                          <w:left w:val="single" w:sz="8" w:space="0" w:color="auto"/>
                          <w:bottom w:val="single" w:sz="4" w:space="0" w:color="auto"/>
                          <w:right w:val="single" w:sz="4" w:space="0" w:color="auto"/>
                        </w:tcBorders>
                        <w:shd w:val="clear" w:color="000000" w:fill="FFF2CC"/>
                        <w:hideMark/>
                      </w:tcPr>
                      <w:p>
                        <w:pPr>
                          <w:rPr>
                            <w:sz w:val="22"/>
                            <w:szCs w:val="22"/>
                            <w:lang w:eastAsia="lt-LT"/>
                          </w:rPr>
                        </w:pPr>
                        <w:r>
                          <w:rPr>
                            <w:sz w:val="22"/>
                            <w:szCs w:val="22"/>
                            <w:lang w:eastAsia="lt-LT"/>
                          </w:rPr>
                          <w:t>Netiesioginės išlaidos</w:t>
                        </w:r>
                      </w:p>
                    </w:tc>
                    <w:tc>
                      <w:tcPr>
                        <w:tcW w:w="1158" w:type="dxa"/>
                        <w:tcBorders>
                          <w:top w:val="nil"/>
                          <w:left w:val="nil"/>
                          <w:bottom w:val="single" w:sz="4" w:space="0" w:color="auto"/>
                          <w:right w:val="single" w:sz="4" w:space="0" w:color="auto"/>
                        </w:tcBorders>
                        <w:shd w:val="clear" w:color="000000" w:fill="FFF2CC"/>
                        <w:hideMark/>
                      </w:tcPr>
                      <w:p>
                        <w:pPr>
                          <w:ind w:firstLine="57"/>
                          <w:rPr>
                            <w:sz w:val="22"/>
                            <w:szCs w:val="22"/>
                            <w:lang w:eastAsia="lt-LT"/>
                          </w:rPr>
                        </w:pPr>
                      </w:p>
                    </w:tc>
                    <w:tc>
                      <w:tcPr>
                        <w:tcW w:w="1121" w:type="dxa"/>
                        <w:tcBorders>
                          <w:top w:val="nil"/>
                          <w:left w:val="nil"/>
                          <w:bottom w:val="single" w:sz="4" w:space="0" w:color="auto"/>
                          <w:right w:val="single" w:sz="4" w:space="0" w:color="auto"/>
                        </w:tcBorders>
                        <w:shd w:val="clear" w:color="000000" w:fill="FFF2CC"/>
                        <w:vAlign w:val="bottom"/>
                        <w:hideMark/>
                      </w:tcPr>
                      <w:p>
                        <w:pPr>
                          <w:ind w:firstLine="57"/>
                          <w:rPr>
                            <w:sz w:val="22"/>
                            <w:szCs w:val="22"/>
                            <w:lang w:eastAsia="lt-LT"/>
                          </w:rPr>
                        </w:pPr>
                      </w:p>
                    </w:tc>
                    <w:tc>
                      <w:tcPr>
                        <w:tcW w:w="1220" w:type="dxa"/>
                        <w:tcBorders>
                          <w:top w:val="nil"/>
                          <w:left w:val="nil"/>
                          <w:bottom w:val="single" w:sz="4" w:space="0" w:color="auto"/>
                          <w:right w:val="single" w:sz="4" w:space="0" w:color="auto"/>
                        </w:tcBorders>
                        <w:shd w:val="clear" w:color="000000" w:fill="FFF2CC"/>
                        <w:vAlign w:val="bottom"/>
                        <w:hideMark/>
                      </w:tcPr>
                      <w:p>
                        <w:pPr>
                          <w:ind w:firstLine="57"/>
                          <w:jc w:val="center"/>
                          <w:rPr>
                            <w:sz w:val="22"/>
                            <w:szCs w:val="22"/>
                            <w:lang w:eastAsia="lt-LT"/>
                          </w:rPr>
                        </w:pPr>
                      </w:p>
                    </w:tc>
                    <w:tc>
                      <w:tcPr>
                        <w:tcW w:w="1023" w:type="dxa"/>
                        <w:tcBorders>
                          <w:top w:val="nil"/>
                          <w:left w:val="nil"/>
                          <w:bottom w:val="single" w:sz="4" w:space="0" w:color="auto"/>
                          <w:right w:val="single" w:sz="4" w:space="0" w:color="auto"/>
                        </w:tcBorders>
                        <w:shd w:val="clear" w:color="000000" w:fill="FFF2CC"/>
                        <w:vAlign w:val="bottom"/>
                        <w:hideMark/>
                      </w:tcPr>
                      <w:p>
                        <w:pPr>
                          <w:ind w:firstLine="57"/>
                          <w:jc w:val="center"/>
                          <w:rPr>
                            <w:sz w:val="22"/>
                            <w:szCs w:val="22"/>
                            <w:lang w:eastAsia="lt-LT"/>
                          </w:rPr>
                        </w:pPr>
                      </w:p>
                    </w:tc>
                    <w:tc>
                      <w:tcPr>
                        <w:tcW w:w="2183" w:type="dxa"/>
                        <w:tcBorders>
                          <w:top w:val="nil"/>
                          <w:left w:val="nil"/>
                          <w:bottom w:val="single" w:sz="4" w:space="0" w:color="auto"/>
                          <w:right w:val="single" w:sz="4" w:space="0" w:color="auto"/>
                        </w:tcBorders>
                        <w:shd w:val="clear" w:color="000000" w:fill="FFF2CC"/>
                        <w:hideMark/>
                      </w:tcPr>
                      <w:p>
                        <w:pPr>
                          <w:ind w:firstLine="57"/>
                          <w:jc w:val="center"/>
                          <w:rPr>
                            <w:sz w:val="22"/>
                            <w:szCs w:val="22"/>
                            <w:lang w:eastAsia="lt-LT"/>
                          </w:rPr>
                        </w:pPr>
                      </w:p>
                    </w:tc>
                    <w:tc>
                      <w:tcPr>
                        <w:tcW w:w="1353" w:type="dxa"/>
                        <w:gridSpan w:val="2"/>
                        <w:tcBorders>
                          <w:top w:val="nil"/>
                          <w:left w:val="nil"/>
                          <w:bottom w:val="single" w:sz="4" w:space="0" w:color="auto"/>
                          <w:right w:val="single" w:sz="4" w:space="0" w:color="auto"/>
                        </w:tcBorders>
                        <w:shd w:val="clear" w:color="000000" w:fill="FFF2CC"/>
                        <w:hideMark/>
                      </w:tcPr>
                      <w:p>
                        <w:pPr>
                          <w:jc w:val="center"/>
                          <w:rPr>
                            <w:sz w:val="22"/>
                            <w:szCs w:val="22"/>
                            <w:lang w:eastAsia="lt-LT"/>
                          </w:rPr>
                        </w:pPr>
                        <w:r>
                          <w:rPr>
                            <w:sz w:val="22"/>
                            <w:szCs w:val="22"/>
                            <w:lang w:eastAsia="lt-LT"/>
                          </w:rPr>
                          <w:t>21 887,73</w:t>
                        </w:r>
                      </w:p>
                    </w:tc>
                    <w:tc>
                      <w:tcPr>
                        <w:tcW w:w="4758" w:type="dxa"/>
                        <w:gridSpan w:val="2"/>
                        <w:tcBorders>
                          <w:top w:val="nil"/>
                          <w:left w:val="nil"/>
                          <w:bottom w:val="nil"/>
                          <w:right w:val="single" w:sz="8" w:space="0" w:color="auto"/>
                        </w:tcBorders>
                        <w:shd w:val="clear" w:color="auto" w:fill="auto"/>
                        <w:hideMark/>
                      </w:tcPr>
                      <w:p>
                        <w:pPr>
                          <w:rPr>
                            <w:sz w:val="22"/>
                            <w:szCs w:val="22"/>
                            <w:lang w:eastAsia="lt-LT"/>
                          </w:rPr>
                        </w:pPr>
                        <w:r>
                          <w:rPr>
                            <w:sz w:val="22"/>
                            <w:szCs w:val="22"/>
                            <w:lang w:eastAsia="lt-LT"/>
                          </w:rPr>
                          <w:t xml:space="preserve">Nurodyta netiesioginių išlaidų suma apskaičiuota pagal planuojamą tiesioginių išlaidų sumą. Projekto įgyvendinimo metu netiesioginės išlaidos bus apskaičiuojamos ir kompensuojamos nuo faktiškai patiriamų tinkamų tiesioginių išlaidų sumos, pritaikius 3 proc. </w:t>
                        </w:r>
                      </w:p>
                    </w:tc>
                  </w:tr>
                  <w:tr>
                    <w:trPr>
                      <w:gridAfter w:val="2"/>
                      <w:wAfter w:w="20" w:type="dxa"/>
                      <w:trHeight w:val="315"/>
                    </w:trPr>
                    <w:tc>
                      <w:tcPr>
                        <w:tcW w:w="1985" w:type="dxa"/>
                        <w:tcBorders>
                          <w:top w:val="nil"/>
                          <w:left w:val="single" w:sz="8" w:space="0" w:color="auto"/>
                          <w:bottom w:val="single" w:sz="8" w:space="0" w:color="auto"/>
                          <w:right w:val="single" w:sz="4" w:space="0" w:color="auto"/>
                        </w:tcBorders>
                        <w:shd w:val="clear" w:color="000000" w:fill="BDD7EE"/>
                        <w:vAlign w:val="bottom"/>
                        <w:hideMark/>
                      </w:tcPr>
                      <w:p>
                        <w:pPr>
                          <w:jc w:val="right"/>
                          <w:rPr>
                            <w:b/>
                            <w:bCs/>
                            <w:sz w:val="22"/>
                            <w:szCs w:val="22"/>
                            <w:lang w:eastAsia="lt-LT"/>
                          </w:rPr>
                        </w:pPr>
                        <w:r>
                          <w:rPr>
                            <w:b/>
                            <w:bCs/>
                            <w:sz w:val="22"/>
                            <w:szCs w:val="22"/>
                            <w:lang w:eastAsia="lt-LT"/>
                          </w:rPr>
                          <w:t>IŠ VISO:</w:t>
                        </w:r>
                      </w:p>
                    </w:tc>
                    <w:tc>
                      <w:tcPr>
                        <w:tcW w:w="1158" w:type="dxa"/>
                        <w:tcBorders>
                          <w:top w:val="nil"/>
                          <w:left w:val="nil"/>
                          <w:bottom w:val="single" w:sz="8" w:space="0" w:color="auto"/>
                          <w:right w:val="single" w:sz="4" w:space="0" w:color="auto"/>
                        </w:tcBorders>
                        <w:shd w:val="clear" w:color="000000" w:fill="BDD7EE"/>
                        <w:hideMark/>
                      </w:tcPr>
                      <w:p>
                        <w:pPr>
                          <w:ind w:firstLine="57"/>
                          <w:rPr>
                            <w:sz w:val="22"/>
                            <w:szCs w:val="22"/>
                            <w:lang w:eastAsia="lt-LT"/>
                          </w:rPr>
                        </w:pPr>
                      </w:p>
                    </w:tc>
                    <w:tc>
                      <w:tcPr>
                        <w:tcW w:w="1121" w:type="dxa"/>
                        <w:tcBorders>
                          <w:top w:val="nil"/>
                          <w:left w:val="nil"/>
                          <w:bottom w:val="single" w:sz="8" w:space="0" w:color="auto"/>
                          <w:right w:val="single" w:sz="4" w:space="0" w:color="auto"/>
                        </w:tcBorders>
                        <w:shd w:val="clear" w:color="000000" w:fill="BDD7EE"/>
                        <w:vAlign w:val="bottom"/>
                        <w:hideMark/>
                      </w:tcPr>
                      <w:p>
                        <w:pPr>
                          <w:ind w:firstLine="57"/>
                          <w:rPr>
                            <w:sz w:val="22"/>
                            <w:szCs w:val="22"/>
                            <w:lang w:eastAsia="lt-LT"/>
                          </w:rPr>
                        </w:pPr>
                      </w:p>
                    </w:tc>
                    <w:tc>
                      <w:tcPr>
                        <w:tcW w:w="1220" w:type="dxa"/>
                        <w:tcBorders>
                          <w:top w:val="nil"/>
                          <w:left w:val="nil"/>
                          <w:bottom w:val="single" w:sz="8" w:space="0" w:color="auto"/>
                          <w:right w:val="single" w:sz="4" w:space="0" w:color="auto"/>
                        </w:tcBorders>
                        <w:shd w:val="clear" w:color="000000" w:fill="BDD7EE"/>
                        <w:vAlign w:val="bottom"/>
                        <w:hideMark/>
                      </w:tcPr>
                      <w:p>
                        <w:pPr>
                          <w:ind w:firstLine="57"/>
                          <w:jc w:val="center"/>
                          <w:rPr>
                            <w:sz w:val="22"/>
                            <w:szCs w:val="22"/>
                            <w:lang w:eastAsia="lt-LT"/>
                          </w:rPr>
                        </w:pPr>
                      </w:p>
                    </w:tc>
                    <w:tc>
                      <w:tcPr>
                        <w:tcW w:w="1023" w:type="dxa"/>
                        <w:tcBorders>
                          <w:top w:val="nil"/>
                          <w:left w:val="nil"/>
                          <w:bottom w:val="single" w:sz="8" w:space="0" w:color="auto"/>
                          <w:right w:val="single" w:sz="4" w:space="0" w:color="auto"/>
                        </w:tcBorders>
                        <w:shd w:val="clear" w:color="000000" w:fill="BDD7EE"/>
                        <w:vAlign w:val="bottom"/>
                        <w:hideMark/>
                      </w:tcPr>
                      <w:p>
                        <w:pPr>
                          <w:ind w:firstLine="57"/>
                          <w:jc w:val="center"/>
                          <w:rPr>
                            <w:sz w:val="22"/>
                            <w:szCs w:val="22"/>
                            <w:lang w:eastAsia="lt-LT"/>
                          </w:rPr>
                        </w:pPr>
                      </w:p>
                    </w:tc>
                    <w:tc>
                      <w:tcPr>
                        <w:tcW w:w="2183" w:type="dxa"/>
                        <w:tcBorders>
                          <w:top w:val="nil"/>
                          <w:left w:val="nil"/>
                          <w:bottom w:val="single" w:sz="8" w:space="0" w:color="auto"/>
                          <w:right w:val="single" w:sz="4" w:space="0" w:color="auto"/>
                        </w:tcBorders>
                        <w:shd w:val="clear" w:color="000000" w:fill="BDD7EE"/>
                        <w:vAlign w:val="bottom"/>
                        <w:hideMark/>
                      </w:tcPr>
                      <w:p>
                        <w:pPr>
                          <w:ind w:firstLine="57"/>
                          <w:jc w:val="center"/>
                          <w:rPr>
                            <w:sz w:val="22"/>
                            <w:szCs w:val="22"/>
                            <w:lang w:eastAsia="lt-LT"/>
                          </w:rPr>
                        </w:pPr>
                      </w:p>
                    </w:tc>
                    <w:tc>
                      <w:tcPr>
                        <w:tcW w:w="1353" w:type="dxa"/>
                        <w:gridSpan w:val="2"/>
                        <w:tcBorders>
                          <w:top w:val="nil"/>
                          <w:left w:val="nil"/>
                          <w:bottom w:val="single" w:sz="8" w:space="0" w:color="auto"/>
                          <w:right w:val="single" w:sz="4" w:space="0" w:color="auto"/>
                        </w:tcBorders>
                        <w:shd w:val="clear" w:color="000000" w:fill="BDD7EE"/>
                        <w:vAlign w:val="bottom"/>
                        <w:hideMark/>
                      </w:tcPr>
                      <w:p>
                        <w:pPr>
                          <w:jc w:val="center"/>
                          <w:rPr>
                            <w:b/>
                            <w:bCs/>
                            <w:sz w:val="22"/>
                            <w:szCs w:val="22"/>
                            <w:lang w:eastAsia="lt-LT"/>
                          </w:rPr>
                        </w:pPr>
                        <w:r>
                          <w:rPr>
                            <w:b/>
                            <w:bCs/>
                            <w:sz w:val="22"/>
                            <w:szCs w:val="22"/>
                            <w:lang w:eastAsia="lt-LT"/>
                          </w:rPr>
                          <w:t>751 478,85</w:t>
                        </w:r>
                      </w:p>
                    </w:tc>
                    <w:tc>
                      <w:tcPr>
                        <w:tcW w:w="4758" w:type="dxa"/>
                        <w:gridSpan w:val="2"/>
                        <w:tcBorders>
                          <w:top w:val="single" w:sz="4" w:space="0" w:color="auto"/>
                          <w:left w:val="nil"/>
                          <w:bottom w:val="single" w:sz="8" w:space="0" w:color="auto"/>
                          <w:right w:val="single" w:sz="8" w:space="0" w:color="auto"/>
                        </w:tcBorders>
                        <w:shd w:val="clear" w:color="000000" w:fill="BDD7EE"/>
                        <w:vAlign w:val="bottom"/>
                        <w:hideMark/>
                      </w:tcPr>
                      <w:p>
                        <w:pPr>
                          <w:ind w:firstLine="57"/>
                          <w:rPr>
                            <w:sz w:val="22"/>
                            <w:szCs w:val="22"/>
                            <w:lang w:eastAsia="lt-LT"/>
                          </w:rPr>
                        </w:pPr>
                      </w:p>
                    </w:tc>
                  </w:tr>
                  <w:tr>
                    <w:trPr>
                      <w:gridAfter w:val="2"/>
                      <w:wAfter w:w="20" w:type="dxa"/>
                      <w:trHeight w:val="300"/>
                    </w:trPr>
                    <w:tc>
                      <w:tcPr>
                        <w:tcW w:w="1985" w:type="dxa"/>
                        <w:tcBorders>
                          <w:top w:val="nil"/>
                          <w:left w:val="nil"/>
                          <w:bottom w:val="nil"/>
                          <w:right w:val="nil"/>
                        </w:tcBorders>
                        <w:shd w:val="clear" w:color="auto" w:fill="auto"/>
                        <w:noWrap/>
                        <w:vAlign w:val="bottom"/>
                        <w:hideMark/>
                      </w:tcPr>
                      <w:p>
                        <w:pPr>
                          <w:rPr>
                            <w:sz w:val="22"/>
                            <w:szCs w:val="22"/>
                            <w:lang w:eastAsia="lt-LT"/>
                          </w:rPr>
                        </w:pPr>
                      </w:p>
                    </w:tc>
                    <w:tc>
                      <w:tcPr>
                        <w:tcW w:w="1158" w:type="dxa"/>
                        <w:tcBorders>
                          <w:top w:val="nil"/>
                          <w:left w:val="nil"/>
                          <w:bottom w:val="nil"/>
                          <w:right w:val="nil"/>
                        </w:tcBorders>
                        <w:shd w:val="clear" w:color="auto" w:fill="auto"/>
                        <w:noWrap/>
                        <w:hideMark/>
                      </w:tcPr>
                      <w:p>
                        <w:pPr>
                          <w:rPr>
                            <w:sz w:val="20"/>
                            <w:lang w:eastAsia="lt-LT"/>
                          </w:rPr>
                        </w:pPr>
                      </w:p>
                    </w:tc>
                    <w:tc>
                      <w:tcPr>
                        <w:tcW w:w="1121" w:type="dxa"/>
                        <w:tcBorders>
                          <w:top w:val="nil"/>
                          <w:left w:val="nil"/>
                          <w:bottom w:val="nil"/>
                          <w:right w:val="nil"/>
                        </w:tcBorders>
                        <w:shd w:val="clear" w:color="auto" w:fill="auto"/>
                        <w:noWrap/>
                        <w:vAlign w:val="bottom"/>
                        <w:hideMark/>
                      </w:tcPr>
                      <w:p>
                        <w:pPr>
                          <w:rPr>
                            <w:sz w:val="20"/>
                            <w:lang w:eastAsia="lt-LT"/>
                          </w:rPr>
                        </w:pPr>
                      </w:p>
                    </w:tc>
                    <w:tc>
                      <w:tcPr>
                        <w:tcW w:w="1220" w:type="dxa"/>
                        <w:tcBorders>
                          <w:top w:val="nil"/>
                          <w:left w:val="nil"/>
                          <w:bottom w:val="nil"/>
                          <w:right w:val="nil"/>
                        </w:tcBorders>
                        <w:shd w:val="clear" w:color="auto" w:fill="auto"/>
                        <w:noWrap/>
                        <w:vAlign w:val="bottom"/>
                        <w:hideMark/>
                      </w:tcPr>
                      <w:p>
                        <w:pPr>
                          <w:rPr>
                            <w:sz w:val="20"/>
                            <w:lang w:eastAsia="lt-LT"/>
                          </w:rPr>
                        </w:pPr>
                      </w:p>
                    </w:tc>
                    <w:tc>
                      <w:tcPr>
                        <w:tcW w:w="1023" w:type="dxa"/>
                        <w:tcBorders>
                          <w:top w:val="nil"/>
                          <w:left w:val="nil"/>
                          <w:bottom w:val="nil"/>
                          <w:right w:val="nil"/>
                        </w:tcBorders>
                        <w:shd w:val="clear" w:color="auto" w:fill="auto"/>
                        <w:noWrap/>
                        <w:vAlign w:val="bottom"/>
                        <w:hideMark/>
                      </w:tcPr>
                      <w:p>
                        <w:pPr>
                          <w:jc w:val="center"/>
                          <w:rPr>
                            <w:sz w:val="20"/>
                            <w:lang w:eastAsia="lt-LT"/>
                          </w:rPr>
                        </w:pPr>
                      </w:p>
                    </w:tc>
                    <w:tc>
                      <w:tcPr>
                        <w:tcW w:w="2183" w:type="dxa"/>
                        <w:tcBorders>
                          <w:top w:val="nil"/>
                          <w:left w:val="nil"/>
                          <w:bottom w:val="nil"/>
                          <w:right w:val="nil"/>
                        </w:tcBorders>
                        <w:shd w:val="clear" w:color="auto" w:fill="auto"/>
                        <w:noWrap/>
                        <w:vAlign w:val="bottom"/>
                        <w:hideMark/>
                      </w:tcPr>
                      <w:p>
                        <w:pPr>
                          <w:jc w:val="center"/>
                          <w:rPr>
                            <w:sz w:val="20"/>
                            <w:lang w:eastAsia="lt-LT"/>
                          </w:rPr>
                        </w:pPr>
                      </w:p>
                    </w:tc>
                    <w:tc>
                      <w:tcPr>
                        <w:tcW w:w="1353" w:type="dxa"/>
                        <w:gridSpan w:val="2"/>
                        <w:tcBorders>
                          <w:top w:val="nil"/>
                          <w:left w:val="nil"/>
                          <w:bottom w:val="nil"/>
                          <w:right w:val="nil"/>
                        </w:tcBorders>
                        <w:shd w:val="clear" w:color="auto" w:fill="auto"/>
                        <w:noWrap/>
                        <w:vAlign w:val="bottom"/>
                        <w:hideMark/>
                      </w:tcPr>
                      <w:p>
                        <w:pPr>
                          <w:jc w:val="center"/>
                          <w:rPr>
                            <w:sz w:val="20"/>
                            <w:lang w:eastAsia="lt-LT"/>
                          </w:rPr>
                        </w:pPr>
                      </w:p>
                    </w:tc>
                    <w:tc>
                      <w:tcPr>
                        <w:tcW w:w="4758" w:type="dxa"/>
                        <w:gridSpan w:val="2"/>
                        <w:tcBorders>
                          <w:top w:val="nil"/>
                          <w:left w:val="nil"/>
                          <w:bottom w:val="nil"/>
                          <w:right w:val="nil"/>
                        </w:tcBorders>
                        <w:shd w:val="clear" w:color="auto" w:fill="auto"/>
                        <w:noWrap/>
                        <w:vAlign w:val="bottom"/>
                        <w:hideMark/>
                      </w:tcPr>
                      <w:p>
                        <w:pPr>
                          <w:jc w:val="center"/>
                          <w:rPr>
                            <w:sz w:val="20"/>
                            <w:lang w:eastAsia="lt-LT"/>
                          </w:rPr>
                        </w:pPr>
                      </w:p>
                    </w:tc>
                  </w:tr>
                  <w:tr>
                    <w:trPr>
                      <w:gridAfter w:val="1"/>
                      <w:wAfter w:w="11" w:type="dxa"/>
                      <w:trHeight w:val="300"/>
                    </w:trPr>
                    <w:tc>
                      <w:tcPr>
                        <w:tcW w:w="8709" w:type="dxa"/>
                        <w:gridSpan w:val="7"/>
                        <w:tcBorders>
                          <w:top w:val="nil"/>
                          <w:left w:val="nil"/>
                          <w:bottom w:val="nil"/>
                          <w:right w:val="nil"/>
                        </w:tcBorders>
                        <w:shd w:val="clear" w:color="auto" w:fill="auto"/>
                        <w:noWrap/>
                        <w:vAlign w:val="bottom"/>
                        <w:hideMark/>
                      </w:tcPr>
                      <w:p>
                        <w:pPr>
                          <w:rPr>
                            <w:sz w:val="22"/>
                            <w:szCs w:val="22"/>
                            <w:lang w:eastAsia="lt-LT"/>
                          </w:rPr>
                        </w:pPr>
                        <w:r>
                          <w:rPr>
                            <w:sz w:val="22"/>
                            <w:szCs w:val="22"/>
                            <w:lang w:eastAsia="lt-LT"/>
                          </w:rPr>
                          <w:t>* https://esinvesticijos.lt/dokumentai/fi-49-01-fi-49-06-soc-rizikos-vaiku-ugdymo-fi-nustatymo-tyrimas</w:t>
                        </w:r>
                      </w:p>
                    </w:tc>
                    <w:tc>
                      <w:tcPr>
                        <w:tcW w:w="1343" w:type="dxa"/>
                        <w:gridSpan w:val="2"/>
                        <w:tcBorders>
                          <w:top w:val="nil"/>
                          <w:left w:val="nil"/>
                          <w:bottom w:val="nil"/>
                          <w:right w:val="nil"/>
                        </w:tcBorders>
                        <w:shd w:val="clear" w:color="auto" w:fill="auto"/>
                        <w:noWrap/>
                        <w:vAlign w:val="bottom"/>
                        <w:hideMark/>
                      </w:tcPr>
                      <w:p>
                        <w:pPr>
                          <w:rPr>
                            <w:sz w:val="22"/>
                            <w:szCs w:val="22"/>
                            <w:lang w:eastAsia="lt-LT"/>
                          </w:rPr>
                        </w:pPr>
                      </w:p>
                    </w:tc>
                    <w:tc>
                      <w:tcPr>
                        <w:tcW w:w="4758" w:type="dxa"/>
                        <w:gridSpan w:val="2"/>
                        <w:tcBorders>
                          <w:top w:val="nil"/>
                          <w:left w:val="nil"/>
                          <w:bottom w:val="nil"/>
                          <w:right w:val="nil"/>
                        </w:tcBorders>
                        <w:shd w:val="clear" w:color="auto" w:fill="auto"/>
                        <w:vAlign w:val="bottom"/>
                        <w:hideMark/>
                      </w:tcPr>
                      <w:p>
                        <w:pPr>
                          <w:rPr>
                            <w:sz w:val="20"/>
                            <w:lang w:eastAsia="lt-LT"/>
                          </w:rPr>
                        </w:pPr>
                      </w:p>
                    </w:tc>
                  </w:tr>
                </w:tbl>
                <w:p>
                  <w:pPr>
                    <w:spacing w:line="259" w:lineRule="auto"/>
                    <w:rPr>
                      <w:b/>
                      <w:bCs/>
                      <w:szCs w:val="24"/>
                      <w:lang w:eastAsia="lt-LT"/>
                    </w:rPr>
                    <w:sectPr>
                      <w:pgSz w:w="16838" w:h="11906" w:orient="landscape"/>
                      <w:pgMar w:top="567" w:right="1134" w:bottom="1701" w:left="1418" w:header="567" w:footer="567" w:gutter="0"/>
                      <w:cols w:space="1296"/>
                      <w:docGrid w:linePitch="360"/>
                    </w:sectPr>
                  </w:pPr>
                  <w:r>
                    <w:rPr>
                      <w:b/>
                      <w:bCs/>
                      <w:szCs w:val="24"/>
                      <w:lang w:eastAsia="lt-LT"/>
                    </w:rPr>
                    <w:br w:type="page"/>
                  </w:r>
                </w:p>
                <w:p>
                  <w:pPr>
                    <w:rPr>
                      <w:sz w:val="14"/>
                      <w:szCs w:val="14"/>
                    </w:rPr>
                  </w:pPr>
                </w:p>
              </w:sdtContent>
            </w:sdt>
            <w:sdt>
              <w:sdtPr>
                <w:alias w:val="poskyris"/>
                <w:tag w:val="part_6209115c70f44a4b9540b95891ddfc0d"/>
                <w:lock w:val="sdtLocked"/>
                <w:richText/>
              </w:sdtPr>
              <w:sdtContent>
                <w:sdt>
                  <w:sdtPr>
                    <w:alias w:val="Pavadinimas"/>
                    <w:tag w:val="title_6209115c70f44a4b9540b95891ddfc0d"/>
                    <w:lock w:val="sdtLocked"/>
                    <w:richText/>
                  </w:sdtPr>
                  <w:sdtContent>
                    <w:p>
                      <w:pPr>
                        <w:jc w:val="center"/>
                        <w:rPr>
                          <w:b/>
                          <w:bCs/>
                          <w:szCs w:val="24"/>
                          <w:lang w:eastAsia="lt-LT"/>
                        </w:rPr>
                      </w:pPr>
                      <w:r>
                        <w:rPr>
                          <w:b/>
                          <w:bCs/>
                          <w:szCs w:val="24"/>
                          <w:lang w:eastAsia="lt-LT"/>
                        </w:rPr>
                        <w:t>RADVILIŠKIO RAJONO SAVIVALDYBĖS TARYBOS SPRENDIMO PROJEKTO</w:t>
                      </w:r>
                    </w:p>
                    <w:p>
                      <w:pPr>
                        <w:spacing w:line="259" w:lineRule="auto"/>
                        <w:jc w:val="center"/>
                        <w:rPr>
                          <w:b/>
                          <w:bCs/>
                          <w:szCs w:val="24"/>
                        </w:rPr>
                      </w:pPr>
                      <w:r>
                        <w:rPr>
                          <w:b/>
                          <w:bCs/>
                          <w:szCs w:val="24"/>
                          <w:lang w:eastAsia="lt-LT"/>
                        </w:rPr>
                        <w:t>„</w:t>
                      </w:r>
                      <w:r>
                        <w:rPr>
                          <w:rFonts w:eastAsia="Calibri"/>
                          <w:b/>
                          <w:bCs/>
                          <w:szCs w:val="24"/>
                        </w:rPr>
                        <w:t xml:space="preserve">DĖL </w:t>
                      </w:r>
                      <w:r>
                        <w:rPr>
                          <w:b/>
                          <w:bCs/>
                          <w:szCs w:val="24"/>
                          <w:lang w:eastAsia="lt-LT"/>
                        </w:rPr>
                        <w:t>PRITARIMO DALYVAUTI</w:t>
                      </w:r>
                      <w:r>
                        <w:rPr>
                          <w:szCs w:val="24"/>
                          <w:lang w:eastAsia="lt-LT"/>
                        </w:rPr>
                        <w:t xml:space="preserve"> </w:t>
                      </w:r>
                      <w:r>
                        <w:rPr>
                          <w:b/>
                          <w:bCs/>
                          <w:szCs w:val="24"/>
                          <w:lang w:eastAsia="lt-LT"/>
                        </w:rPr>
                        <w:t xml:space="preserve">PROJEKTE </w:t>
                      </w:r>
                      <w:r>
                        <w:rPr>
                          <w:b/>
                          <w:bCs/>
                          <w:szCs w:val="24"/>
                        </w:rPr>
                        <w:t>„</w:t>
                      </w:r>
                      <w:r>
                        <w:rPr>
                          <w:b/>
                          <w:bCs/>
                          <w:iCs/>
                          <w:szCs w:val="24"/>
                          <w:lang w:eastAsia="lt-LT"/>
                        </w:rPr>
                        <w:t xml:space="preserve">ANKSTYVOJO UGDYMO UŽTIKRINIMAS VAIKAMS IŠ SOCIALINĘ RIZIKĄ PATIRIANČIŲ ŠEIMŲ“ </w:t>
                      </w:r>
                      <w:r>
                        <w:rPr>
                          <w:b/>
                          <w:bCs/>
                          <w:szCs w:val="24"/>
                          <w:lang w:eastAsia="lt-LT"/>
                        </w:rPr>
                        <w:t>PARTNERIO TEISĖMIS</w:t>
                      </w:r>
                    </w:p>
                    <w:p>
                      <w:pPr>
                        <w:jc w:val="center"/>
                        <w:rPr>
                          <w:b/>
                          <w:szCs w:val="24"/>
                          <w:lang w:eastAsia="lt-LT"/>
                        </w:rPr>
                      </w:pPr>
                      <w:r>
                        <w:rPr>
                          <w:b/>
                          <w:szCs w:val="24"/>
                          <w:lang w:eastAsia="lt-LT"/>
                        </w:rPr>
                        <w:t>AIŠKINAMASIS RAŠTAS</w:t>
                      </w:r>
                    </w:p>
                  </w:sdtContent>
                </w:sdt>
                <w:p>
                  <w:pPr>
                    <w:ind w:firstLine="709"/>
                    <w:jc w:val="both"/>
                    <w:rPr>
                      <w:b/>
                      <w:szCs w:val="24"/>
                      <w:lang w:eastAsia="lt-LT"/>
                    </w:rPr>
                  </w:pPr>
                </w:p>
                <w:p>
                  <w:pPr>
                    <w:jc w:val="center"/>
                    <w:rPr>
                      <w:szCs w:val="24"/>
                      <w:lang w:eastAsia="lt-LT"/>
                    </w:rPr>
                  </w:pPr>
                  <w:r>
                    <w:rPr>
                      <w:szCs w:val="24"/>
                      <w:lang w:eastAsia="lt-LT"/>
                    </w:rPr>
                    <w:t>2024-06-06</w:t>
                  </w:r>
                </w:p>
                <w:p>
                  <w:pPr>
                    <w:jc w:val="center"/>
                    <w:rPr>
                      <w:szCs w:val="24"/>
                      <w:lang w:eastAsia="lt-LT"/>
                    </w:rPr>
                  </w:pPr>
                  <w:r>
                    <w:rPr>
                      <w:szCs w:val="24"/>
                      <w:lang w:eastAsia="lt-LT"/>
                    </w:rPr>
                    <w:t>Radviliškis</w:t>
                  </w:r>
                </w:p>
                <w:p>
                  <w:pPr>
                    <w:ind w:firstLine="709"/>
                    <w:jc w:val="both"/>
                    <w:rPr>
                      <w:szCs w:val="24"/>
                      <w:lang w:eastAsia="lt-LT"/>
                    </w:rPr>
                  </w:pPr>
                </w:p>
                <w:sdt>
                  <w:sdtPr>
                    <w:alias w:val="1 p."/>
                    <w:tag w:val="part_b8c519a06e1b4564ba9e939eb653db2f"/>
                    <w:lock w:val="sdtLocked"/>
                    <w:richText/>
                  </w:sdtPr>
                  <w:sdtContent>
                    <w:p>
                      <w:pPr>
                        <w:ind w:firstLine="709"/>
                        <w:jc w:val="both"/>
                        <w:rPr>
                          <w:b/>
                          <w:bCs/>
                          <w:szCs w:val="24"/>
                          <w:lang w:eastAsia="lt-LT"/>
                        </w:rPr>
                      </w:pPr>
                      <w:sdt>
                        <w:sdtPr>
                          <w:alias w:val="Numeris"/>
                          <w:tag w:val="nr_b8c519a06e1b4564ba9e939eb653db2f"/>
                          <w:lock w:val="sdtLocked"/>
                          <w:richText/>
                        </w:sdtPr>
                        <w:sdtContent>
                          <w:r>
                            <w:rPr>
                              <w:b/>
                              <w:szCs w:val="24"/>
                              <w:lang w:eastAsia="lt-LT"/>
                            </w:rPr>
                            <w:t>1</w:t>
                          </w:r>
                        </w:sdtContent>
                      </w:sdt>
                      <w:r>
                        <w:rPr>
                          <w:b/>
                          <w:szCs w:val="24"/>
                          <w:lang w:eastAsia="lt-LT"/>
                        </w:rPr>
                        <w:t xml:space="preserve">. </w:t>
                      </w:r>
                      <w:r>
                        <w:rPr>
                          <w:b/>
                          <w:bCs/>
                          <w:szCs w:val="24"/>
                          <w:lang w:eastAsia="lt-LT"/>
                        </w:rPr>
                        <w:t>Projekto rengimą paskatinusios priežastys, parengto projekto tikslai ir uždaviniai.</w:t>
                      </w:r>
                    </w:p>
                    <w:p>
                      <w:pPr>
                        <w:ind w:firstLine="709"/>
                        <w:jc w:val="both"/>
                        <w:rPr>
                          <w:szCs w:val="24"/>
                          <w:lang w:eastAsia="lt-LT"/>
                        </w:rPr>
                      </w:pPr>
                      <w:r>
                        <w:rPr>
                          <w:szCs w:val="24"/>
                          <w:lang w:eastAsia="lt-LT"/>
                        </w:rPr>
                        <w:t xml:space="preserve">Europos socialinio fondo agentūra (toliau – Agentūra) </w:t>
                      </w:r>
                      <w:r>
                        <w:rPr>
                          <w:szCs w:val="24"/>
                        </w:rPr>
                        <w:t>kreipėsi į Radviliškio rajono savivaldybės administraciją su kvietimu būti partneriu rengiamame projekte „A</w:t>
                      </w:r>
                      <w:r>
                        <w:rPr>
                          <w:iCs/>
                          <w:szCs w:val="24"/>
                          <w:lang w:eastAsia="lt-LT"/>
                        </w:rPr>
                        <w:t>nkstyvojo ugdymo užtikrinimas vaikams iš socialinę riziką patiriančių šeimų</w:t>
                      </w:r>
                      <w:r>
                        <w:rPr>
                          <w:szCs w:val="24"/>
                          <w:lang w:eastAsia="lt-LT"/>
                        </w:rPr>
                        <w:t>“ ir pasirašyti Projekto jungtinės veiklos sutartį.</w:t>
                      </w:r>
                    </w:p>
                    <w:p>
                      <w:pPr>
                        <w:tabs>
                          <w:tab w:val="left" w:pos="1134"/>
                        </w:tabs>
                        <w:ind w:firstLine="709"/>
                        <w:jc w:val="both"/>
                        <w:rPr>
                          <w:szCs w:val="24"/>
                        </w:rPr>
                      </w:pPr>
                      <w:r>
                        <w:rPr>
                          <w:szCs w:val="24"/>
                        </w:rPr>
                        <w:t xml:space="preserve">Sprendimo projekto tikslas – </w:t>
                      </w:r>
                      <w:r>
                        <w:rPr>
                          <w:szCs w:val="24"/>
                          <w:lang w:eastAsia="lt-LT"/>
                        </w:rPr>
                        <w:t xml:space="preserve">pritarti Radviliškio rajono savivaldybės administracijos dalyvavimui projekte </w:t>
                      </w:r>
                      <w:r>
                        <w:rPr>
                          <w:szCs w:val="24"/>
                        </w:rPr>
                        <w:t>„A</w:t>
                      </w:r>
                      <w:r>
                        <w:rPr>
                          <w:iCs/>
                          <w:szCs w:val="24"/>
                          <w:lang w:eastAsia="lt-LT"/>
                        </w:rPr>
                        <w:t>nkstyvojo ugdymo užtikrinimas vaikams iš socialinę riziką patiriančių šeimų</w:t>
                      </w:r>
                      <w:r>
                        <w:rPr>
                          <w:szCs w:val="24"/>
                          <w:lang w:eastAsia="lt-LT"/>
                        </w:rPr>
                        <w:t>“ (toliau – Projektas)</w:t>
                      </w:r>
                      <w:r>
                        <w:rPr>
                          <w:szCs w:val="24"/>
                        </w:rPr>
                        <w:t xml:space="preserve"> partnerio </w:t>
                      </w:r>
                      <w:r>
                        <w:rPr>
                          <w:szCs w:val="24"/>
                          <w:lang w:eastAsia="lt-LT"/>
                        </w:rPr>
                        <w:t xml:space="preserve">teisėmis, Projekto jungtinės veiklos sutarties projektui ir įgalioti Radviliškio rajono savivaldybės administracijos direktorių pasirašyti jungtinės veiklos sutartį su Agentūra. </w:t>
                      </w:r>
                    </w:p>
                    <w:p>
                      <w:pPr>
                        <w:rPr>
                          <w:sz w:val="14"/>
                          <w:szCs w:val="14"/>
                        </w:rPr>
                      </w:pPr>
                    </w:p>
                  </w:sdtContent>
                </w:sdt>
                <w:sdt>
                  <w:sdtPr>
                    <w:alias w:val="2 p."/>
                    <w:tag w:val="part_76318c12a96f444eb78966095cfb5e24"/>
                    <w:lock w:val="sdtLocked"/>
                    <w:richText/>
                  </w:sdtPr>
                  <w:sdtContent>
                    <w:p>
                      <w:pPr>
                        <w:ind w:firstLine="709"/>
                        <w:jc w:val="both"/>
                        <w:rPr>
                          <w:b/>
                          <w:bCs/>
                          <w:szCs w:val="24"/>
                          <w:lang w:eastAsia="lt-LT"/>
                        </w:rPr>
                      </w:pPr>
                      <w:sdt>
                        <w:sdtPr>
                          <w:alias w:val="Numeris"/>
                          <w:tag w:val="nr_76318c12a96f444eb78966095cfb5e24"/>
                          <w:lock w:val="sdtLocked"/>
                          <w:richText/>
                        </w:sdtPr>
                        <w:sdtContent>
                          <w:r>
                            <w:rPr>
                              <w:b/>
                              <w:bCs/>
                              <w:szCs w:val="24"/>
                              <w:lang w:eastAsia="lt-LT"/>
                            </w:rPr>
                            <w:t>2</w:t>
                          </w:r>
                        </w:sdtContent>
                      </w:sdt>
                      <w:r>
                        <w:rPr>
                          <w:b/>
                          <w:bCs/>
                          <w:szCs w:val="24"/>
                          <w:lang w:eastAsia="lt-LT"/>
                        </w:rPr>
                        <w:t>. Projekto iniciatoriai (institucija, asmenys ar piliečių atstovai) ir rengėjai.</w:t>
                      </w:r>
                    </w:p>
                    <w:p>
                      <w:pPr>
                        <w:ind w:firstLine="709"/>
                        <w:jc w:val="both"/>
                        <w:rPr>
                          <w:szCs w:val="24"/>
                          <w:lang w:eastAsia="lt-LT"/>
                        </w:rPr>
                      </w:pPr>
                      <w:r>
                        <w:rPr>
                          <w:szCs w:val="24"/>
                          <w:lang w:eastAsia="lt-LT"/>
                        </w:rPr>
                        <w:t>Sprendimo projekto iniciatorius – Savivaldybės administracijos Švietimo ir sporto skyriaus vedėjas Laisvūnas Vaičiūnas, rengėjai – Savivaldybės administracijos Švietimo ir sporto skyriaus vyriausioji specialistė Judita Steponavičienė, Juridinio skyriaus specialistai.</w:t>
                      </w:r>
                      <w:r>
                        <w:rPr>
                          <w:b/>
                          <w:bCs/>
                          <w:szCs w:val="24"/>
                          <w:lang w:eastAsia="lt-LT"/>
                        </w:rPr>
                        <w:t xml:space="preserve"> </w:t>
                      </w:r>
                    </w:p>
                    <w:p>
                      <w:pPr>
                        <w:rPr>
                          <w:sz w:val="14"/>
                          <w:szCs w:val="14"/>
                        </w:rPr>
                      </w:pPr>
                    </w:p>
                  </w:sdtContent>
                </w:sdt>
                <w:sdt>
                  <w:sdtPr>
                    <w:alias w:val="3 p."/>
                    <w:tag w:val="part_ae118433b88243e7aae350dced3b3269"/>
                    <w:lock w:val="sdtLocked"/>
                    <w:richText/>
                  </w:sdtPr>
                  <w:sdtContent>
                    <w:p>
                      <w:pPr>
                        <w:ind w:firstLine="709"/>
                        <w:jc w:val="both"/>
                        <w:rPr>
                          <w:b/>
                          <w:bCs/>
                          <w:szCs w:val="24"/>
                          <w:lang w:eastAsia="lt-LT"/>
                        </w:rPr>
                      </w:pPr>
                      <w:sdt>
                        <w:sdtPr>
                          <w:alias w:val="Numeris"/>
                          <w:tag w:val="nr_ae118433b88243e7aae350dced3b3269"/>
                          <w:lock w:val="sdtLocked"/>
                          <w:richText/>
                        </w:sdtPr>
                        <w:sdtContent>
                          <w:r>
                            <w:rPr>
                              <w:b/>
                              <w:bCs/>
                              <w:szCs w:val="24"/>
                              <w:lang w:eastAsia="lt-LT"/>
                            </w:rPr>
                            <w:t>3</w:t>
                          </w:r>
                        </w:sdtContent>
                      </w:sdt>
                      <w:r>
                        <w:rPr>
                          <w:b/>
                          <w:bCs/>
                          <w:szCs w:val="24"/>
                          <w:lang w:eastAsia="lt-LT"/>
                        </w:rPr>
                        <w:t>. Kaip šiuo metu yra reguliuojami projekte aptarti teisiniai santykiai.</w:t>
                      </w:r>
                    </w:p>
                    <w:p>
                      <w:pPr>
                        <w:tabs>
                          <w:tab w:val="left" w:pos="709"/>
                          <w:tab w:val="left" w:pos="1276"/>
                        </w:tabs>
                        <w:ind w:firstLine="709"/>
                        <w:jc w:val="both"/>
                        <w:rPr>
                          <w:iCs/>
                          <w:szCs w:val="24"/>
                          <w:lang w:eastAsia="lt-LT"/>
                        </w:rPr>
                      </w:pPr>
                      <w:r>
                        <w:rPr>
                          <w:szCs w:val="24"/>
                        </w:rPr>
                        <w:t xml:space="preserve">Šiuo metu </w:t>
                      </w:r>
                      <w:r>
                        <w:rPr>
                          <w:iCs/>
                          <w:szCs w:val="24"/>
                          <w:lang w:eastAsia="lt-LT"/>
                        </w:rPr>
                        <w:t>vaikams iš socialinę riziką patiriančių šeimų, ugdomiems pagal ikimokyklinio ugdymo programą:</w:t>
                      </w:r>
                    </w:p>
                    <w:sdt>
                      <w:sdtPr>
                        <w:alias w:val="3.1 pp."/>
                        <w:tag w:val="part_8ebad7d5434042769dc9343d476532db"/>
                        <w:lock w:val="sdtLocked"/>
                        <w:richText/>
                      </w:sdtPr>
                      <w:sdtContent>
                        <w:p>
                          <w:pPr>
                            <w:tabs>
                              <w:tab w:val="left" w:pos="709"/>
                              <w:tab w:val="left" w:pos="1276"/>
                            </w:tabs>
                            <w:ind w:firstLine="709"/>
                            <w:jc w:val="both"/>
                            <w:rPr>
                              <w:szCs w:val="24"/>
                            </w:rPr>
                          </w:pPr>
                          <w:sdt>
                            <w:sdtPr>
                              <w:alias w:val="Numeris"/>
                              <w:tag w:val="nr_8ebad7d5434042769dc9343d476532db"/>
                              <w:lock w:val="sdtLocked"/>
                              <w:richText/>
                            </w:sdtPr>
                            <w:sdtContent>
                              <w:r>
                                <w:rPr>
                                  <w:iCs/>
                                  <w:szCs w:val="24"/>
                                  <w:lang w:eastAsia="lt-LT"/>
                                </w:rPr>
                                <w:t>3.1</w:t>
                              </w:r>
                            </w:sdtContent>
                          </w:sdt>
                          <w:r>
                            <w:rPr>
                              <w:iCs/>
                              <w:szCs w:val="24"/>
                              <w:lang w:eastAsia="lt-LT"/>
                            </w:rPr>
                            <w:t xml:space="preserve">. suteikiamos mokėjimo lengvatos, vadovaujantis </w:t>
                          </w:r>
                          <w:r>
                            <w:rPr>
                              <w:szCs w:val="24"/>
                            </w:rPr>
                            <w:t xml:space="preserve">Atlyginimo už vaikų, ugdomų pagal ikimokyklinio ir priešmokyklinio ugdymo programas, išlaikymą Radviliškio rajono savivaldybės švietimo įstaigose mokėjimo nustatymo tvarkos aprašo, patvirtinto </w:t>
                          </w:r>
                          <w:r>
                            <w:rPr>
                              <w:color w:val="000000"/>
                              <w:szCs w:val="24"/>
                            </w:rPr>
                            <w:t xml:space="preserve">Radviliškio rajono savivaldybės tarybos 2024 m. </w:t>
                          </w:r>
                          <w:r>
                            <w:rPr>
                              <w:szCs w:val="24"/>
                            </w:rPr>
                            <w:t xml:space="preserve">balandžio 11 d. </w:t>
                          </w:r>
                          <w:r>
                            <w:rPr>
                              <w:color w:val="000000"/>
                              <w:szCs w:val="24"/>
                            </w:rPr>
                            <w:t>sprendimu Nr. T-344 „D</w:t>
                          </w:r>
                          <w:r>
                            <w:rPr>
                              <w:szCs w:val="24"/>
                            </w:rPr>
                            <w:t xml:space="preserve">ėl Atlyginimo už vaikų, ugdomų pagal ikimokyklinio ir priešmokyklinio ugdymo programas, išlaikymą Radviliškio rajono savivaldybės švietimo įstaigose mokėjimo nustatymo tvarkos aprašo patvirtinimo“ nuostatomis: </w:t>
                          </w:r>
                          <w:r>
                            <w:rPr>
                              <w:iCs/>
                              <w:szCs w:val="24"/>
                              <w:lang w:eastAsia="lt-LT"/>
                            </w:rPr>
                            <w:t xml:space="preserve">socialinę riziką patiriančioms šeimoms nereikia mokėti nei už vaiko maitinimą, nei </w:t>
                          </w:r>
                          <w:r>
                            <w:rPr>
                              <w:szCs w:val="24"/>
                            </w:rPr>
                            <w:t xml:space="preserve"> mėnesinio atlyginimo už ugdymo aplinkos išlaikymą;</w:t>
                          </w:r>
                        </w:p>
                      </w:sdtContent>
                    </w:sdt>
                    <w:sdt>
                      <w:sdtPr>
                        <w:alias w:val="3.2 pp."/>
                        <w:tag w:val="part_ce98a6b964114265b970c9c37ff47b9e"/>
                        <w:lock w:val="sdtLocked"/>
                        <w:richText/>
                      </w:sdtPr>
                      <w:sdtContent>
                        <w:p>
                          <w:pPr>
                            <w:tabs>
                              <w:tab w:val="left" w:pos="709"/>
                              <w:tab w:val="left" w:pos="1276"/>
                            </w:tabs>
                            <w:ind w:firstLine="709"/>
                            <w:jc w:val="both"/>
                            <w:rPr>
                              <w:iCs/>
                              <w:szCs w:val="24"/>
                              <w:lang w:eastAsia="lt-LT"/>
                            </w:rPr>
                          </w:pPr>
                          <w:sdt>
                            <w:sdtPr>
                              <w:alias w:val="Numeris"/>
                              <w:tag w:val="nr_ce98a6b964114265b970c9c37ff47b9e"/>
                              <w:lock w:val="sdtLocked"/>
                              <w:richText/>
                            </w:sdtPr>
                            <w:sdtContent>
                              <w:r>
                                <w:rPr>
                                  <w:szCs w:val="24"/>
                                </w:rPr>
                                <w:t>3.2</w:t>
                              </w:r>
                            </w:sdtContent>
                          </w:sdt>
                          <w:r>
                            <w:rPr>
                              <w:szCs w:val="24"/>
                            </w:rPr>
                            <w:t>.</w:t>
                          </w:r>
                          <w:r>
                            <w:rPr>
                              <w:iCs/>
                              <w:szCs w:val="24"/>
                              <w:lang w:eastAsia="lt-LT"/>
                            </w:rPr>
                            <w:t xml:space="preserve"> kuriems yra iki rugpjūčio 31 d. yra skirtas privalomas ikimokyklinis ugdymas, valstybė skiria papildomų lėšų (rugsėjo–gruodžio mėnesiams), kurios naudojamos vaikų ugdymui, maitinimui, vežiojimui finansuoti.;</w:t>
                          </w:r>
                        </w:p>
                      </w:sdtContent>
                    </w:sdt>
                    <w:sdt>
                      <w:sdtPr>
                        <w:alias w:val="3.3 pp."/>
                        <w:tag w:val="part_1f784247788743febf34dc7ee37ba1d6"/>
                        <w:lock w:val="sdtLocked"/>
                        <w:richText/>
                      </w:sdtPr>
                      <w:sdtContent>
                        <w:p>
                          <w:pPr>
                            <w:tabs>
                              <w:tab w:val="left" w:pos="709"/>
                              <w:tab w:val="left" w:pos="1276"/>
                            </w:tabs>
                            <w:ind w:firstLine="709"/>
                            <w:jc w:val="both"/>
                            <w:rPr>
                              <w:szCs w:val="24"/>
                            </w:rPr>
                          </w:pPr>
                          <w:sdt>
                            <w:sdtPr>
                              <w:alias w:val="Numeris"/>
                              <w:tag w:val="nr_1f784247788743febf34dc7ee37ba1d6"/>
                              <w:lock w:val="sdtLocked"/>
                              <w:richText/>
                            </w:sdtPr>
                            <w:sdtContent>
                              <w:r>
                                <w:rPr>
                                  <w:iCs/>
                                  <w:szCs w:val="24"/>
                                  <w:lang w:eastAsia="lt-LT"/>
                                </w:rPr>
                                <w:t>3.3</w:t>
                              </w:r>
                            </w:sdtContent>
                          </w:sdt>
                          <w:r>
                            <w:rPr>
                              <w:iCs/>
                              <w:szCs w:val="24"/>
                              <w:lang w:eastAsia="lt-LT"/>
                            </w:rPr>
                            <w:t>. kuriems yra nuo rugsėjo 2 d. iki gruodžio 31 d. yra skirtas privalomas ikimokyklinis ugdymas, valstybė skiria papildomų lėšų (sausio–rugpjūčio mėnesiams), kurios naudojamos vaikų ugdymui, maitinimui, vežiojimui finansuoti.</w:t>
                          </w:r>
                        </w:p>
                      </w:sdtContent>
                    </w:sdt>
                  </w:sdtContent>
                </w:sdt>
                <w:sdt>
                  <w:sdtPr>
                    <w:alias w:val="4 p."/>
                    <w:tag w:val="part_31ad6b73626f4469ade3defd1816bd40"/>
                    <w:lock w:val="sdtLocked"/>
                    <w:richText/>
                  </w:sdtPr>
                  <w:sdtContent>
                    <w:p>
                      <w:pPr>
                        <w:ind w:firstLine="709"/>
                        <w:jc w:val="both"/>
                        <w:rPr>
                          <w:b/>
                          <w:bCs/>
                          <w:szCs w:val="24"/>
                          <w:lang w:eastAsia="lt-LT"/>
                        </w:rPr>
                      </w:pPr>
                      <w:sdt>
                        <w:sdtPr>
                          <w:alias w:val="Numeris"/>
                          <w:tag w:val="nr_31ad6b73626f4469ade3defd1816bd40"/>
                          <w:lock w:val="sdtLocked"/>
                          <w:richText/>
                        </w:sdtPr>
                        <w:sdtContent>
                          <w:r>
                            <w:rPr>
                              <w:b/>
                              <w:bCs/>
                              <w:szCs w:val="24"/>
                              <w:lang w:eastAsia="lt-LT"/>
                            </w:rPr>
                            <w:t>4</w:t>
                          </w:r>
                        </w:sdtContent>
                      </w:sdt>
                      <w:r>
                        <w:rPr>
                          <w:b/>
                          <w:bCs/>
                          <w:szCs w:val="24"/>
                          <w:lang w:eastAsia="lt-LT"/>
                        </w:rPr>
                        <w:t>. Kokios siūlomos naujos teisinio reguliavimo nuostatos, kokių teigiamų rezultatų laukiama.</w:t>
                      </w:r>
                    </w:p>
                    <w:p>
                      <w:pPr>
                        <w:suppressAutoHyphens/>
                        <w:ind w:firstLine="709"/>
                        <w:jc w:val="both"/>
                        <w:rPr>
                          <w:bCs/>
                          <w:color w:val="000000"/>
                          <w:szCs w:val="24"/>
                          <w:lang w:eastAsia="ar-SA"/>
                        </w:rPr>
                      </w:pPr>
                      <w:r>
                        <w:rPr>
                          <w:szCs w:val="24"/>
                          <w:shd w:val="clear" w:color="auto" w:fill="FFFFFF"/>
                          <w:lang w:eastAsia="ar-SA"/>
                        </w:rPr>
                        <w:t xml:space="preserve">Agentūra siūlo pasirašyti </w:t>
                      </w:r>
                      <w:r>
                        <w:rPr>
                          <w:szCs w:val="24"/>
                          <w:lang w:eastAsia="lt-LT"/>
                        </w:rPr>
                        <w:t>Projekto jungtinės veiklos s</w:t>
                      </w:r>
                      <w:r>
                        <w:rPr>
                          <w:szCs w:val="24"/>
                          <w:shd w:val="clear" w:color="auto" w:fill="FFFFFF"/>
                          <w:lang w:eastAsia="ar-SA"/>
                        </w:rPr>
                        <w:t>utartį, pagal kurią Radviliškio r. planuojama skirti 729 591,12 Eur</w:t>
                      </w:r>
                      <w:r>
                        <w:rPr>
                          <w:sz w:val="22"/>
                          <w:szCs w:val="22"/>
                        </w:rPr>
                        <w:t xml:space="preserve"> </w:t>
                      </w:r>
                      <w:r>
                        <w:rPr>
                          <w:szCs w:val="24"/>
                        </w:rPr>
                        <w:t>priemonių įgyvendinimui,</w:t>
                      </w:r>
                      <w:r>
                        <w:rPr>
                          <w:sz w:val="22"/>
                          <w:szCs w:val="22"/>
                        </w:rPr>
                        <w:t xml:space="preserve"> </w:t>
                      </w:r>
                      <w:r>
                        <w:rPr>
                          <w:szCs w:val="24"/>
                          <w:shd w:val="clear" w:color="auto" w:fill="FFFFFF"/>
                          <w:lang w:eastAsia="ar-SA"/>
                        </w:rPr>
                        <w:t>kad į ankstyvąjį ugdymą būtų sėkmingai įtraukti vaikai iš socialinę riziką patiriančių šeimų.</w:t>
                      </w:r>
                      <w:r>
                        <w:rPr>
                          <w:bCs/>
                          <w:color w:val="000000"/>
                          <w:szCs w:val="24"/>
                          <w:lang w:eastAsia="ar-SA"/>
                        </w:rPr>
                        <w:t xml:space="preserve"> Planuojamų skirti lėšų suma yra preliminari, kadangi tikslinė grupė yra specifinė, vaikų skaičius yra nuolat kintantis. Realiai Projekto įgyvendinimo metu viskas bus kompensuojama pagal faktiškai vaikams per mėnesį suteiktas paslaugas.</w:t>
                      </w:r>
                    </w:p>
                    <w:p>
                      <w:pPr>
                        <w:tabs>
                          <w:tab w:val="left" w:pos="567"/>
                        </w:tabs>
                        <w:suppressAutoHyphens/>
                        <w:ind w:firstLine="709"/>
                        <w:jc w:val="both"/>
                        <w:rPr>
                          <w:szCs w:val="24"/>
                          <w:shd w:val="clear" w:color="auto" w:fill="FFFFFF"/>
                          <w:lang w:eastAsia="ar-SA"/>
                        </w:rPr>
                      </w:pPr>
                      <w:r>
                        <w:rPr>
                          <w:szCs w:val="24"/>
                          <w:shd w:val="clear" w:color="auto" w:fill="FFFFFF"/>
                          <w:lang w:eastAsia="ar-SA"/>
                        </w:rPr>
                        <w:t xml:space="preserve">Laukiama tik teigiamų rezultatų. </w:t>
                      </w:r>
                    </w:p>
                    <w:p>
                      <w:pPr>
                        <w:ind w:firstLine="709"/>
                        <w:jc w:val="both"/>
                        <w:rPr>
                          <w:szCs w:val="24"/>
                        </w:rPr>
                      </w:pPr>
                      <w:r>
                        <w:rPr>
                          <w:szCs w:val="24"/>
                        </w:rPr>
                        <w:t>Projekto tikslinė grupė – vaikai, augantys socialinę riziką patiriančiose šeimose, ugdomi pagal ikimokyklinio ir priešmokyklinio ugdymo programas.</w:t>
                      </w:r>
                    </w:p>
                    <w:p>
                      <w:pPr>
                        <w:ind w:firstLine="709"/>
                        <w:jc w:val="both"/>
                        <w:rPr>
                          <w:szCs w:val="24"/>
                        </w:rPr>
                      </w:pPr>
                      <w:r>
                        <w:rPr>
                          <w:szCs w:val="24"/>
                        </w:rPr>
                        <w:t>Projekto lėšomis tinkamos finansuoti išlaidų kategorijos yra šios:</w:t>
                      </w:r>
                    </w:p>
                    <w:sdt>
                      <w:sdtPr>
                        <w:alias w:val="4.1 pp."/>
                        <w:tag w:val="part_1e10e7387dc84396a78c292e6835a12d"/>
                        <w:lock w:val="sdtLocked"/>
                        <w:richText/>
                      </w:sdtPr>
                      <w:sdtContent>
                        <w:p>
                          <w:pPr>
                            <w:ind w:firstLine="709"/>
                            <w:jc w:val="both"/>
                            <w:rPr>
                              <w:color w:val="000000"/>
                              <w:szCs w:val="24"/>
                            </w:rPr>
                          </w:pPr>
                          <w:sdt>
                            <w:sdtPr>
                              <w:alias w:val="Numeris"/>
                              <w:tag w:val="nr_1e10e7387dc84396a78c292e6835a12d"/>
                              <w:lock w:val="sdtLocked"/>
                              <w:richText/>
                            </w:sdtPr>
                            <w:sdtContent>
                              <w:r>
                                <w:rPr>
                                  <w:szCs w:val="24"/>
                                </w:rPr>
                                <w:t>4.1</w:t>
                              </w:r>
                            </w:sdtContent>
                          </w:sdt>
                          <w:r>
                            <w:rPr>
                              <w:szCs w:val="24"/>
                            </w:rPr>
                            <w:t xml:space="preserve">. individualios ugdymo priemonės, reikalingos ugdymo programai įgyvendinti (pvz.: </w:t>
                          </w:r>
                          <w:r>
                            <w:rPr>
                              <w:color w:val="000000"/>
                              <w:szCs w:val="24"/>
                            </w:rPr>
                            <w:t>pratybų sąsiuviniai, skaičiuotuvai, rašymo, braižymo, piešimo ir kitos vaiko individualiai naudojamos mokymosi priemonės),</w:t>
                          </w:r>
                          <w:r>
                            <w:rPr>
                              <w:b/>
                              <w:bCs/>
                              <w:color w:val="000000"/>
                              <w:szCs w:val="24"/>
                            </w:rPr>
                            <w:t xml:space="preserve"> </w:t>
                          </w:r>
                          <w:r>
                            <w:rPr>
                              <w:color w:val="000000"/>
                              <w:szCs w:val="24"/>
                            </w:rPr>
                            <w:t>sportinė apranga, avalynė, drabužiai ir kiti būtini vaikui ugdyti reikmenys, kuriais vaikai neaprūpinami Lietuvos Respublikos švietimo įstatymo ir kitų teisės aktų nustatyta tvarka);</w:t>
                          </w:r>
                        </w:p>
                      </w:sdtContent>
                    </w:sdt>
                    <w:sdt>
                      <w:sdtPr>
                        <w:alias w:val="4.2 pp."/>
                        <w:tag w:val="part_4437592eb2b54e4eacf19eca0c210f2e"/>
                        <w:lock w:val="sdtLocked"/>
                        <w:richText/>
                      </w:sdtPr>
                      <w:sdtContent>
                        <w:p>
                          <w:pPr>
                            <w:ind w:firstLine="709"/>
                            <w:jc w:val="both"/>
                            <w:rPr>
                              <w:szCs w:val="24"/>
                            </w:rPr>
                          </w:pPr>
                          <w:sdt>
                            <w:sdtPr>
                              <w:alias w:val="Numeris"/>
                              <w:tag w:val="nr_4437592eb2b54e4eacf19eca0c210f2e"/>
                              <w:lock w:val="sdtLocked"/>
                              <w:richText/>
                            </w:sdtPr>
                            <w:sdtContent>
                              <w:r>
                                <w:rPr>
                                  <w:szCs w:val="24"/>
                                </w:rPr>
                                <w:t>4.2</w:t>
                              </w:r>
                            </w:sdtContent>
                          </w:sdt>
                          <w:r>
                            <w:rPr>
                              <w:szCs w:val="24"/>
                            </w:rPr>
                            <w:t>. vaikų vežimo ir lydinčio asmens darbo užmokesčio išlaidos;</w:t>
                          </w:r>
                        </w:p>
                      </w:sdtContent>
                    </w:sdt>
                    <w:sdt>
                      <w:sdtPr>
                        <w:alias w:val="4.3 pp."/>
                        <w:tag w:val="part_850f6c403a6843b082380b78b2966b54"/>
                        <w:lock w:val="sdtLocked"/>
                        <w:richText/>
                      </w:sdtPr>
                      <w:sdtContent>
                        <w:p>
                          <w:pPr>
                            <w:ind w:firstLine="709"/>
                            <w:jc w:val="both"/>
                            <w:rPr>
                              <w:szCs w:val="24"/>
                            </w:rPr>
                          </w:pPr>
                          <w:sdt>
                            <w:sdtPr>
                              <w:alias w:val="Numeris"/>
                              <w:tag w:val="nr_850f6c403a6843b082380b78b2966b54"/>
                              <w:lock w:val="sdtLocked"/>
                              <w:richText/>
                            </w:sdtPr>
                            <w:sdtContent>
                              <w:r>
                                <w:rPr>
                                  <w:szCs w:val="24"/>
                                </w:rPr>
                                <w:t>4.3</w:t>
                              </w:r>
                            </w:sdtContent>
                          </w:sdt>
                          <w:r>
                            <w:rPr>
                              <w:szCs w:val="24"/>
                            </w:rPr>
                            <w:t>. kultūros ir neformaliojo švietimo paslaugos;</w:t>
                          </w:r>
                        </w:p>
                      </w:sdtContent>
                    </w:sdt>
                    <w:sdt>
                      <w:sdtPr>
                        <w:alias w:val="4.4 pp."/>
                        <w:tag w:val="part_fdf755ad85844be8a9abf4d05f788c43"/>
                        <w:lock w:val="sdtLocked"/>
                        <w:richText/>
                      </w:sdtPr>
                      <w:sdtContent>
                        <w:p>
                          <w:pPr>
                            <w:ind w:firstLine="709"/>
                            <w:jc w:val="both"/>
                            <w:rPr>
                              <w:szCs w:val="24"/>
                            </w:rPr>
                          </w:pPr>
                          <w:sdt>
                            <w:sdtPr>
                              <w:alias w:val="Numeris"/>
                              <w:tag w:val="nr_fdf755ad85844be8a9abf4d05f788c43"/>
                              <w:lock w:val="sdtLocked"/>
                              <w:richText/>
                            </w:sdtPr>
                            <w:sdtContent>
                              <w:r>
                                <w:rPr>
                                  <w:szCs w:val="24"/>
                                </w:rPr>
                                <w:t>4.4</w:t>
                              </w:r>
                            </w:sdtContent>
                          </w:sdt>
                          <w:r>
                            <w:rPr>
                              <w:szCs w:val="24"/>
                            </w:rPr>
                            <w:t>. papildomos mokymo išlaidos ugdymui ir švietimo pagalbai (ugdymo lėšos);</w:t>
                          </w:r>
                        </w:p>
                      </w:sdtContent>
                    </w:sdt>
                    <w:sdt>
                      <w:sdtPr>
                        <w:alias w:val="4.5 pp."/>
                        <w:tag w:val="part_66b46588a04f4ba688f4308dbf8f26a7"/>
                        <w:lock w:val="sdtLocked"/>
                        <w:richText/>
                      </w:sdtPr>
                      <w:sdtContent>
                        <w:p>
                          <w:pPr>
                            <w:ind w:firstLine="709"/>
                            <w:jc w:val="both"/>
                            <w:rPr>
                              <w:szCs w:val="24"/>
                            </w:rPr>
                          </w:pPr>
                          <w:sdt>
                            <w:sdtPr>
                              <w:alias w:val="Numeris"/>
                              <w:tag w:val="nr_66b46588a04f4ba688f4308dbf8f26a7"/>
                              <w:lock w:val="sdtLocked"/>
                              <w:richText/>
                            </w:sdtPr>
                            <w:sdtContent>
                              <w:r>
                                <w:rPr>
                                  <w:szCs w:val="24"/>
                                </w:rPr>
                                <w:t>4.5</w:t>
                              </w:r>
                            </w:sdtContent>
                          </w:sdt>
                          <w:r>
                            <w:rPr>
                              <w:szCs w:val="24"/>
                            </w:rPr>
                            <w:t>. savivaldybių reglamentuotas vaikų išlaikymo mokestis;</w:t>
                          </w:r>
                        </w:p>
                      </w:sdtContent>
                    </w:sdt>
                    <w:sdt>
                      <w:sdtPr>
                        <w:alias w:val="4.6 pp."/>
                        <w:tag w:val="part_e3e01120079046639ecf764b5122a2b4"/>
                        <w:lock w:val="sdtLocked"/>
                        <w:richText/>
                      </w:sdtPr>
                      <w:sdtContent>
                        <w:p>
                          <w:pPr>
                            <w:ind w:firstLine="709"/>
                            <w:jc w:val="both"/>
                            <w:rPr>
                              <w:szCs w:val="24"/>
                            </w:rPr>
                          </w:pPr>
                          <w:sdt>
                            <w:sdtPr>
                              <w:alias w:val="Numeris"/>
                              <w:tag w:val="nr_e3e01120079046639ecf764b5122a2b4"/>
                              <w:lock w:val="sdtLocked"/>
                              <w:richText/>
                            </w:sdtPr>
                            <w:sdtContent>
                              <w:r>
                                <w:rPr>
                                  <w:szCs w:val="24"/>
                                </w:rPr>
                                <w:t>4.6</w:t>
                              </w:r>
                            </w:sdtContent>
                          </w:sdt>
                          <w:r>
                            <w:rPr>
                              <w:szCs w:val="24"/>
                            </w:rPr>
                            <w:t>. maitinimas (išskyrus atvejus, kai skiriamas nemokamas maitinimas pagal Lietuvos Respublikos socialinės paramos mokiniams įstatymą).</w:t>
                          </w:r>
                        </w:p>
                        <w:p>
                          <w:pPr>
                            <w:tabs>
                              <w:tab w:val="left" w:pos="567"/>
                            </w:tabs>
                            <w:suppressAutoHyphens/>
                            <w:ind w:firstLine="709"/>
                            <w:jc w:val="both"/>
                            <w:rPr>
                              <w:szCs w:val="24"/>
                              <w:shd w:val="clear" w:color="auto" w:fill="FFFFFF"/>
                              <w:lang w:eastAsia="ar-SA"/>
                            </w:rPr>
                          </w:pPr>
                          <w:r>
                            <w:rPr>
                              <w:szCs w:val="24"/>
                              <w:lang w:eastAsia="lt-LT"/>
                            </w:rPr>
                            <w:t>Siekiama, kad Projekto lėšomis įgyvendinamos veiklos padės pritraukti į ikimokyklinį ugdymą daugiau vaikų iš socialinę riziką patiriančių šeimų, nei jų dalyvauja ikimokykliniame ugdyme iki veiklų įgyvendinimo pradžios.</w:t>
                          </w:r>
                        </w:p>
                        <w:p>
                          <w:pPr>
                            <w:suppressAutoHyphens/>
                            <w:ind w:firstLine="709"/>
                            <w:jc w:val="both"/>
                            <w:rPr>
                              <w:szCs w:val="24"/>
                              <w:shd w:val="clear" w:color="auto" w:fill="FFFFFF"/>
                              <w:lang w:eastAsia="ar-SA"/>
                            </w:rPr>
                          </w:pPr>
                          <w:r>
                            <w:rPr>
                              <w:bCs/>
                              <w:szCs w:val="24"/>
                              <w:lang w:eastAsia="ar-SA"/>
                            </w:rPr>
                            <w:t>Projekto vykdytojas</w:t>
                          </w:r>
                          <w:r>
                            <w:rPr>
                              <w:b/>
                              <w:bCs/>
                              <w:szCs w:val="24"/>
                              <w:lang w:eastAsia="ar-SA"/>
                            </w:rPr>
                            <w:t xml:space="preserve"> </w:t>
                          </w:r>
                          <w:r>
                            <w:rPr>
                              <w:szCs w:val="24"/>
                              <w:lang w:eastAsia="ar-SA"/>
                            </w:rPr>
                            <w:t xml:space="preserve">– </w:t>
                          </w:r>
                          <w:r>
                            <w:rPr>
                              <w:szCs w:val="24"/>
                              <w:shd w:val="clear" w:color="auto" w:fill="FFFFFF"/>
                              <w:lang w:eastAsia="ar-SA"/>
                            </w:rPr>
                            <w:t>VšĮ Europos socialinio fondo agentūra.</w:t>
                          </w:r>
                        </w:p>
                        <w:p>
                          <w:pPr>
                            <w:suppressAutoHyphens/>
                            <w:ind w:firstLine="709"/>
                            <w:jc w:val="both"/>
                            <w:rPr>
                              <w:szCs w:val="24"/>
                              <w:lang w:eastAsia="ar-SA"/>
                            </w:rPr>
                          </w:pPr>
                          <w:r>
                            <w:rPr>
                              <w:szCs w:val="24"/>
                              <w:lang w:eastAsia="ar-SA"/>
                            </w:rPr>
                            <w:t>Projektas finansuojamas – Europos Sąjungos ir bendrojo finansavimo lėšomis.</w:t>
                          </w:r>
                        </w:p>
                        <w:p>
                          <w:pPr>
                            <w:suppressAutoHyphens/>
                            <w:ind w:firstLine="709"/>
                            <w:jc w:val="both"/>
                            <w:rPr>
                              <w:szCs w:val="24"/>
                              <w:shd w:val="clear" w:color="auto" w:fill="FFFFFF"/>
                              <w:lang w:eastAsia="ar-SA"/>
                            </w:rPr>
                          </w:pPr>
                          <w:r>
                            <w:rPr>
                              <w:szCs w:val="24"/>
                              <w:lang w:eastAsia="ar-SA"/>
                            </w:rPr>
                            <w:t>Projekto finansuojama dalis ir forma – 100 proc. dotacija.</w:t>
                          </w:r>
                        </w:p>
                        <w:p>
                          <w:pPr>
                            <w:suppressAutoHyphens/>
                            <w:ind w:firstLine="709"/>
                            <w:jc w:val="both"/>
                            <w:rPr>
                              <w:szCs w:val="24"/>
                              <w:lang w:eastAsia="ar-SA"/>
                            </w:rPr>
                          </w:pPr>
                          <w:r>
                            <w:rPr>
                              <w:szCs w:val="24"/>
                              <w:lang w:eastAsia="ar-SA"/>
                            </w:rPr>
                            <w:t>Projekto partneriai – Savivaldybės ar savivaldybių administracijos, mokyklos, kurių savininko teises ir pareigas įgyvendina Lietuvos Respublikos švietimo, mokslo ir sporto ministerija ir kuriose veikia ikimokyklinio ir (ar) priešmokyklinio ugdymo grupės.</w:t>
                          </w:r>
                        </w:p>
                        <w:p>
                          <w:pPr>
                            <w:suppressAutoHyphens/>
                            <w:ind w:firstLine="709"/>
                            <w:jc w:val="both"/>
                            <w:rPr>
                              <w:bCs/>
                              <w:color w:val="000000"/>
                              <w:szCs w:val="24"/>
                              <w:lang w:eastAsia="ar-SA"/>
                            </w:rPr>
                          </w:pPr>
                          <w:r>
                            <w:rPr>
                              <w:bCs/>
                              <w:color w:val="000000"/>
                              <w:szCs w:val="24"/>
                              <w:lang w:eastAsia="ar-SA"/>
                            </w:rPr>
                            <w:t xml:space="preserve">Preliminari Projekto trukmė – 36 mėn. </w:t>
                          </w:r>
                        </w:p>
                      </w:sdtContent>
                    </w:sdt>
                  </w:sdtContent>
                </w:sdt>
                <w:sdt>
                  <w:sdtPr>
                    <w:alias w:val="5 p."/>
                    <w:tag w:val="part_61556a94db004bb285fbf976274b54db"/>
                    <w:lock w:val="sdtLocked"/>
                    <w:richText/>
                  </w:sdtPr>
                  <w:sdtContent>
                    <w:p>
                      <w:pPr>
                        <w:ind w:firstLine="709"/>
                        <w:jc w:val="both"/>
                        <w:rPr>
                          <w:b/>
                          <w:bCs/>
                          <w:szCs w:val="24"/>
                          <w:lang w:eastAsia="lt-LT"/>
                        </w:rPr>
                      </w:pPr>
                      <w:sdt>
                        <w:sdtPr>
                          <w:alias w:val="Numeris"/>
                          <w:tag w:val="nr_61556a94db004bb285fbf976274b54db"/>
                          <w:lock w:val="sdtLocked"/>
                          <w:richText/>
                        </w:sdtPr>
                        <w:sdtContent>
                          <w:r>
                            <w:rPr>
                              <w:b/>
                              <w:bCs/>
                              <w:szCs w:val="24"/>
                              <w:lang w:eastAsia="lt-LT"/>
                            </w:rPr>
                            <w:t>5</w:t>
                          </w:r>
                        </w:sdtContent>
                      </w:sdt>
                      <w:r>
                        <w:rPr>
                          <w:b/>
                          <w:bCs/>
                          <w:szCs w:val="24"/>
                          <w:lang w:eastAsia="lt-LT"/>
                        </w:rPr>
                        <w:t>. Galimos neigiamos priimto sprendimo projekto pasekmės ir kokių priemonių reikėtų imtis, kad tokių pasekmių būtų išvengta.</w:t>
                      </w:r>
                    </w:p>
                    <w:p>
                      <w:pPr>
                        <w:ind w:firstLine="709"/>
                        <w:jc w:val="both"/>
                        <w:rPr>
                          <w:szCs w:val="24"/>
                          <w:lang w:eastAsia="lt-LT"/>
                        </w:rPr>
                      </w:pPr>
                      <w:r>
                        <w:rPr>
                          <w:szCs w:val="24"/>
                          <w:lang w:eastAsia="lt-LT"/>
                        </w:rPr>
                        <w:t xml:space="preserve">Priėmus sprendimą neigiamų pasekmių </w:t>
                      </w:r>
                      <w:r>
                        <w:rPr>
                          <w:kern w:val="2"/>
                          <w:szCs w:val="24"/>
                          <w14:ligatures w14:val="standardContextual"/>
                        </w:rPr>
                        <w:t xml:space="preserve">nenumatoma. </w:t>
                      </w:r>
                    </w:p>
                  </w:sdtContent>
                </w:sdt>
                <w:sdt>
                  <w:sdtPr>
                    <w:alias w:val="6 p."/>
                    <w:tag w:val="part_64c8691842a54e58ab7b247a47732019"/>
                    <w:lock w:val="sdtLocked"/>
                    <w:richText/>
                  </w:sdtPr>
                  <w:sdtContent>
                    <w:p>
                      <w:pPr>
                        <w:ind w:firstLine="709"/>
                        <w:jc w:val="both"/>
                        <w:rPr>
                          <w:b/>
                          <w:bCs/>
                          <w:szCs w:val="24"/>
                          <w:lang w:eastAsia="lt-LT"/>
                        </w:rPr>
                      </w:pPr>
                      <w:sdt>
                        <w:sdtPr>
                          <w:alias w:val="Numeris"/>
                          <w:tag w:val="nr_64c8691842a54e58ab7b247a47732019"/>
                          <w:lock w:val="sdtLocked"/>
                          <w:richText/>
                        </w:sdtPr>
                        <w:sdtContent>
                          <w:r>
                            <w:rPr>
                              <w:b/>
                              <w:bCs/>
                              <w:szCs w:val="24"/>
                              <w:lang w:eastAsia="lt-LT"/>
                            </w:rPr>
                            <w:t>6</w:t>
                          </w:r>
                        </w:sdtContent>
                      </w:sdt>
                      <w:r>
                        <w:rPr>
                          <w:b/>
                          <w:bCs/>
                          <w:szCs w:val="24"/>
                          <w:lang w:eastAsia="lt-LT"/>
                        </w:rPr>
                        <w:t xml:space="preserve">. Kokius teisės aktus būtina priimti, kokius galiojančius teisės aktus būtina pakeisti ar pripažinti netekusiais galios priėmus sprendimo projektą. </w:t>
                      </w:r>
                    </w:p>
                    <w:p>
                      <w:pPr>
                        <w:tabs>
                          <w:tab w:val="left" w:pos="284"/>
                          <w:tab w:val="left" w:pos="709"/>
                        </w:tabs>
                        <w:ind w:firstLine="709"/>
                        <w:jc w:val="both"/>
                        <w:rPr>
                          <w:rFonts w:eastAsia="Calibri"/>
                          <w:szCs w:val="24"/>
                        </w:rPr>
                      </w:pPr>
                      <w:r>
                        <w:rPr>
                          <w:rFonts w:eastAsia="Calibri"/>
                          <w:szCs w:val="24"/>
                        </w:rPr>
                        <w:t>Priėmus sprendimą, Savivaldybės teisės aktai nekeičiami ir nenaikinami.</w:t>
                      </w:r>
                    </w:p>
                  </w:sdtContent>
                </w:sdt>
                <w:sdt>
                  <w:sdtPr>
                    <w:alias w:val="7 p."/>
                    <w:tag w:val="part_ade33ebee74941bf958dff4b27092f2d"/>
                    <w:lock w:val="sdtLocked"/>
                    <w:richText/>
                  </w:sdtPr>
                  <w:sdtContent>
                    <w:p>
                      <w:pPr>
                        <w:ind w:firstLine="709"/>
                        <w:jc w:val="both"/>
                        <w:rPr>
                          <w:b/>
                          <w:bCs/>
                          <w:szCs w:val="24"/>
                          <w:lang w:eastAsia="lt-LT"/>
                        </w:rPr>
                      </w:pPr>
                      <w:sdt>
                        <w:sdtPr>
                          <w:alias w:val="Numeris"/>
                          <w:tag w:val="nr_ade33ebee74941bf958dff4b27092f2d"/>
                          <w:lock w:val="sdtLocked"/>
                          <w:richText/>
                        </w:sdtPr>
                        <w:sdtContent>
                          <w:r>
                            <w:rPr>
                              <w:b/>
                              <w:bCs/>
                              <w:szCs w:val="24"/>
                              <w:lang w:eastAsia="lt-LT"/>
                            </w:rPr>
                            <w:t>7</w:t>
                          </w:r>
                        </w:sdtContent>
                      </w:sdt>
                      <w:r>
                        <w:rPr>
                          <w:b/>
                          <w:bCs/>
                          <w:szCs w:val="24"/>
                          <w:lang w:eastAsia="lt-LT"/>
                        </w:rPr>
                        <w:t>. Sprendimo projektui įgyvendinti reikalingos lėšos, finansavimo šaltiniai.</w:t>
                      </w:r>
                    </w:p>
                    <w:p>
                      <w:pPr>
                        <w:ind w:firstLine="709"/>
                        <w:jc w:val="both"/>
                        <w:rPr>
                          <w:szCs w:val="24"/>
                          <w:lang w:eastAsia="lt-LT"/>
                        </w:rPr>
                      </w:pPr>
                      <w:r>
                        <w:rPr>
                          <w:szCs w:val="24"/>
                          <w:lang w:eastAsia="lt-LT"/>
                        </w:rPr>
                        <w:t xml:space="preserve">Sprendimo projektui įgyvendinti lėšų nereikės, išskyrus atvejus, jei reikėtų </w:t>
                      </w:r>
                      <w:r>
                        <w:rPr>
                          <w:szCs w:val="24"/>
                        </w:rPr>
                        <w:t>grąžinti netinkamomis finansuoti iš projekto lėšų pripažintas išlaidas, visiškai atlyginti projekto vykd</w:t>
                      </w:r>
                      <w:r>
                        <w:rPr>
                          <w:rFonts w:eastAsia="Calibri"/>
                          <w:szCs w:val="24"/>
                        </w:rPr>
                        <w:t>ytojo ar trečiųjų asmenų patirtus nuostolius, kai projekto vykdytojo ar kitų institucijų vykdomų patikrų metu nustatomi pažeidimai, dėl partnerio kaltės patiriami nuostoliai ir (ar) nevykdomi ir (ar) netinkamai vykdomi sutartimi prisiimti įsipareigojimai.</w:t>
                      </w:r>
                    </w:p>
                  </w:sdtContent>
                </w:sdt>
                <w:sdt>
                  <w:sdtPr>
                    <w:alias w:val="8 p."/>
                    <w:tag w:val="part_bbc975fc73764e22bbfa1c67a6b9b181"/>
                    <w:lock w:val="sdtLocked"/>
                    <w:richText/>
                  </w:sdtPr>
                  <w:sdtContent>
                    <w:p>
                      <w:pPr>
                        <w:ind w:firstLine="709"/>
                        <w:jc w:val="both"/>
                        <w:rPr>
                          <w:b/>
                          <w:bCs/>
                          <w:szCs w:val="24"/>
                          <w:lang w:eastAsia="lt-LT"/>
                        </w:rPr>
                      </w:pPr>
                      <w:sdt>
                        <w:sdtPr>
                          <w:alias w:val="Numeris"/>
                          <w:tag w:val="nr_bbc975fc73764e22bbfa1c67a6b9b181"/>
                          <w:lock w:val="sdtLocked"/>
                          <w:richText/>
                        </w:sdtPr>
                        <w:sdtContent>
                          <w:r>
                            <w:rPr>
                              <w:b/>
                              <w:bCs/>
                              <w:szCs w:val="24"/>
                              <w:lang w:eastAsia="lt-LT"/>
                            </w:rPr>
                            <w:t>8</w:t>
                          </w:r>
                        </w:sdtContent>
                      </w:sdt>
                      <w:r>
                        <w:rPr>
                          <w:b/>
                          <w:bCs/>
                          <w:szCs w:val="24"/>
                          <w:lang w:eastAsia="lt-LT"/>
                        </w:rPr>
                        <w:t>. Sprendimo projekto rengimo metu gauti specialistų vertinimai ir išvados.</w:t>
                      </w:r>
                    </w:p>
                    <w:p>
                      <w:pPr>
                        <w:ind w:firstLine="709"/>
                        <w:jc w:val="both"/>
                        <w:rPr>
                          <w:b/>
                          <w:bCs/>
                          <w:szCs w:val="24"/>
                          <w:lang w:eastAsia="lt-LT"/>
                        </w:rPr>
                      </w:pPr>
                      <w:r>
                        <w:rPr>
                          <w:szCs w:val="24"/>
                        </w:rPr>
                        <w:t>Sprendimo projekto rengimo metu kitų specialistų vertinimų ir išvadų negauta.</w:t>
                      </w:r>
                    </w:p>
                  </w:sdtContent>
                </w:sdt>
                <w:sdt>
                  <w:sdtPr>
                    <w:alias w:val="9 p."/>
                    <w:tag w:val="part_aca68a99192149ae9e45097050aeeed0"/>
                    <w:lock w:val="sdtLocked"/>
                    <w:richText/>
                  </w:sdtPr>
                  <w:sdtContent>
                    <w:p>
                      <w:pPr>
                        <w:ind w:firstLine="709"/>
                        <w:jc w:val="both"/>
                        <w:rPr>
                          <w:b/>
                          <w:bCs/>
                          <w:szCs w:val="24"/>
                          <w:lang w:eastAsia="lt-LT"/>
                        </w:rPr>
                      </w:pPr>
                      <w:sdt>
                        <w:sdtPr>
                          <w:alias w:val="Numeris"/>
                          <w:tag w:val="nr_aca68a99192149ae9e45097050aeeed0"/>
                          <w:lock w:val="sdtLocked"/>
                          <w:richText/>
                        </w:sdtPr>
                        <w:sdtContent>
                          <w:r>
                            <w:rPr>
                              <w:b/>
                              <w:bCs/>
                              <w:szCs w:val="24"/>
                              <w:lang w:eastAsia="lt-LT"/>
                            </w:rPr>
                            <w:t>9</w:t>
                          </w:r>
                        </w:sdtContent>
                      </w:sdt>
                      <w:r>
                        <w:rPr>
                          <w:b/>
                          <w:bCs/>
                          <w:szCs w:val="24"/>
                          <w:lang w:eastAsia="lt-LT"/>
                        </w:rPr>
                        <w:t>. Numatomo teisinio reguliavimo poveikio vertinimo rezultatai.</w:t>
                      </w:r>
                    </w:p>
                    <w:p>
                      <w:pPr>
                        <w:ind w:firstLine="709"/>
                        <w:jc w:val="both"/>
                        <w:rPr>
                          <w:szCs w:val="24"/>
                          <w:lang w:eastAsia="lt-LT"/>
                        </w:rPr>
                      </w:pPr>
                      <w:r>
                        <w:rPr>
                          <w:szCs w:val="24"/>
                          <w:lang w:eastAsia="lt-LT"/>
                        </w:rPr>
                        <w:t>Vertinimas neatliekamas.</w:t>
                      </w:r>
                    </w:p>
                  </w:sdtContent>
                </w:sdt>
                <w:sdt>
                  <w:sdtPr>
                    <w:alias w:val="10 p."/>
                    <w:tag w:val="part_cb246a04d54440f1a4e1a4e14dd9f3a4"/>
                    <w:lock w:val="sdtLocked"/>
                    <w:richText/>
                  </w:sdtPr>
                  <w:sdtContent>
                    <w:p>
                      <w:pPr>
                        <w:ind w:firstLine="709"/>
                        <w:jc w:val="both"/>
                        <w:rPr>
                          <w:b/>
                          <w:bCs/>
                          <w:szCs w:val="24"/>
                          <w:lang w:eastAsia="lt-LT"/>
                        </w:rPr>
                      </w:pPr>
                      <w:sdt>
                        <w:sdtPr>
                          <w:alias w:val="Numeris"/>
                          <w:tag w:val="nr_cb246a04d54440f1a4e1a4e14dd9f3a4"/>
                          <w:lock w:val="sdtLocked"/>
                          <w:richText/>
                        </w:sdtPr>
                        <w:sdtContent>
                          <w:r>
                            <w:rPr>
                              <w:b/>
                              <w:bCs/>
                              <w:szCs w:val="24"/>
                              <w:lang w:eastAsia="lt-LT"/>
                            </w:rPr>
                            <w:t>10</w:t>
                          </w:r>
                        </w:sdtContent>
                      </w:sdt>
                      <w:r>
                        <w:rPr>
                          <w:b/>
                          <w:bCs/>
                          <w:szCs w:val="24"/>
                          <w:lang w:eastAsia="lt-LT"/>
                        </w:rPr>
                        <w:t>. Sprendimo projekto antikorupcinis vertinimas.</w:t>
                      </w:r>
                    </w:p>
                    <w:p>
                      <w:pPr>
                        <w:tabs>
                          <w:tab w:val="left" w:pos="1276"/>
                        </w:tabs>
                        <w:spacing w:line="259" w:lineRule="auto"/>
                        <w:ind w:firstLine="709"/>
                        <w:jc w:val="both"/>
                        <w:rPr>
                          <w:kern w:val="2"/>
                          <w:szCs w:val="24"/>
                          <w14:ligatures w14:val="standardContextual"/>
                        </w:rPr>
                      </w:pPr>
                      <w:r>
                        <w:rPr>
                          <w:kern w:val="2"/>
                          <w:szCs w:val="24"/>
                          <w14:ligatures w14:val="standardContextual"/>
                        </w:rPr>
                        <w:t>Sprendimo projektas antikorupciniam vertinimui neteikiamas.</w:t>
                      </w:r>
                    </w:p>
                  </w:sdtContent>
                </w:sdt>
                <w:sdt>
                  <w:sdtPr>
                    <w:alias w:val="11 p."/>
                    <w:tag w:val="part_de94c4866cd24f8b9f10e84c66805d95"/>
                    <w:lock w:val="sdtLocked"/>
                    <w:richText/>
                  </w:sdtPr>
                  <w:sdtContent>
                    <w:p>
                      <w:pPr>
                        <w:ind w:firstLine="709"/>
                        <w:jc w:val="both"/>
                        <w:rPr>
                          <w:b/>
                          <w:bCs/>
                          <w:szCs w:val="24"/>
                          <w:lang w:eastAsia="lt-LT"/>
                        </w:rPr>
                      </w:pPr>
                      <w:sdt>
                        <w:sdtPr>
                          <w:alias w:val="Numeris"/>
                          <w:tag w:val="nr_de94c4866cd24f8b9f10e84c66805d95"/>
                          <w:lock w:val="sdtLocked"/>
                          <w:richText/>
                        </w:sdtPr>
                        <w:sdtContent>
                          <w:r>
                            <w:rPr>
                              <w:b/>
                              <w:bCs/>
                              <w:szCs w:val="24"/>
                              <w:lang w:eastAsia="lt-LT"/>
                            </w:rPr>
                            <w:t>11</w:t>
                          </w:r>
                        </w:sdtContent>
                      </w:sdt>
                      <w:r>
                        <w:rPr>
                          <w:b/>
                          <w:bCs/>
                          <w:szCs w:val="24"/>
                          <w:lang w:eastAsia="lt-LT"/>
                        </w:rPr>
                        <w:t>. Kiti, iniciatoriaus nuomone, reikalingi pagrindimai ir paaiškinimai.</w:t>
                      </w:r>
                    </w:p>
                    <w:p>
                      <w:pPr>
                        <w:ind w:firstLine="709"/>
                        <w:jc w:val="both"/>
                        <w:rPr>
                          <w:szCs w:val="24"/>
                          <w:lang w:eastAsia="lt-LT"/>
                        </w:rPr>
                      </w:pPr>
                      <w:r>
                        <w:rPr>
                          <w:szCs w:val="24"/>
                          <w:lang w:eastAsia="lt-LT"/>
                        </w:rPr>
                        <w:t>Nėra.</w:t>
                      </w:r>
                    </w:p>
                  </w:sdtContent>
                </w:sdt>
                <w:sdt>
                  <w:sdtPr>
                    <w:alias w:val="12 p."/>
                    <w:tag w:val="part_eeac7337b2184301b378d2dbb5717cf9"/>
                    <w:lock w:val="sdtLocked"/>
                    <w:richText/>
                  </w:sdtPr>
                  <w:sdtContent>
                    <w:p>
                      <w:pPr>
                        <w:ind w:firstLine="709"/>
                        <w:jc w:val="both"/>
                        <w:rPr>
                          <w:b/>
                          <w:bCs/>
                          <w:szCs w:val="24"/>
                          <w:lang w:eastAsia="lt-LT"/>
                        </w:rPr>
                      </w:pPr>
                      <w:sdt>
                        <w:sdtPr>
                          <w:alias w:val="Numeris"/>
                          <w:tag w:val="nr_eeac7337b2184301b378d2dbb5717cf9"/>
                          <w:lock w:val="sdtLocked"/>
                          <w:richText/>
                        </w:sdtPr>
                        <w:sdtContent>
                          <w:r>
                            <w:rPr>
                              <w:b/>
                              <w:bCs/>
                              <w:szCs w:val="24"/>
                              <w:lang w:eastAsia="lt-LT"/>
                            </w:rPr>
                            <w:t>12</w:t>
                          </w:r>
                        </w:sdtContent>
                      </w:sdt>
                      <w:r>
                        <w:rPr>
                          <w:b/>
                          <w:bCs/>
                          <w:szCs w:val="24"/>
                          <w:lang w:eastAsia="lt-LT"/>
                        </w:rPr>
                        <w:t>. Pridedami dokumentai.</w:t>
                      </w:r>
                    </w:p>
                    <w:p>
                      <w:pPr>
                        <w:ind w:firstLine="709"/>
                        <w:jc w:val="both"/>
                        <w:rPr>
                          <w:b/>
                          <w:bCs/>
                          <w:szCs w:val="24"/>
                          <w:lang w:eastAsia="lt-LT"/>
                        </w:rPr>
                      </w:pPr>
                      <w:r>
                        <w:rPr>
                          <w:szCs w:val="24"/>
                          <w:lang w:eastAsia="lt-LT"/>
                        </w:rPr>
                        <w:t>Nėra.</w:t>
                      </w:r>
                    </w:p>
                    <w:p>
                      <w:pPr>
                        <w:ind w:firstLine="709"/>
                        <w:jc w:val="both"/>
                        <w:rPr>
                          <w:szCs w:val="24"/>
                          <w:lang w:eastAsia="lt-LT"/>
                        </w:rPr>
                      </w:pPr>
                    </w:p>
                    <w:p>
                      <w:pPr>
                        <w:ind w:firstLine="709"/>
                        <w:jc w:val="both"/>
                        <w:rPr>
                          <w:szCs w:val="24"/>
                          <w:lang w:eastAsia="lt-LT"/>
                        </w:rPr>
                      </w:pPr>
                    </w:p>
                    <w:p>
                      <w:pPr>
                        <w:ind w:firstLine="709"/>
                        <w:jc w:val="both"/>
                        <w:rPr>
                          <w:szCs w:val="24"/>
                          <w:lang w:eastAsia="lt-LT"/>
                        </w:rPr>
                      </w:pPr>
                    </w:p>
                  </w:sdtContent>
                </w:sdt>
              </w:sdtContent>
            </w:sdt>
          </w:sdtContent>
        </w:sdt>
        <w:sdt>
          <w:sdtPr>
            <w:alias w:val="signatura"/>
            <w:tag w:val="part_718883b394394a62b12495ec5f6688db"/>
            <w:lock w:val="sdtLocked"/>
            <w:richText/>
          </w:sdtPr>
          <w:sdtContent>
            <w:p>
              <w:pPr>
                <w:ind w:firstLine="709"/>
                <w:jc w:val="both"/>
                <w:rPr>
                  <w:szCs w:val="24"/>
                  <w:lang w:eastAsia="lt-LT"/>
                </w:rPr>
              </w:pPr>
              <w:r>
                <w:rPr>
                  <w:szCs w:val="24"/>
                  <w:lang w:eastAsia="lt-LT"/>
                </w:rPr>
                <w:t>Švietimo ir sporto skyriaus vyriausioji specialistė</w:t>
                <w:tab/>
                <w:tab/>
                <w:tab/>
                <w:t xml:space="preserve">      Judita Steponavičienė</w:t>
              </w:r>
            </w:p>
          </w:sdtContent>
        </w:sdt>
      </w:sdtContent>
    </w:sdt>
    <w:sectPr>
      <w:pgSz w:w="11906" w:h="16838"/>
      <w:pgMar w:top="1418"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id="1">
    <w:p>
      <w:pPr>
        <w:rPr>
          <w:rFonts w:eastAsia="Calibri"/>
          <w:color w:val="00000A"/>
          <w:szCs w:val="24"/>
        </w:rPr>
      </w:pPr>
      <w:r>
        <w:rPr>
          <w:rFonts w:eastAsia="Calibri"/>
          <w:color w:val="00000A"/>
          <w:szCs w:val="24"/>
          <w:vertAlign w:val="superscript"/>
        </w:rPr>
        <w:footnoteRef/>
      </w:r>
      <w:r>
        <w:rPr>
          <w:rFonts w:eastAsia="Calibri"/>
          <w:color w:val="00000A"/>
          <w:szCs w:val="24"/>
        </w:rPr>
        <w:t xml:space="preserve"> </w:t>
      </w:r>
      <w:hyperlink r:id="rId1" w:history="1">
        <w:r>
          <w:rPr>
            <w:rFonts w:eastAsia="Calibri"/>
            <w:color w:val="0000FF"/>
            <w:szCs w:val="24"/>
            <w:u w:val="single"/>
          </w:rPr>
          <w:t>V-878 Dėl 2021–2030 m. plėtros programos valdytojos Lietuvos Respublikos švietimo, mokslo ir sporto min... (e-tar.lt)</w:t>
        </w:r>
      </w:hyperlink>
    </w:p>
  </w:footnote>
  <w:footnote w:id="2">
    <w:p>
      <w:pPr>
        <w:rPr>
          <w:rFonts w:ascii="Calibri" w:eastAsia="Calibri" w:hAnsi="Calibri"/>
          <w:color w:val="00000A"/>
          <w:sz w:val="20"/>
        </w:rPr>
      </w:pPr>
      <w:r>
        <w:rPr>
          <w:rFonts w:ascii="Calibri" w:eastAsia="Calibri" w:hAnsi="Calibri"/>
          <w:color w:val="00000A"/>
          <w:sz w:val="20"/>
          <w:vertAlign w:val="superscript"/>
        </w:rPr>
        <w:footnoteRef/>
      </w:r>
      <w:r>
        <w:rPr>
          <w:rFonts w:ascii="Calibri" w:eastAsia="Calibri" w:hAnsi="Calibri"/>
          <w:color w:val="0563C1"/>
          <w:sz w:val="20"/>
          <w:u w:val="single"/>
        </w:rPr>
        <w:t>https://smsm.lrv.lt/uploads/smsm/documents/files/Steb%C4%97senos%2Brodikli%C5%B3%2Bapra%C5%A1ym%C5%B3%2Bkortel%C4%97s_05-26.pdf</w:t>
      </w:r>
    </w:p>
  </w:footnote>
  <w:footnote w:id="3">
    <w:p>
      <w:pPr>
        <w:rPr>
          <w:rFonts w:ascii="Calibri" w:eastAsia="Calibri" w:hAnsi="Calibri"/>
          <w:color w:val="00000A"/>
          <w:sz w:val="20"/>
        </w:rPr>
      </w:pPr>
      <w:r>
        <w:rPr>
          <w:rFonts w:ascii="Calibri" w:eastAsia="Calibri" w:hAnsi="Calibri"/>
          <w:color w:val="00000A"/>
          <w:sz w:val="20"/>
          <w:vertAlign w:val="superscript"/>
        </w:rPr>
        <w:footnoteRef/>
      </w:r>
      <w:r>
        <w:rPr>
          <w:rFonts w:ascii="Calibri" w:eastAsia="Calibri" w:hAnsi="Calibri"/>
          <w:color w:val="00000A"/>
          <w:sz w:val="20"/>
        </w:rPr>
        <w:t xml:space="preserve"> </w:t>
      </w:r>
      <w:hyperlink r:id="rId3" w:history="1">
        <w:r>
          <w:rPr>
            <w:rFonts w:ascii="Calibri" w:eastAsia="Calibri" w:hAnsi="Calibri"/>
            <w:color w:val="0563C1"/>
            <w:sz w:val="20"/>
            <w:u w:val="single"/>
          </w:rPr>
          <w:t>https://www.e-tar.lt/portal/lt/legalAct/14e33320f1ed11ec8fa7d02a65c371ad/asr</w:t>
        </w:r>
      </w:hyperlink>
      <w:r>
        <w:rPr>
          <w:rFonts w:ascii="Calibri" w:eastAsia="Calibri" w:hAnsi="Calibri"/>
          <w:color w:val="00000A"/>
          <w:sz w:val="20"/>
        </w:rPr>
        <w:t xml:space="preserve"> </w:t>
      </w:r>
    </w:p>
  </w:footnote>
  <w:footnote w:id="4">
    <w:p>
      <w:pPr>
        <w:rPr>
          <w:rFonts w:ascii="Calibri" w:eastAsia="Calibri" w:hAnsi="Calibri"/>
          <w:color w:val="00000A"/>
          <w:sz w:val="20"/>
        </w:rPr>
      </w:pPr>
      <w:r>
        <w:rPr>
          <w:rFonts w:ascii="Calibri" w:eastAsia="Calibri" w:hAnsi="Calibri"/>
          <w:color w:val="00000A"/>
          <w:sz w:val="20"/>
          <w:vertAlign w:val="superscript"/>
        </w:rPr>
        <w:footnoteRef/>
      </w:r>
      <w:r>
        <w:rPr>
          <w:rFonts w:ascii="Calibri" w:eastAsia="Calibri" w:hAnsi="Calibri"/>
          <w:color w:val="00000A"/>
          <w:sz w:val="20"/>
        </w:rPr>
        <w:t xml:space="preserve"> </w:t>
      </w:r>
      <w:r>
        <w:rPr>
          <w:rFonts w:ascii="Calibri" w:eastAsia="Calibri" w:hAnsi="Calibri"/>
          <w:color w:val="0563C1"/>
          <w:sz w:val="20"/>
          <w:u w:val="single"/>
        </w:rPr>
        <w:t>https://e-seimas.lrs.lt/portal/legalAct/lt/TAD/TAIS.394402</w:t>
      </w:r>
      <w:r>
        <w:rPr>
          <w:rFonts w:ascii="Calibri" w:eastAsia="Calibri" w:hAnsi="Calibri"/>
          <w:color w:val="00000A"/>
          <w:sz w:val="20"/>
        </w:rPr>
        <w:t xml:space="preserve"> </w:t>
      </w:r>
    </w:p>
  </w:footnote>
  <w:footnote w:id="5">
    <w:p>
      <w:pPr>
        <w:rPr>
          <w:rFonts w:ascii="Calibri" w:eastAsia="Calibri" w:hAnsi="Calibri"/>
          <w:color w:val="00000A"/>
          <w:sz w:val="20"/>
        </w:rPr>
      </w:pPr>
      <w:r>
        <w:rPr>
          <w:rFonts w:ascii="Calibri" w:eastAsia="Calibri" w:hAnsi="Calibri"/>
          <w:color w:val="00000A"/>
          <w:sz w:val="20"/>
          <w:vertAlign w:val="superscript"/>
        </w:rPr>
        <w:footnoteRef/>
      </w:r>
      <w:r>
        <w:rPr>
          <w:rFonts w:ascii="Calibri" w:eastAsia="Calibri" w:hAnsi="Calibri"/>
          <w:color w:val="00000A"/>
          <w:sz w:val="20"/>
        </w:rPr>
        <w:t xml:space="preserve"> </w:t>
      </w:r>
      <w:r>
        <w:rPr>
          <w:rFonts w:ascii="Calibri" w:eastAsia="Calibri" w:hAnsi="Calibri"/>
          <w:color w:val="0563C1"/>
          <w:sz w:val="20"/>
          <w:u w:val="single"/>
        </w:rPr>
        <w:t>https://e-seimas.lrs.lt/portal/legalAct/lt/TAD/TAIS.403754/asr</w:t>
      </w:r>
      <w:r>
        <w:rPr>
          <w:rFonts w:ascii="Calibri" w:eastAsia="Calibri" w:hAnsi="Calibri"/>
          <w:color w:val="00000A"/>
          <w:sz w:val="20"/>
        </w:rPr>
        <w:t xml:space="preserve"> </w:t>
      </w:r>
    </w:p>
  </w:footnote>
  <w:footnote w:id="6">
    <w:p>
      <w:pPr>
        <w:rPr>
          <w:rFonts w:ascii="Calibri" w:eastAsia="Calibri" w:hAnsi="Calibri"/>
          <w:color w:val="00000A"/>
          <w:sz w:val="20"/>
        </w:rPr>
      </w:pPr>
      <w:r>
        <w:rPr>
          <w:rFonts w:ascii="Calibri" w:eastAsia="Calibri" w:hAnsi="Calibri"/>
          <w:color w:val="00000A"/>
          <w:sz w:val="20"/>
          <w:vertAlign w:val="superscript"/>
        </w:rPr>
        <w:footnoteRef/>
      </w:r>
      <w:r>
        <w:rPr>
          <w:rFonts w:ascii="Calibri" w:eastAsia="Calibri" w:hAnsi="Calibri"/>
          <w:color w:val="00000A"/>
          <w:sz w:val="20"/>
        </w:rPr>
        <w:t xml:space="preserve"> </w:t>
      </w:r>
      <w:r>
        <w:rPr>
          <w:rFonts w:ascii="Calibri" w:eastAsia="Calibri" w:hAnsi="Calibri"/>
          <w:color w:val="0563C1"/>
          <w:sz w:val="20"/>
          <w:u w:val="single"/>
        </w:rPr>
        <w:t>https://e-seimas.lrs.lt/portal/legalAct/lt/TAD/TAIS.416431/asr</w:t>
      </w:r>
      <w:r>
        <w:rPr>
          <w:rFonts w:ascii="Calibri" w:eastAsia="Calibri" w:hAnsi="Calibri"/>
          <w:color w:val="00000A"/>
          <w:sz w:val="20"/>
        </w:rPr>
        <w:t xml:space="preserve"> </w:t>
      </w:r>
    </w:p>
  </w:footnote>
  <w:footnote w:id="7">
    <w:p>
      <w:pPr>
        <w:rPr>
          <w:rFonts w:ascii="Calibri" w:eastAsia="Calibri" w:hAnsi="Calibri"/>
          <w:color w:val="00000A"/>
          <w:sz w:val="20"/>
        </w:rPr>
      </w:pPr>
      <w:r>
        <w:rPr>
          <w:rFonts w:ascii="Calibri" w:eastAsia="Calibri" w:hAnsi="Calibri"/>
          <w:color w:val="00000A"/>
          <w:sz w:val="20"/>
          <w:vertAlign w:val="superscript"/>
        </w:rPr>
        <w:footnoteRef/>
      </w:r>
      <w:r>
        <w:rPr>
          <w:rFonts w:ascii="Calibri" w:eastAsia="Calibri" w:hAnsi="Calibri"/>
          <w:color w:val="00000A"/>
          <w:sz w:val="20"/>
        </w:rPr>
        <w:t xml:space="preserve"> </w:t>
      </w:r>
      <w:r>
        <w:rPr>
          <w:rFonts w:ascii="Calibri" w:eastAsia="Calibri" w:hAnsi="Calibri"/>
          <w:color w:val="0563C1"/>
          <w:sz w:val="20"/>
          <w:u w:val="single"/>
        </w:rPr>
        <w:t>https://e-seimas.lrs.lt/portal/legalAct/lt/TAD/TAIS.416430</w:t>
      </w:r>
      <w:r>
        <w:rPr>
          <w:rFonts w:ascii="Calibri" w:eastAsia="Calibri" w:hAnsi="Calibri"/>
          <w:color w:val="00000A"/>
          <w:sz w:val="20"/>
        </w:rPr>
        <w:t xml:space="preserve"> </w:t>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94"/>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6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180ED6-D424-4FAB-AB71-A2AEDFE1773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25722077">
      <w:bodyDiv w:val="1"/>
      <w:marLeft w:val="0"/>
      <w:marRight w:val="0"/>
      <w:marTop w:val="0"/>
      <w:marBottom w:val="0"/>
      <w:divBdr>
        <w:top w:val="none" w:sz="0" w:space="0" w:color="auto"/>
        <w:left w:val="none" w:sz="0" w:space="0" w:color="auto"/>
        <w:bottom w:val="none" w:sz="0" w:space="0" w:color="auto"/>
        <w:right w:val="none" w:sz="0" w:space="0" w:color="auto"/>
      </w:divBdr>
    </w:div>
    <w:div w:id="1784884169">
      <w:bodyDiv w:val="1"/>
      <w:marLeft w:val="0"/>
      <w:marRight w:val="0"/>
      <w:marTop w:val="0"/>
      <w:marBottom w:val="0"/>
      <w:divBdr>
        <w:top w:val="none" w:sz="0" w:space="0" w:color="auto"/>
        <w:left w:val="none" w:sz="0" w:space="0" w:color="auto"/>
        <w:bottom w:val="none" w:sz="0" w:space="0" w:color="auto"/>
        <w:right w:val="none" w:sz="0" w:space="0" w:color="auto"/>
      </w:divBdr>
      <w:divsChild>
        <w:div w:id="2054183601">
          <w:marLeft w:val="0"/>
          <w:marRight w:val="0"/>
          <w:marTop w:val="0"/>
          <w:marBottom w:val="0"/>
          <w:divBdr>
            <w:top w:val="none" w:sz="0" w:space="0" w:color="auto"/>
            <w:left w:val="none" w:sz="0" w:space="0" w:color="auto"/>
            <w:bottom w:val="none" w:sz="0" w:space="0" w:color="auto"/>
            <w:right w:val="none" w:sz="0" w:space="0" w:color="auto"/>
          </w:divBdr>
        </w:div>
        <w:div w:id="1233851270">
          <w:marLeft w:val="0"/>
          <w:marRight w:val="0"/>
          <w:marTop w:val="0"/>
          <w:marBottom w:val="0"/>
          <w:divBdr>
            <w:top w:val="none" w:sz="0" w:space="0" w:color="auto"/>
            <w:left w:val="none" w:sz="0" w:space="0" w:color="auto"/>
            <w:bottom w:val="none" w:sz="0" w:space="0" w:color="auto"/>
            <w:right w:val="none" w:sz="0" w:space="0" w:color="auto"/>
          </w:divBdr>
          <w:divsChild>
            <w:div w:id="1314408760">
              <w:marLeft w:val="0"/>
              <w:marRight w:val="0"/>
              <w:marTop w:val="0"/>
              <w:marBottom w:val="0"/>
              <w:divBdr>
                <w:top w:val="none" w:sz="0" w:space="0" w:color="auto"/>
                <w:left w:val="none" w:sz="0" w:space="0" w:color="auto"/>
                <w:bottom w:val="none" w:sz="0" w:space="0" w:color="auto"/>
                <w:right w:val="none" w:sz="0" w:space="0" w:color="auto"/>
              </w:divBdr>
            </w:div>
            <w:div w:id="414909280">
              <w:marLeft w:val="0"/>
              <w:marRight w:val="0"/>
              <w:marTop w:val="0"/>
              <w:marBottom w:val="0"/>
              <w:divBdr>
                <w:top w:val="none" w:sz="0" w:space="0" w:color="auto"/>
                <w:left w:val="none" w:sz="0" w:space="0" w:color="auto"/>
                <w:bottom w:val="none" w:sz="0" w:space="0" w:color="auto"/>
                <w:right w:val="none" w:sz="0" w:space="0" w:color="auto"/>
              </w:divBdr>
            </w:div>
            <w:div w:id="302198743">
              <w:marLeft w:val="0"/>
              <w:marRight w:val="0"/>
              <w:marTop w:val="0"/>
              <w:marBottom w:val="0"/>
              <w:divBdr>
                <w:top w:val="none" w:sz="0" w:space="0" w:color="auto"/>
                <w:left w:val="none" w:sz="0" w:space="0" w:color="auto"/>
                <w:bottom w:val="none" w:sz="0" w:space="0" w:color="auto"/>
                <w:right w:val="none" w:sz="0" w:space="0" w:color="auto"/>
              </w:divBdr>
            </w:div>
            <w:div w:id="1481649350">
              <w:marLeft w:val="0"/>
              <w:marRight w:val="0"/>
              <w:marTop w:val="0"/>
              <w:marBottom w:val="0"/>
              <w:divBdr>
                <w:top w:val="none" w:sz="0" w:space="0" w:color="auto"/>
                <w:left w:val="none" w:sz="0" w:space="0" w:color="auto"/>
                <w:bottom w:val="none" w:sz="0" w:space="0" w:color="auto"/>
                <w:right w:val="none" w:sz="0" w:space="0" w:color="auto"/>
              </w:divBdr>
            </w:div>
            <w:div w:id="802501917">
              <w:marLeft w:val="0"/>
              <w:marRight w:val="0"/>
              <w:marTop w:val="0"/>
              <w:marBottom w:val="0"/>
              <w:divBdr>
                <w:top w:val="none" w:sz="0" w:space="0" w:color="auto"/>
                <w:left w:val="none" w:sz="0" w:space="0" w:color="auto"/>
                <w:bottom w:val="none" w:sz="0" w:space="0" w:color="auto"/>
                <w:right w:val="none" w:sz="0" w:space="0" w:color="auto"/>
              </w:divBdr>
            </w:div>
            <w:div w:id="1008599935">
              <w:marLeft w:val="0"/>
              <w:marRight w:val="0"/>
              <w:marTop w:val="0"/>
              <w:marBottom w:val="0"/>
              <w:divBdr>
                <w:top w:val="none" w:sz="0" w:space="0" w:color="auto"/>
                <w:left w:val="none" w:sz="0" w:space="0" w:color="auto"/>
                <w:bottom w:val="none" w:sz="0" w:space="0" w:color="auto"/>
                <w:right w:val="none" w:sz="0" w:space="0" w:color="auto"/>
              </w:divBdr>
            </w:div>
            <w:div w:id="535120822">
              <w:marLeft w:val="0"/>
              <w:marRight w:val="0"/>
              <w:marTop w:val="0"/>
              <w:marBottom w:val="0"/>
              <w:divBdr>
                <w:top w:val="none" w:sz="0" w:space="0" w:color="auto"/>
                <w:left w:val="none" w:sz="0" w:space="0" w:color="auto"/>
                <w:bottom w:val="none" w:sz="0" w:space="0" w:color="auto"/>
                <w:right w:val="none" w:sz="0" w:space="0" w:color="auto"/>
              </w:divBdr>
            </w:div>
            <w:div w:id="865601624">
              <w:marLeft w:val="0"/>
              <w:marRight w:val="0"/>
              <w:marTop w:val="0"/>
              <w:marBottom w:val="0"/>
              <w:divBdr>
                <w:top w:val="none" w:sz="0" w:space="0" w:color="auto"/>
                <w:left w:val="none" w:sz="0" w:space="0" w:color="auto"/>
                <w:bottom w:val="none" w:sz="0" w:space="0" w:color="auto"/>
                <w:right w:val="none" w:sz="0" w:space="0" w:color="auto"/>
              </w:divBdr>
            </w:div>
            <w:div w:id="270403408">
              <w:marLeft w:val="0"/>
              <w:marRight w:val="0"/>
              <w:marTop w:val="0"/>
              <w:marBottom w:val="0"/>
              <w:divBdr>
                <w:top w:val="none" w:sz="0" w:space="0" w:color="auto"/>
                <w:left w:val="none" w:sz="0" w:space="0" w:color="auto"/>
                <w:bottom w:val="none" w:sz="0" w:space="0" w:color="auto"/>
                <w:right w:val="none" w:sz="0" w:space="0" w:color="auto"/>
              </w:divBdr>
            </w:div>
            <w:div w:id="2131586141">
              <w:marLeft w:val="0"/>
              <w:marRight w:val="0"/>
              <w:marTop w:val="0"/>
              <w:marBottom w:val="0"/>
              <w:divBdr>
                <w:top w:val="none" w:sz="0" w:space="0" w:color="auto"/>
                <w:left w:val="none" w:sz="0" w:space="0" w:color="auto"/>
                <w:bottom w:val="none" w:sz="0" w:space="0" w:color="auto"/>
                <w:right w:val="none" w:sz="0" w:space="0" w:color="auto"/>
              </w:divBdr>
            </w:div>
          </w:divsChild>
        </w:div>
        <w:div w:id="127012077">
          <w:marLeft w:val="0"/>
          <w:marRight w:val="0"/>
          <w:marTop w:val="0"/>
          <w:marBottom w:val="0"/>
          <w:divBdr>
            <w:top w:val="none" w:sz="0" w:space="0" w:color="auto"/>
            <w:left w:val="none" w:sz="0" w:space="0" w:color="auto"/>
            <w:bottom w:val="none" w:sz="0" w:space="0" w:color="auto"/>
            <w:right w:val="none" w:sz="0" w:space="0" w:color="auto"/>
          </w:divBdr>
        </w:div>
      </w:divsChild>
    </w:div>
    <w:div w:id="1813130732">
      <w:bodyDiv w:val="1"/>
      <w:marLeft w:val="0"/>
      <w:marRight w:val="0"/>
      <w:marTop w:val="0"/>
      <w:marBottom w:val="0"/>
      <w:divBdr>
        <w:top w:val="none" w:sz="0" w:space="0" w:color="auto"/>
        <w:left w:val="none" w:sz="0" w:space="0" w:color="auto"/>
        <w:bottom w:val="none" w:sz="0" w:space="0" w:color="auto"/>
        <w:right w:val="none" w:sz="0" w:space="0" w:color="auto"/>
      </w:divBdr>
    </w:div>
    <w:div w:id="2137066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fontTable" Target="fontTable.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ad1acd40e0b511ec8d9390588bf2de65"/>
  <Relationship Id="rId3" Type="http://schemas.openxmlformats.org/officeDocument/2006/relationships/hyperlink" TargetMode="External" Target="https://www.e-tar.lt/portal/lt/legalAct/14e33320f1ed11ec8fa7d02a65c371ad/asr"/>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595c88964e445aca6c511bfea10c2c4" PartId="c459c5a37f0948ce83fd05de2fac7fba">
    <Part Type="preambule" DocPartId="7abc2954c44446418cf710ef94c628ce" PartId="4e664903c5c64471acb14067dafc42a1"/>
    <Part Type="punktas" Nr="1" Abbr="1 p." DocPartId="a2a2773691274dd387cd037244ac2345" PartId="8f5af0acfb4e4cca817f54b742c83c22"/>
    <Part Type="punktas" Nr="2" Abbr="2 p." DocPartId="a078d0d89b104e5aa6ce86714311b485" PartId="7a3ebdb2a74a4a859139a55ec8ca358f"/>
    <Part Type="punktas" Nr="3" Abbr="3 p." DocPartId="01da84b55bae4f019c0501e6d452c9a9" PartId="867e0371f3ef41aaa45bb65894c60474"/>
    <Part Type="punktas" Nr="4" Abbr="4 p." DocPartId="e91b868790504cda817d3aa7389ba3d1" PartId="f7fee99c40ed42668be05ec955a3fe34"/>
    <Part Type="skirsnis" Title="Projektas" DocPartId="16ba6b0f31734d119667e8f5a0bc9560" PartId="6dc267cab37b4bd98dc7acbff61b9678"/>
    <Part Type="skirsnis" Title="PROJEKTO „ANKSTYVOJO UGDYMO UŽTIKRINIMAS VAIKAMS IŠ SOCIALINĘ RIZIKĄ PATIRIANČIŲ ŠEIMŲ“ JUNGTINĖS VEIKLOS SUTARTIS" DocPartId="5bfda10cd3784452bcc2411b628c4f00" PartId="d7f674186c614565894803606411b286"/>
    <Part Type="skirsnis" Title="Vilnius" DocPartId="2843073c9755481baa82264b2510618d" PartId="9ee29f927b0141e1bcc644de0d37ef24"/>
    <Part Type="skyrius" Nr="1" Title="SUTARTIES SĄVOKOS" DocPartId="d0dfdb03b7e444f18621451e4e795857" PartId="9708a17720aa4f8d9ef584535ae0c0cd">
      <Part Type="papunktis" Nr="1.1" Abbr="1.1 pp." DocPartId="daedcb17d93048b5a42f7d284adc7b10" PartId="27fb7f96d4ff46bf9b52f745c7b67b4d"/>
      <Part Type="papunktis" Nr="1.2" Abbr="1.2 pp." DocPartId="f3f4e453e84440aa96ab1ed9d02db82c" PartId="a6669584e7d44b498823d2429d8c57ee"/>
      <Part Type="papunktis" Nr="1.3" Abbr="1.3 pp." DocPartId="eeae01b4cc8840cb9a2d4cbbb2de8b5d" PartId="53f477f6a4424d18ab47547f5088c26d"/>
      <Part Type="papunktis" Nr="1.4" Abbr="1.4 pp." DocPartId="752f0d43633142b992c528c2006ff68a" PartId="41fc73edb626429f8c8e5a4ccfe56d53"/>
      <Part Type="papunktis" Nr="1.5" Abbr="1.5 pp." DocPartId="65b7ae5b1b964804a8124606e24b202e" PartId="2553b59977be4547ab44548410272beb"/>
      <Part Type="papunktis" Nr="1.6" Abbr="1.6 pp." DocPartId="d608ff625b184c83958291af120360f3" PartId="1e12b568a22c4c619581c68719742a26"/>
      <Part Type="papunktis" Nr="1.7" Abbr="1.7 pp." DocPartId="38b233662b2f42d6a4afcb96c57efdd0" PartId="6ec1402afa5345f299b9e9b9f65541ed"/>
    </Part>
    <Part Type="skyrius" Nr="2" Title="SUTARTIES OBJEKTAS" DocPartId="bad59978001d4cf2b976263d83a24ef6" PartId="92d44b0f95fa47cb8694abcd2bfc0e4a">
      <Part Type="papunktis" Nr="2.1" Abbr="2.1 pp." Notes="Numeris ne iš eilės. Trūksta dalių? [DocDalys]" DocPartId="441acda77b7b4814af5d359251d0c7f4" PartId="b54084a5c6c24b3ab9ffbe9839805a7d">
        <Part Type="papunktis" Nr="2.1.1" Abbr="2.1.1 pp." DocPartId="2863c47763da433eab1f0e0e84948506" PartId="a073d245414f485595c0fd38034b64e4"/>
        <Part Type="papunktis" Nr="2.1.2" Abbr="2.1.2 pp." DocPartId="50d624abb3844a24a233b87ad2ffac8b" PartId="5b1e51008b6a41b4b9fb7f2532fdd149"/>
      </Part>
      <Part Type="papunktis" Nr="2.2" Abbr="2.2 pp." DocPartId="22109eef722c499b95d199666e5f69a5" PartId="a7e1a363eeef43639c78b088f5e39c9d"/>
      <Part Type="papunktis" Nr="2.3" Abbr="2.3 pp." DocPartId="8bc638b20cde4f318693c4f709415ac5" PartId="a4aafa9aafd844279de3f8e140b5abc8"/>
      <Part Type="papunktis" Nr="2.4" Abbr="2.4 pp." DocPartId="b8e568f42a224357883447cd57cb03a7" PartId="416f720b1b0f48d986d18df9fea81ac9"/>
    </Part>
    <Part Type="skyrius" Nr="3" Title="ŠALIŲ ĮSIPAREIGOJIMAI" DocPartId="2a03e2532b84434c8f82e454e8909f81" PartId="8741627986e9444dae98ef490785583a">
      <Part Type="papunktis" Nr="3.1" Abbr="3.1 pp." Notes="Numeris ne iš eilės. Trūksta dalių? [DocDalys]" DocPartId="4e27f3edd2a843458654776c2e246a1b" PartId="1a41438ff89e49fba45053ece20b14f6">
        <Part Type="papunktis" Nr="3.1.1" Abbr="3.1.1 pp." DocPartId="2325c86cc90a4cc6b5ffea2bd9325f41" PartId="4593f55bb2604748a6a07425d2bcee37"/>
        <Part Type="papunktis" Nr="3.1.2" Abbr="3.1.2 pp." DocPartId="a02d3e1f2ec64e48b8ec109310ef33c4" PartId="91ab1fbf637b43f4a6a373232a0167b1"/>
        <Part Type="papunktis" Nr="3.1.3" Abbr="3.1.3 pp." DocPartId="8174e53c2f7d42b8a5204ba333319b10" PartId="f67935e7e71d45e88d41ce88b5a0e5a9"/>
        <Part Type="papunktis" Nr="3.1.4" Abbr="3.1.4 pp." DocPartId="8ab8228fd5034a5abb42ebf20ff0f63a" PartId="bc67fb73d77240bea171eb0c7953a60c"/>
        <Part Type="papunktis" Nr="3.1.5" Abbr="3.1.5 pp." DocPartId="b6952959f8634a19812113d10d110e87" PartId="b5e836a85cb14233aca1edc1b2c230a6"/>
        <Part Type="papunktis" Nr="3.1.6" Abbr="3.1.6 pp." DocPartId="f845be0193004f9cb772c16a31220994" PartId="16022be430fc43debeda64374ed1e171"/>
        <Part Type="papunktis" Nr="3.1.7" Abbr="3.1.7 pp." DocPartId="df68e3bfd3e54dd6b043386b3892b1d1" PartId="e2154bf4832b4a7c8c3c2e1de0650bd1"/>
        <Part Type="papunktis" Nr="3.1.8" Abbr="3.1.8 pp." DocPartId="b6122e5e029f472fa311b637a8b017ff" PartId="e968b21d46e942aa85232d43c5225fc6"/>
        <Part Type="papunktis" Nr="3.1.9" Abbr="3.1.9 pp." DocPartId="333a4255ddc4431187079bc3da97e6f8" PartId="ecbc6885f7e847399ed7ab41468e00b5"/>
        <Part Type="papunktis" Nr="3.1.10" Abbr="3.1.10 pp." DocPartId="b462ccabe4c242c893468d94a6c4f355" PartId="5aa47c927e30448a8256d639f2db46e9"/>
        <Part Type="papunktis" Nr="3.1.11" Abbr="3.1.11 pp." DocPartId="72a474f6999e477682f1fb0ed58c4f71" PartId="1fefa66b90c54ca886846c30dddfcc10"/>
      </Part>
      <Part Type="papunktis" Nr="3.2" Abbr="3.2 pp." DocPartId="eb0c3a845eef4379bdc06595431c6f98" PartId="ee643f3b750c4c61bc819e973c50491f">
        <Part Type="papunktis" Nr="3.2.1" Abbr="3.2.1 pp." DocPartId="258a61d25f16409fac751dcd7e80874e" PartId="1a66d8ef47574352bd27b149bcea10a4"/>
        <Part Type="papunktis" Nr="3.2.2" Abbr="3.2.2 pp." DocPartId="e05b41b288dc43d39d6903975f68637b" PartId="3b1f700a3d75463ebd4948d30fdcc912"/>
        <Part Type="papunktis" Nr="3.2.3" Abbr="3.2.3 pp." DocPartId="4937efa468254933b81df22a309ad67f" PartId="2c8f418dd32947e9b049d2aac29faddf"/>
        <Part Type="papunktis" Nr="3.2.4" Abbr="3.2.4 pp." DocPartId="d0b99146fa9a4c6a9ca4921cc8e8faa0" PartId="faaf62fcecb54c8dbf756f31df1fe842"/>
        <Part Type="papunktis" Nr="3.2.5" Abbr="3.2.5 pp." DocPartId="1a009c05fcd044998620eb30b7b98c21" PartId="0c95cd9b8c7145ccae61138ad3d97ef5"/>
        <Part Type="papunktis" Nr="3.2.6" Abbr="3.2.6 pp." DocPartId="c28efcbdc4fc4c7182d053a73e3df69f" PartId="fee1464fa75d42e192a8452b91dbb882"/>
        <Part Type="papunktis" Nr="3.2.7" Abbr="3.2.7 pp." DocPartId="f238104dbadb4f9a8b3ec000d48e3da0" PartId="d2f1e5b086914633ac8a00961a704aed"/>
        <Part Type="papunktis" Nr="3.2.8" Abbr="3.2.8 pp." DocPartId="1edd157903d6472885c50ac5cff4eccf" PartId="387cab21da9b482d80d39a20eac7220d"/>
        <Part Type="papunktis" Nr="3.2.9" Abbr="3.2.9 pp." DocPartId="876a9e1b0b104f39b6685a950bf08d2f" PartId="ce37426949034807bec1866d6dce51b0"/>
        <Part Type="papunktis" Nr="3.2.10" Abbr="3.2.10 pp." DocPartId="5d34d1259cb440a08f2614abed4eaee0" PartId="1c659ade19bd443d89be5c1dc6fcc328"/>
        <Part Type="papunktis" Nr="3.2.11" Abbr="3.2.11 pp." DocPartId="3266fc5907dd46f2ae6f168e20eab36b" PartId="cbb6020b10824e919f44b22607a69ded"/>
        <Part Type="papunktis" Nr="3.2.12" Abbr="3.2.12 pp." DocPartId="d2f72df9dfba4985ae334f867050c2fa" PartId="c41b91c6eca24e22ab1778d1f0ece7b8"/>
        <Part Type="papunktis" Nr="3.2.13" Abbr="3.2.13 pp." DocPartId="758ed4c0afed429fa869dbc0e075c400" PartId="054b350476e041b4bfff593a06089c04"/>
        <Part Type="papunktis" Nr="3.2.14" Abbr="3.2.14 pp." DocPartId="9ca5a50261364495920c483f51097dbb" PartId="33705d6b5d494da999137354e8198d79"/>
        <Part Type="papunktis" Nr="3.2.15" Abbr="3.2.15 pp." DocPartId="8ba6fbf3738e4ec1aef560503bac23e7" PartId="ebf1ebedc6384b94a6a93cd3591ad1c1"/>
        <Part Type="papunktis" Nr="3.2.16" Abbr="3.2.16 pp." DocPartId="ccc48ed2a1be4daeb036d8d3e068b756" PartId="b61ca6d51c72421b95844dfcb8c22dce"/>
      </Part>
    </Part>
    <Part Type="skyrius" Nr="4" Title="PARTNERIO IŠLAIDŲ KOMPENSAVIMAS" DocPartId="cdb02047cdd144769ec197cb32efc10c" PartId="0fd7c30fd0c94b81b7617847026fd099">
      <Part Type="papunktis" Nr="4.1" Abbr="4.1 pp." Notes="Numeris ne iš eilės. Trūksta dalių? [DocDalys]" DocPartId="abb5f8b2fb334191a462ff1f07f23ef1" PartId="2774f0783af14e7a9380f4fec2cca593"/>
      <Part Type="papunktis" Nr="4.2" Abbr="4.2 pp." DocPartId="dce0fed2d32b460db479c3da0dcab4ac" PartId="88f54905d7054805b3852f02b147e32c"/>
      <Part Type="papunktis" Nr="4.3" Abbr="4.3 pp." DocPartId="b24d0c95e62647fe9b500188c2f8fe1d" PartId="7d3d19f7255e462ea85a806dc08c8cfc">
        <Part Type="papunktis" Nr="4.3.1" Abbr="4.3.1 pp." DocPartId="f6862f7bd05548cfaec4c733b805f48f" PartId="a119b8b891514765a07792f99ac81220"/>
        <Part Type="papunktis" Nr="4.3.2" Abbr="4.3.2 pp." DocPartId="e679272061d34516b22b9126f88bbbfb" PartId="461eabea5c2f45dc8a597a5eea520fe7"/>
      </Part>
      <Part Type="papunktis" Nr="4.4" Abbr="4.4 pp." DocPartId="78d73c54569548f2a275d963ed4b24aa" PartId="fc913d4fea934a1ea178085821126ca6"/>
      <Part Type="papunktis" Nr="4.5" Abbr="4.5 pp." DocPartId="2715d42ceb5f4154aa1426142de9acb2" PartId="4c616450e73e422487a04384c3a7b920"/>
    </Part>
    <Part Type="skyrius" Nr="5" Title="DUOMENŲ SAUGOJIMAS" DocPartId="a313d7b3863f4238a0f1f33401cd27fd" PartId="e3ab75af4403415ca61b056924d745e0">
      <Part Type="papunktis" Nr="5.1" Abbr="5.1 pp." Notes="Numeris ne iš eilės. Trūksta dalių? [DocDalys]" DocPartId="fef42ba2e0c54a75a7365f4b5137fd90" PartId="7d7cea86819a4022ba33894a1c58839a"/>
    </Part>
    <Part Type="skyrius" Nr="6" Title="ASMENS DUOMENŲ TVARKYMAS" DocPartId="8c33a0f0cf004bf5a03bfe9f64504d4c" PartId="12460543b5474f2386b789f9f2891dac">
      <Part Type="papunktis" Nr="6.1" Abbr="6.1 pp." Notes="Numeris ne iš eilės. Trūksta dalių? [DocDalys]" DocPartId="7ca442bb69674d7f84802678e481dde3" PartId="3441b81f96ef499fa8a4be0f8389bccc"/>
      <Part Type="papunktis" Nr="6.2" Abbr="6.2 pp." DocPartId="98a241e31b10498d98b45b4dbd32a9be" PartId="eb76a3533c294aa1a5bcca124e321085"/>
    </Part>
    <Part Type="skyrius" Nr="7" Title="KEITIMASIS INFORMACIJA TARP SUTARTIES ŠALIŲ. KONFIDENCIALUMO UŽTIKRINIMAS" DocPartId="91e6ba7088a0438898fe0bf4b8dcc179" PartId="e565a3c1b2e345168b324a1c6d99dcfa">
      <Part Type="papunktis" Nr="7.1" Abbr="7.1 pp." Notes="Numeris ne iš eilės. Trūksta dalių? [DocDalys]" DocPartId="daf287c21be44204bd1903e569d255c0" PartId="0e86604e9ccd4c0fbb9619c36eb8b1ff"/>
      <Part Type="papunktis" Nr="7.2" Abbr="7.2 pp." DocPartId="8224ab4db1b64f4c95748e9d819d3b34" PartId="2c6c8fc38f764794b3f0b8f430ace173"/>
      <Part Type="papunktis" Nr="7.3" Abbr="7.3 pp." DocPartId="2f821ecaf38a4592bd6bea6fc6f1610c" PartId="4e1f4d4407ed49faa5b0ac308cce347c"/>
    </Part>
    <Part Type="skyrius" Nr="8" Title="NENUGALIMOS JĖGOS" DocPartId="9369f23562534cdaba4c27c74da25ab6" PartId="899a660e6b9640bd9411efc077f47484">
      <Part Type="papunktis" Nr="8.1" Abbr="8.1 pp." Notes="Numeris ne iš eilės. Trūksta dalių? [DocDalys]" DocPartId="e8296d188f724a6b802bf1054c3aa2b5" PartId="16fbd59a89614585ab4a5bf1fb0158f7"/>
      <Part Type="papunktis" Nr="8.2" Abbr="8.2 pp." DocPartId="d999f8a1671f4cfcbed07d58be8225d0" PartId="b0935ecd76f544c7ac353df74ad10062"/>
      <Part Type="papunktis" Nr="8.3" Abbr="8.3 pp." DocPartId="0618499955f0445386fdfdc29f368ba5" PartId="9f77c399111c401ebe996d30fb1e2f24"/>
    </Part>
    <Part Type="skyrius" Nr="9" Title="SUTARTIES VYKDYMO TERMINAI, GALIOJIMO, PAKEITIMO IR NUTRAUKIMO SĄLYGOS" DocPartId="480bfd42030040b6bb627edbb946bf5f" PartId="1906b66089ee4f179edec94b88835b6b">
      <Part Type="papunktis" Nr="9.1" Abbr="9.1 pp." Notes="Numeris ne iš eilės. Trūksta dalių? [DocDalys]" DocPartId="ac18a978142e4aaeb84f891e54f5022a" PartId="491b9a94a78841419d50ec13e2938a7c"/>
      <Part Type="papunktis" Nr="9.2" Abbr="9.2 pp." DocPartId="c01808047c014857a2cdcc75a51bdb36" PartId="517a2d3536a94999a05b63e8cf9a5d15"/>
      <Part Type="papunktis" Nr="9.3" Abbr="9.3 pp." DocPartId="28bf0c95642245158a9fb648622818e0" PartId="b8d2eb9266084a4ab713a3f6adf13f0a"/>
      <Part Type="papunktis" Nr="9.4" Abbr="9.4 pp." DocPartId="5196647f1e624da187f57db5c1c87a80" PartId="66c8d420a8424c8b9f72047115907283"/>
      <Part Type="papunktis" Nr="9.5" Abbr="9.5 pp." DocPartId="5517e864e9b24b76b7284dbcc5427f07" PartId="f6b0001c91554365a018779229053717"/>
    </Part>
    <Part Type="skyrius" Nr="10" Title="KITOS SĄLYGOS" DocPartId="fb1ec4c4c02b44e88bf8a09b25eb8808" PartId="366345ce7de7486b98fb60cdad75f990">
      <Part Type="papunktis" Nr="10.1" Abbr="10.1 pp." Notes="Numeris ne iš eilės. Trūksta dalių? [DocDalys]" DocPartId="3d3650a2aa0f4aa3990a7e3b0f6368e1" PartId="9fcdaf988e6c4d668cb6b27189dc9abd"/>
      <Part Type="papunktis" Nr="10.2" Abbr="10.2 pp." DocPartId="c724d3c8e8354c80939bb3f4ef07d154" PartId="63ebdb4e7a45437bbb41a33cb067077a"/>
      <Part Type="papunktis" Nr="10.3" Abbr="10.3 pp." DocPartId="cd20f3729eef46be9e89577f69eb4883" PartId="187dd2f4a30f4f989c6bd0164547492c"/>
      <Part Type="papunktis" Nr="10.4" Abbr="10.4 pp." DocPartId="374fa4ab39e64ee893d22a517daa683a" PartId="41d13e7642e4491aa025efa0e37a4c6d"/>
      <Part Type="papunktis" Nr="10.5" Abbr="10.5 pp." DocPartId="ca1665cd69024687b51d3e64f53748e4" PartId="71dbbc8382554f4ab4a61b1c0e3f9e7b">
        <Part Type="papunktis" Nr="10.5.1" Abbr="10.5.1 pp." DocPartId="59f6e36b1d5943b996614543857980fd" PartId="2e2faeaa96e14c74847c6c2f17015b23"/>
      </Part>
      <Part Type="poskyris" Title="ŠALIŲ ADRESAI IR REKVIZITAI" DocPartId="a13008aad5c945d58e91ed6a0dd95912" PartId="f4468a743ab04af391109fcc1091136e"/>
      <Part Type="poskyris" Title="RADVILIŠKIO RAJONO SAVIVALDYBĖS TARYBOS SPRENDIMO PROJEKTO „DĖL PRITARIMO DALYVAUTI PROJEKTE „ANKSTYVOJO UGDYMO UŽTIKRINIMAS VAIKAMS IŠ SOCIALINĘ RIZIKĄ PATIRIANČIŲ ŠEIMŲ“ PARTNERIO TEISĖMIS AIŠKINAMASIS RAŠTAS" DocPartId="a8264b6c98074d03921e6f0adf87ae7c" PartId="6209115c70f44a4b9540b95891ddfc0d">
        <Part Type="punktas" Nr="1" Abbr="1 p." DocPartId="425c7bec2fc0488190e92053054802b8" PartId="b8c519a06e1b4564ba9e939eb653db2f"/>
        <Part Type="punktas" Nr="2" Abbr="2 p." DocPartId="62ab99a26870468fb19eda09ca023d0b" PartId="76318c12a96f444eb78966095cfb5e24"/>
        <Part Type="punktas" Nr="3" Abbr="3 p." DocPartId="8be42c55a8d44109b172789a0b206a7b" PartId="ae118433b88243e7aae350dced3b3269">
          <Part Type="papunktis" Nr="3.1" Abbr="3.1 pp." DocPartId="2d31c32d56844e9281767173e81f9b72" PartId="8ebad7d5434042769dc9343d476532db"/>
          <Part Type="papunktis" Nr="3.2" Abbr="3.2 pp." DocPartId="ec9de6be19df484691b7abf459a7ab7c" PartId="ce98a6b964114265b970c9c37ff47b9e"/>
          <Part Type="papunktis" Nr="3.3" Abbr="3.3 pp." DocPartId="d9bfe42f22a9439f9567df80bea7ced0" PartId="1f784247788743febf34dc7ee37ba1d6"/>
        </Part>
        <Part Type="punktas" Nr="4" Abbr="4 p." DocPartId="080eefb6d337400c9005ecb31a0d26a9" PartId="31ad6b73626f4469ade3defd1816bd40">
          <Part Type="papunktis" Nr="4.1" Abbr="4.1 pp." DocPartId="9c9c8cdeb62544e697deaf5fd67c9461" PartId="1e10e7387dc84396a78c292e6835a12d"/>
          <Part Type="papunktis" Nr="4.2" Abbr="4.2 pp." DocPartId="e8d6dca14a7a4bfabf93426963f1e840" PartId="4437592eb2b54e4eacf19eca0c210f2e"/>
          <Part Type="papunktis" Nr="4.3" Abbr="4.3 pp." DocPartId="5ef581e7df21486d8529098dbed64419" PartId="850f6c403a6843b082380b78b2966b54"/>
          <Part Type="papunktis" Nr="4.4" Abbr="4.4 pp." DocPartId="54a1804f0acf4988b6f3c4d4322d8482" PartId="fdf755ad85844be8a9abf4d05f788c43"/>
          <Part Type="papunktis" Nr="4.5" Abbr="4.5 pp." DocPartId="47ef3adeda9a4f27863a19412d49964d" PartId="66b46588a04f4ba688f4308dbf8f26a7"/>
          <Part Type="papunktis" Nr="4.6" Abbr="4.6 pp." DocPartId="d7d54291142047b5b927d5af4fd9b896" PartId="e3e01120079046639ecf764b5122a2b4"/>
        </Part>
        <Part Type="punktas" Nr="5" Abbr="5 p." DocPartId="4c7a5b6261244641b8a925b9f5f355ab" PartId="61556a94db004bb285fbf976274b54db"/>
        <Part Type="punktas" Nr="6" Abbr="6 p." DocPartId="1b8aabc21b454159a5ffc87516b329e2" PartId="64c8691842a54e58ab7b247a47732019"/>
        <Part Type="punktas" Nr="7" Abbr="7 p." DocPartId="832a33b57e324d40b18e228d6241af72" PartId="ade33ebee74941bf958dff4b27092f2d"/>
        <Part Type="punktas" Nr="8" Abbr="8 p." DocPartId="8f894debff3e4d42bd7eba6bb0ec73b9" PartId="bbc975fc73764e22bbfa1c67a6b9b181"/>
        <Part Type="punktas" Nr="9" Abbr="9 p." DocPartId="8e07d9c477a4411b867445e137bc6cab" PartId="aca68a99192149ae9e45097050aeeed0"/>
        <Part Type="punktas" Nr="10" Abbr="10 p." DocPartId="4e0f6d469cc54097a395acb3cc153f85" PartId="cb246a04d54440f1a4e1a4e14dd9f3a4"/>
        <Part Type="punktas" Nr="11" Abbr="11 p." DocPartId="3413a374f734453c84082b3ffc46eab1" PartId="de94c4866cd24f8b9f10e84c66805d95"/>
        <Part Type="punktas" Nr="12" Abbr="12 p." DocPartId="2939b07ee082431fbf767c8d7c6fa629" PartId="eeac7337b2184301b378d2dbb5717cf9"/>
      </Part>
    </Part>
    <Part Type="signatura" DocPartId="f6a2563296734165b1cb8891aec7fdf3" PartId="718883b394394a62b12495ec5f6688db"/>
  </Part>
</Parts>
</file>

<file path=customXml/itemProps1.xml><?xml version="1.0" encoding="utf-8"?>
<ds:datastoreItem xmlns:ds="http://schemas.openxmlformats.org/officeDocument/2006/customXml" ds:itemID="{76FE182C-C2D9-4DF6-B418-A6CE9327BA6B}">
  <ds:schemaRefs>
    <ds:schemaRef ds:uri="http://schemas.openxmlformats.org/officeDocument/2006/bibliography"/>
  </ds:schemaRefs>
</ds:datastoreItem>
</file>

<file path=customXml/itemProps2.xml><?xml version="1.0" encoding="utf-8"?>
<ds:datastoreItem xmlns:ds="http://schemas.openxmlformats.org/officeDocument/2006/customXml" ds:itemID="{135EB61C-BD77-42DC-BF1D-BDC3673C74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3765</Words>
  <Characters>27827</Characters>
  <Application>Microsoft Office Word</Application>
  <DocSecurity>4</DocSecurity>
  <Lines>604</Lines>
  <Paragraphs>235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31357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2024-06-11T07:01:00Z</dcterms:created>
  <dc:creator>Radviliškis Švietimas</dc:creator>
  <lastModifiedBy>adlibuser</lastModifiedBy>
  <lastPrinted>2024-06-06T12:18:00Z</lastPrinted>
  <dcterms:modified xsi:type="dcterms:W3CDTF">2024-06-11T07:01:00Z</dcterms:modified>
  <revision>2</revision>
</coreProperties>
</file>