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7da2bf70ac44b98cd5a6b9ae4dd960"/>
        <w:lock w:val="sdtLocked"/>
        <w:richText/>
      </w:sdtPr>
      <w:sdtContent>
        <w:p>
          <w:pPr>
            <w:tabs>
              <w:tab w:val="center" w:pos="4819"/>
              <w:tab w:val="right" w:pos="9638"/>
            </w:tabs>
          </w:pPr>
        </w:p>
        <w:p>
          <w:pPr>
            <w:jc w:val="right"/>
            <w:rPr>
              <w:b/>
              <w:bCs/>
              <w:szCs w:val="24"/>
            </w:rPr>
          </w:pPr>
          <w:r>
            <w:rPr>
              <w:b/>
              <w:bCs/>
              <w:szCs w:val="24"/>
            </w:rPr>
            <w:t>Projektas</w:t>
          </w:r>
        </w:p>
        <w:p>
          <w:pPr>
            <w:jc w:val="right"/>
            <w:rPr>
              <w:b/>
              <w:bCs/>
              <w:szCs w:val="24"/>
            </w:rPr>
          </w:pPr>
        </w:p>
        <w:p>
          <w:pPr>
            <w:widowControl w:val="0"/>
            <w:shd w:val="clear" w:color="auto" w:fill="FFFFFF"/>
            <w:jc w:val="center"/>
            <w:rPr>
              <w:b/>
              <w:bCs/>
            </w:rPr>
          </w:pPr>
          <w:r>
            <w:rPr>
              <w:lang w:val="en-US"/>
            </w:rPr>
            <w:drawing>
              <wp:anchor distT="0" distB="0" distL="114300" distR="114300" simplePos="0" relativeHeight="251658240" behindDoc="0" locked="0" layoutInCell="1" allowOverlap="1" wp14:anchorId="2EB501AC" wp14:editId="7D5312AF">
                <wp:simplePos x="0" y="0"/>
                <wp:positionH relativeFrom="column">
                  <wp:posOffset>0</wp:posOffset>
                </wp:positionH>
                <wp:positionV relativeFrom="paragraph">
                  <wp:posOffset>0</wp:posOffset>
                </wp:positionV>
                <wp:extent cx="9525" cy="9525"/>
                <wp:effectExtent l="0" t="0" r="0" b="0"/>
                <wp:wrapNone/>
                <wp:docPr id="1406829320"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b/>
              <w:bCs/>
            </w:rPr>
            <w:t>LIETUVOS RESPUBLIKOS FINANSŲ MINISTRAS</w:t>
          </w:r>
        </w:p>
        <w:p>
          <w:pPr>
            <w:widowControl w:val="0"/>
            <w:shd w:val="clear" w:color="auto" w:fill="FFFFFF"/>
            <w:jc w:val="center"/>
            <w:rPr>
              <w:spacing w:val="60"/>
            </w:rPr>
          </w:pPr>
        </w:p>
        <w:p>
          <w:pPr>
            <w:tabs>
              <w:tab w:val="left" w:pos="426"/>
              <w:tab w:val="left" w:pos="567"/>
              <w:tab w:val="left" w:pos="851"/>
              <w:tab w:val="left" w:pos="993"/>
              <w:tab w:val="left" w:pos="1134"/>
            </w:tabs>
            <w:spacing w:line="276" w:lineRule="auto"/>
            <w:jc w:val="center"/>
            <w:rPr>
              <w:b/>
              <w:bCs/>
              <w:szCs w:val="22"/>
            </w:rPr>
          </w:pPr>
          <w:r>
            <w:rPr>
              <w:b/>
              <w:bCs/>
              <w:szCs w:val="22"/>
            </w:rPr>
            <w:t>ĮSAKYMAS</w:t>
          </w:r>
        </w:p>
        <w:p>
          <w:pPr>
            <w:widowControl w:val="0"/>
            <w:shd w:val="clear" w:color="auto" w:fill="FFFFFF"/>
            <w:jc w:val="center"/>
          </w:pPr>
          <w:r>
            <w:rPr>
              <w:b/>
              <w:bCs/>
            </w:rPr>
            <w:t xml:space="preserve">DĖL </w:t>
          </w:r>
          <w:r>
            <w:rPr>
              <w:b/>
              <w:szCs w:val="22"/>
            </w:rPr>
            <w:t xml:space="preserve">FINANSŲ MINISTRO 2008 M. SAUSIO 9 D. ĮSAKYMO NR. 1K-011 „DĖL </w:t>
          </w:r>
          <w:r>
            <w:rPr>
              <w:b/>
              <w:bCs/>
            </w:rPr>
            <w:t>VIEŠOJO SEKTORIAUS APSKAITOS IR FINANSINĖS ATSKAITOMYBĖS 5-OJO STANDARTO PATVIRTINIMO“ PAKEITIMO</w:t>
          </w:r>
        </w:p>
        <w:p>
          <w:pPr>
            <w:jc w:val="center"/>
          </w:pPr>
        </w:p>
        <w:p>
          <w:pPr>
            <w:widowControl w:val="0"/>
            <w:shd w:val="clear" w:color="auto" w:fill="FFFFFF"/>
            <w:jc w:val="center"/>
          </w:pPr>
          <w:r>
            <w:t xml:space="preserve">2024 m.                   d. Nr. </w:t>
          </w:r>
        </w:p>
        <w:p>
          <w:pPr>
            <w:widowControl w:val="0"/>
            <w:shd w:val="clear" w:color="auto" w:fill="FFFFFF"/>
            <w:jc w:val="center"/>
          </w:pPr>
          <w:r>
            <w:t>Vilnius</w:t>
          </w:r>
        </w:p>
        <w:p>
          <w:pPr>
            <w:jc w:val="both"/>
          </w:pPr>
        </w:p>
        <w:sdt>
          <w:sdtPr>
            <w:alias w:val="1 p."/>
            <w:tag w:val="part_c23283a345e4459a8f8cad7acaf36e47"/>
            <w:lock w:val="sdtLocked"/>
            <w:richText/>
          </w:sdtPr>
          <w:sdtContent>
            <w:p>
              <w:pPr>
                <w:widowControl w:val="0"/>
                <w:shd w:val="clear" w:color="auto" w:fill="FFFFFF"/>
                <w:ind w:firstLine="720"/>
                <w:jc w:val="both"/>
                <w:rPr>
                  <w:color w:val="000000"/>
                </w:rPr>
              </w:pPr>
              <w:sdt>
                <w:sdtPr>
                  <w:alias w:val="Numeris"/>
                  <w:tag w:val="nr_c23283a345e4459a8f8cad7acaf36e47"/>
                  <w:lock w:val="sdtLocked"/>
                  <w:richText/>
                </w:sdtPr>
                <w:sdtContent>
                  <w:r>
                    <w:rPr>
                      <w:color w:val="000000"/>
                    </w:rPr>
                    <w:t>1</w:t>
                  </w:r>
                </w:sdtContent>
              </w:sdt>
              <w:r>
                <w:rPr>
                  <w:color w:val="000000"/>
                </w:rPr>
                <w:t>.</w:t>
                <w:tab/>
                <w:t>P a k e i č i u Lietuvos Respublikos finansų ministro 2008 m. sausio 9 d. įsakymą Nr. 1K-011 „Dėl viešojo sektoriaus apskaitos ir finansinės atskaitomybės 5-ojo standarto patvirtinimo“ ir jį išdėstau nauja redakcija:</w:t>
              </w:r>
            </w:p>
            <w:sdt>
              <w:sdtPr>
                <w:alias w:val="citata"/>
                <w:tag w:val="part_93fd45cc8e87452ba5822289e576b81f"/>
                <w:lock w:val="sdtLocked"/>
                <w:richText/>
              </w:sdtPr>
              <w:sdtContent>
                <w:sdt>
                  <w:sdtPr>
                    <w:alias w:val="pagrindine"/>
                    <w:tag w:val="part_90761b8aca8b454594c89f6262323736"/>
                    <w:lock w:val="sdtLocked"/>
                    <w:richText/>
                  </w:sdtPr>
                  <w:sdtContent>
                    <w:p>
                      <w:pPr>
                        <w:widowControl w:val="0"/>
                        <w:shd w:val="clear" w:color="auto" w:fill="FFFFFF"/>
                        <w:jc w:val="center"/>
                        <w:rPr>
                          <w:color w:val="000000"/>
                          <w:szCs w:val="24"/>
                          <w:lang w:eastAsia="lt-LT"/>
                        </w:rPr>
                      </w:pPr>
                      <w:r>
                        <w:rPr>
                          <w:color w:val="000000"/>
                          <w:szCs w:val="24"/>
                          <w:lang w:eastAsia="lt-LT"/>
                        </w:rPr>
                        <w:t>„</w:t>
                      </w:r>
                      <w:r>
                        <w:rPr>
                          <w:b/>
                          <w:bCs/>
                          <w:color w:val="000000"/>
                          <w:szCs w:val="24"/>
                          <w:lang w:eastAsia="lt-LT"/>
                        </w:rPr>
                        <w:t>LIETUVOS RESPUBLIKOS FINANSŲ MINISTRAS</w:t>
                      </w:r>
                    </w:p>
                    <w:p>
                      <w:pPr>
                        <w:ind w:firstLine="709"/>
                        <w:jc w:val="center"/>
                        <w:rPr>
                          <w:color w:val="000000"/>
                          <w:szCs w:val="24"/>
                          <w:lang w:eastAsia="lt-LT"/>
                        </w:rPr>
                      </w:pPr>
                    </w:p>
                    <w:p>
                      <w:pPr>
                        <w:ind w:firstLine="709"/>
                        <w:jc w:val="center"/>
                        <w:rPr>
                          <w:color w:val="000000"/>
                          <w:szCs w:val="24"/>
                          <w:lang w:eastAsia="lt-LT"/>
                        </w:rPr>
                      </w:pPr>
                      <w:r>
                        <w:rPr>
                          <w:b/>
                          <w:bCs/>
                          <w:color w:val="000000"/>
                          <w:szCs w:val="24"/>
                          <w:lang w:eastAsia="lt-LT"/>
                        </w:rPr>
                        <w:t>ĮSAKYMAS</w:t>
                      </w:r>
                    </w:p>
                    <w:p>
                      <w:pPr>
                        <w:ind w:firstLine="709"/>
                        <w:jc w:val="center"/>
                        <w:rPr>
                          <w:color w:val="000000"/>
                          <w:szCs w:val="24"/>
                          <w:lang w:eastAsia="lt-LT"/>
                        </w:rPr>
                      </w:pPr>
                      <w:r>
                        <w:rPr>
                          <w:b/>
                          <w:bCs/>
                          <w:color w:val="000000"/>
                          <w:szCs w:val="24"/>
                          <w:lang w:eastAsia="lt-LT"/>
                        </w:rPr>
                        <w:t>DĖL 5-OJO VIEŠOJO SEKTORIAUS APSKAITOS IR FINANSINĖS ATSKAITOMYBĖS STANDARTO PATVIRTINIMO</w:t>
                      </w:r>
                    </w:p>
                    <w:p>
                      <w:pPr>
                        <w:ind w:firstLine="833"/>
                        <w:jc w:val="center"/>
                        <w:rPr>
                          <w:color w:val="000000"/>
                          <w:szCs w:val="24"/>
                          <w:lang w:eastAsia="lt-LT"/>
                        </w:rPr>
                      </w:pPr>
                    </w:p>
                    <w:sdt>
                      <w:sdtPr>
                        <w:alias w:val="preambule"/>
                        <w:tag w:val="part_c7323994e6bb4ef1bd11a227a68de41c"/>
                        <w:lock w:val="sdtLocked"/>
                        <w:richText/>
                      </w:sdtPr>
                      <w:sdtContent>
                        <w:p>
                          <w:pPr>
                            <w:ind w:firstLine="709"/>
                            <w:jc w:val="both"/>
                            <w:rPr>
                              <w:color w:val="000000"/>
                              <w:szCs w:val="24"/>
                              <w:lang w:eastAsia="lt-LT"/>
                            </w:rPr>
                          </w:pPr>
                          <w:r>
                            <w:rPr>
                              <w:color w:val="000000"/>
                              <w:szCs w:val="24"/>
                              <w:lang w:eastAsia="lt-LT"/>
                            </w:rPr>
                            <w:t>Vadovaudamasis Lietuvos Respublikos finansinės apskaitos įstatymo 12 straipsnio 2 dalimi,</w:t>
                          </w:r>
                        </w:p>
                      </w:sdtContent>
                    </w:sdt>
                    <w:sdt>
                      <w:sdtPr>
                        <w:alias w:val="pastraipa"/>
                        <w:tag w:val="part_450f19fe233643289d17c39a4e1fd54e"/>
                        <w:lock w:val="sdtLocked"/>
                        <w:richText/>
                      </w:sdtPr>
                      <w:sdtContent>
                        <w:p>
                          <w:pPr>
                            <w:shd w:val="clear" w:color="auto" w:fill="FFFFFF"/>
                            <w:ind w:firstLine="709"/>
                            <w:jc w:val="both"/>
                            <w:rPr>
                              <w:color w:val="000000"/>
                              <w:szCs w:val="24"/>
                              <w:lang w:eastAsia="lt-LT"/>
                            </w:rPr>
                          </w:pPr>
                          <w:r>
                            <w:rPr>
                              <w:color w:val="000000"/>
                              <w:spacing w:val="60"/>
                              <w:szCs w:val="24"/>
                              <w:lang w:eastAsia="lt-LT"/>
                            </w:rPr>
                            <w:t>tvirtinu</w:t>
                          </w:r>
                          <w:r>
                            <w:rPr>
                              <w:shd w:val="clear" w:color="auto" w:fill="FFFFFF"/>
                            </w:rPr>
                            <w:t>5-ąjį viešojo sektoriaus apskaitos ir finansinės atskaitomybės standartą „Pinigų srautų ataskaita“ (pridedama)</w:t>
                          </w:r>
                          <w:r>
                            <w:rPr>
                              <w:color w:val="000000"/>
                              <w:szCs w:val="24"/>
                              <w:lang w:eastAsia="lt-LT"/>
                            </w:rPr>
                            <w:t>.“</w:t>
                          </w:r>
                        </w:p>
                      </w:sdtContent>
                    </w:sdt>
                  </w:sdtContent>
                </w:sdt>
              </w:sdtContent>
            </w:sdt>
          </w:sdtContent>
        </w:sdt>
        <w:sdt>
          <w:sdtPr>
            <w:alias w:val="2 p."/>
            <w:tag w:val="part_75d7537b06fb49ddb4d61f72b5dcd43c"/>
            <w:lock w:val="sdtLocked"/>
            <w:richText/>
          </w:sdtPr>
          <w:sdtContent>
            <w:p>
              <w:pPr>
                <w:ind w:firstLine="709"/>
                <w:jc w:val="both"/>
                <w:rPr>
                  <w:szCs w:val="24"/>
                  <w:lang w:eastAsia="lt-LT"/>
                </w:rPr>
              </w:pPr>
              <w:sdt>
                <w:sdtPr>
                  <w:alias w:val="Numeris"/>
                  <w:tag w:val="nr_75d7537b06fb49ddb4d61f72b5dcd43c"/>
                  <w:lock w:val="sdtLocked"/>
                  <w:richText/>
                </w:sdtPr>
                <w:sdtContent>
                  <w:r>
                    <w:rPr>
                      <w:color w:val="000000"/>
                      <w:szCs w:val="24"/>
                      <w:lang w:eastAsia="lt-LT"/>
                    </w:rPr>
                    <w:t>2</w:t>
                  </w:r>
                </w:sdtContent>
              </w:sdt>
              <w:r>
                <w:rPr>
                  <w:color w:val="000000"/>
                  <w:szCs w:val="24"/>
                  <w:lang w:eastAsia="lt-LT"/>
                </w:rPr>
                <w:t>. N u s t a t a u, kad šis įsakymas taikomas finansinių ataskaitų rinkiniams</w:t>
              </w:r>
              <w:r>
                <w:t xml:space="preserve"> ar pagal Lietuvos Respublikos viešojo sektoriaus atskaitomybės įstatymo 9 straipsnio 5 dalį rengiamiems fondų ataskaitų rinkiniams</w:t>
              </w:r>
              <w:r>
                <w:rPr>
                  <w:color w:val="000000"/>
                  <w:szCs w:val="24"/>
                  <w:lang w:eastAsia="lt-LT"/>
                </w:rPr>
                <w:t xml:space="preserve">, </w:t>
              </w:r>
              <w:r>
                <w:rPr>
                  <w:szCs w:val="24"/>
                  <w:lang w:eastAsia="lt-LT"/>
                </w:rPr>
                <w:t>rengiamiems už 2026 m. sausio 1 d. ir vėliau prasidedančius ataskaitinius laikotarpius.</w:t>
              </w:r>
            </w:p>
            <w:p>
              <w:pPr>
                <w:widowControl w:val="0"/>
                <w:shd w:val="clear" w:color="auto" w:fill="FFFFFF"/>
                <w:tabs>
                  <w:tab w:val="right" w:pos="9071"/>
                </w:tabs>
              </w:pPr>
            </w:p>
            <w:p>
              <w:pPr>
                <w:widowControl w:val="0"/>
                <w:shd w:val="clear" w:color="auto" w:fill="FFFFFF"/>
                <w:tabs>
                  <w:tab w:val="right" w:pos="9071"/>
                </w:tabs>
              </w:pPr>
            </w:p>
          </w:sdtContent>
        </w:sdt>
        <w:sdt>
          <w:sdtPr>
            <w:alias w:val="signatura"/>
            <w:tag w:val="part_8be5dabfca034b10ac803c448e386d47"/>
            <w:lock w:val="sdtLocked"/>
            <w:richText/>
          </w:sdtPr>
          <w:sdtContent>
            <w:p>
              <w:pPr>
                <w:widowControl w:val="0"/>
                <w:shd w:val="clear" w:color="auto" w:fill="FFFFFF"/>
                <w:tabs>
                  <w:tab w:val="right" w:pos="9071"/>
                </w:tabs>
              </w:pPr>
              <w:r>
                <w:t>Finansų ministras</w:t>
              </w:r>
            </w:p>
            <w:p>
              <w:pPr>
                <w:keepLines/>
                <w:widowControl w:val="0"/>
                <w:suppressAutoHyphens/>
                <w:ind w:firstLine="5102"/>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tabs>
                  <w:tab w:val="center" w:pos="4819"/>
                  <w:tab w:val="right" w:pos="9638"/>
                </w:tabs>
              </w:pPr>
            </w:p>
          </w:sdtContent>
        </w:sdt>
      </w:sdtContent>
    </w:sdt>
    <w:sdt>
      <w:sdtPr>
        <w:alias w:val="patvirtinta"/>
        <w:tag w:val="part_12ddf376a3554821933190a41e2f4e45"/>
        <w:lock w:val="sdtLocked"/>
        <w:richText/>
      </w:sdtPr>
      <w:sdtContent>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Lietuvos Respublikos finansų ministro</w:t>
          </w:r>
        </w:p>
        <w:p>
          <w:pPr>
            <w:keepLines/>
            <w:widowControl w:val="0"/>
            <w:suppressAutoHyphens/>
            <w:ind w:firstLine="5102"/>
            <w:rPr>
              <w:color w:val="000000"/>
            </w:rPr>
          </w:pPr>
          <w:r>
            <w:rPr>
              <w:color w:val="000000"/>
            </w:rPr>
            <w:t>2008 m. sausio 9 d. įsakymu Nr. 1K-011</w:t>
          </w:r>
        </w:p>
        <w:p>
          <w:pPr>
            <w:keepLines/>
            <w:widowControl w:val="0"/>
            <w:suppressAutoHyphens/>
            <w:ind w:firstLine="5102"/>
            <w:rPr>
              <w:color w:val="000000"/>
            </w:rPr>
          </w:pPr>
          <w:r>
            <w:rPr>
              <w:color w:val="000000"/>
            </w:rPr>
            <w:t>(Lietuvos Respublikos finansų ministro</w:t>
          </w:r>
        </w:p>
        <w:p>
          <w:pPr>
            <w:keepLines/>
            <w:widowControl w:val="0"/>
            <w:suppressAutoHyphens/>
            <w:ind w:firstLine="5102"/>
            <w:rPr>
              <w:color w:val="000000"/>
            </w:rPr>
          </w:pPr>
          <w:r>
            <w:rPr>
              <w:color w:val="000000"/>
            </w:rPr>
            <w:t xml:space="preserve">2024 m.                 d. įsakymo Nr. 1K-       </w:t>
          </w:r>
        </w:p>
        <w:p>
          <w:pPr>
            <w:keepLines/>
            <w:widowControl w:val="0"/>
            <w:suppressAutoHyphens/>
            <w:ind w:firstLine="5102"/>
            <w:rPr>
              <w:color w:val="000000"/>
            </w:rPr>
          </w:pPr>
          <w:r>
            <w:rPr>
              <w:color w:val="000000"/>
            </w:rPr>
            <w:t>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12ddf376a3554821933190a41e2f4e45"/>
              <w:lock w:val="sdtLocked"/>
              <w:richText/>
            </w:sdtPr>
            <w:sdtContent>
              <w:r>
                <w:rPr>
                  <w:b/>
                  <w:bCs/>
                  <w:caps/>
                  <w:color w:val="000000"/>
                </w:rPr>
                <w:t>5-ASIS VIEŠOJO SEKTORIAUS APSKAITOS IR FINANSINĖS ATSKAITOMYBĖS STANDARTAS „PINIGŲ SRAUTŲ ATASKAITA“</w:t>
              </w:r>
            </w:sdtContent>
          </w:sdt>
        </w:p>
        <w:p>
          <w:pPr>
            <w:widowControl w:val="0"/>
            <w:suppressAutoHyphens/>
            <w:ind w:firstLine="567"/>
            <w:jc w:val="both"/>
            <w:rPr>
              <w:color w:val="000000"/>
            </w:rPr>
          </w:pPr>
        </w:p>
        <w:sdt>
          <w:sdtPr>
            <w:alias w:val="skyrius"/>
            <w:tag w:val="part_bae31d9e88a140bb96e2f761669b56be"/>
            <w:lock w:val="sdtLocked"/>
            <w:richText/>
          </w:sdtPr>
          <w:sdtContent>
            <w:p>
              <w:pPr>
                <w:keepLines/>
                <w:widowControl w:val="0"/>
                <w:suppressAutoHyphens/>
                <w:jc w:val="center"/>
                <w:rPr>
                  <w:b/>
                  <w:bCs/>
                  <w:caps/>
                  <w:color w:val="000000"/>
                </w:rPr>
              </w:pPr>
              <w:sdt>
                <w:sdtPr>
                  <w:alias w:val="Numeris"/>
                  <w:tag w:val="nr_bae31d9e88a140bb96e2f761669b56be"/>
                  <w:lock w:val="sdtLocked"/>
                  <w:richText/>
                </w:sdtPr>
                <w:sdtContent>
                  <w:r>
                    <w:rPr>
                      <w:b/>
                      <w:bCs/>
                      <w:caps/>
                      <w:color w:val="000000"/>
                    </w:rPr>
                    <w:t>I</w:t>
                  </w:r>
                </w:sdtContent>
              </w:sdt>
              <w:r>
                <w:rPr>
                  <w:b/>
                  <w:bCs/>
                  <w:caps/>
                  <w:color w:val="000000"/>
                </w:rPr>
                <w:t xml:space="preserve"> SKYRIUS</w:t>
              </w:r>
            </w:p>
            <w:p>
              <w:pPr>
                <w:keepLines/>
                <w:widowControl w:val="0"/>
                <w:suppressAutoHyphens/>
                <w:jc w:val="center"/>
                <w:rPr>
                  <w:b/>
                  <w:bCs/>
                  <w:caps/>
                  <w:color w:val="000000"/>
                </w:rPr>
              </w:pPr>
              <w:sdt>
                <w:sdtPr>
                  <w:alias w:val="Pavadinimas"/>
                  <w:tag w:val="title_bae31d9e88a140bb96e2f761669b56be"/>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0d5002b235ed4758948b1a7384eea57d"/>
                <w:lock w:val="sdtLocked"/>
                <w:richText/>
              </w:sdtPr>
              <w:sdtContent>
                <w:p>
                  <w:pPr>
                    <w:widowControl w:val="0"/>
                    <w:tabs>
                      <w:tab w:val="left" w:pos="851"/>
                      <w:tab w:val="left" w:pos="1134"/>
                    </w:tabs>
                    <w:suppressAutoHyphens/>
                    <w:ind w:firstLine="567"/>
                    <w:jc w:val="both"/>
                    <w:rPr>
                      <w:color w:val="000000"/>
                      <w:spacing w:val="-1"/>
                    </w:rPr>
                  </w:pPr>
                  <w:sdt>
                    <w:sdtPr>
                      <w:alias w:val="Numeris"/>
                      <w:tag w:val="nr_0d5002b235ed4758948b1a7384eea57d"/>
                      <w:lock w:val="sdtLocked"/>
                      <w:richText/>
                    </w:sdtPr>
                    <w:sdtContent>
                      <w:r>
                        <w:rPr>
                          <w:color w:val="000000"/>
                          <w:spacing w:val="-1"/>
                        </w:rPr>
                        <w:t>1</w:t>
                      </w:r>
                    </w:sdtContent>
                  </w:sdt>
                  <w:r>
                    <w:rPr>
                      <w:color w:val="000000"/>
                      <w:spacing w:val="-1"/>
                    </w:rPr>
                    <w:t>.</w:t>
                    <w:tab/>
                    <w:t>5-ajame viešojo sektoriaus apskaitos ir finansinės atskaitomybės standarte „Pinigų srautų ataskaita“ (toliau – Standartas) nustatoma pinigų srautų ataskaitos (toliau – ataskaita) sudarymo, pinigų srautų grupavimo į pagrindinės, investicinės ir finansinės veiklos pinigų srautus tvarka ir ataskaitos formos.</w:t>
                  </w:r>
                </w:p>
              </w:sdtContent>
            </w:sdt>
            <w:sdt>
              <w:sdtPr>
                <w:alias w:val="2 p."/>
                <w:tag w:val="part_4896563655144266bac093c7ef3d80e6"/>
                <w:lock w:val="sdtLocked"/>
                <w:richText/>
              </w:sdtPr>
              <w:sdtContent>
                <w:p>
                  <w:pPr>
                    <w:widowControl w:val="0"/>
                    <w:tabs>
                      <w:tab w:val="left" w:pos="851"/>
                      <w:tab w:val="left" w:pos="1134"/>
                    </w:tabs>
                    <w:suppressAutoHyphens/>
                    <w:ind w:firstLine="567"/>
                    <w:jc w:val="both"/>
                    <w:rPr>
                      <w:color w:val="000000"/>
                    </w:rPr>
                  </w:pPr>
                  <w:sdt>
                    <w:sdtPr>
                      <w:alias w:val="Numeris"/>
                      <w:tag w:val="nr_4896563655144266bac093c7ef3d80e6"/>
                      <w:lock w:val="sdtLocked"/>
                      <w:richText/>
                    </w:sdtPr>
                    <w:sdtContent>
                      <w:r>
                        <w:rPr>
                          <w:color w:val="000000"/>
                        </w:rPr>
                        <w:t>2</w:t>
                      </w:r>
                    </w:sdtContent>
                  </w:sdt>
                  <w:r>
                    <w:rPr>
                      <w:color w:val="000000"/>
                    </w:rPr>
                    <w:t>.</w:t>
                    <w:tab/>
                  </w:r>
                  <w:r>
                    <w:t xml:space="preserve">Standartu vadovaujamasi rengiant viešojo sektoriaus subjekto finansinių ataskaitų rinkinį, viešojo sektoriaus subjektų grupės finansinių ataskaitų rinkinį bei išteklių fondo, mokesčių fondo ir fondų fondo (toliau kartu – fondai) ataskaitų rinkinį, rengiamą pagal Lietuvos Respublikos viešojo sektoriaus atskaitomybės įstatymo 9 straipsnio 5 dalį, (toliau – fondo ataskaitų rinkinys). Standartas rengiant fondų finansinių ataskaitų rinkinį ar fondo ataskaitų rinkinį taikomas tiek, kiek nurodyta šiuose viešojo sektoriaus apskaitos ir finansinės atskaitomybės standartuose (toliau – VSAFAS): 26-ajame viešojo sektoriaus apskaitos ir finansinės atskaitomybės standarte „Fondų apskaita ir finansinių ataskaitų rinkinys“, patvirtintame Lietuvos Respublikos finansų ministro 2007 m. gruodžio 7 d. įsakymu Nr. 1K-357 „Dėl 26-ojo viešojo sektoriaus apskaitos ir finansinės atskaitomybės standarto patvirtinimo“, 29-ajame viešojo sektoriaus apskaitos ir finansinės atskaitomybės standarte „Pensijų anuitetų fondo apskaita ir ataskaitų rinkinys“, patvirtintame Lietuvos Respublikos finansų ministro 2020 m. gruodžio 8 d. įsakymu Nr. 1K-423 „Dėl viešojo sektoriaus apskaitos ir finansinės atskaitomybės 29-ojo standarto patvirtinimo“, ir 32-ajame viešojo sektoriaus apskaitos ir finansinės atskaitomybės standarte „Valstybės socialinių fondų ataskaitų rinkiniai“, patvirtintame Lietuvos Respublikos finansų ministro 202... m. ......... d. įsakymu Nr. 1K- ... „Dėl 32-ojo viešojo sektoriaus apskaitos ir finansinės atskaitomybės standarto patvirtinimo“. </w:t>
                  </w:r>
                </w:p>
              </w:sdtContent>
            </w:sdt>
            <w:sdt>
              <w:sdtPr>
                <w:alias w:val="3 p."/>
                <w:tag w:val="part_ec5c98dc3c61467caf014d9f4a1206b6"/>
                <w:lock w:val="sdtLocked"/>
                <w:richText/>
              </w:sdtPr>
              <w:sdtContent>
                <w:p>
                  <w:pPr>
                    <w:widowControl w:val="0"/>
                    <w:tabs>
                      <w:tab w:val="left" w:pos="851"/>
                      <w:tab w:val="left" w:pos="1134"/>
                    </w:tabs>
                    <w:suppressAutoHyphens/>
                    <w:ind w:firstLine="567"/>
                    <w:jc w:val="both"/>
                    <w:rPr>
                      <w:color w:val="000000"/>
                    </w:rPr>
                  </w:pPr>
                  <w:sdt>
                    <w:sdtPr>
                      <w:alias w:val="Numeris"/>
                      <w:tag w:val="nr_ec5c98dc3c61467caf014d9f4a1206b6"/>
                      <w:lock w:val="sdtLocked"/>
                      <w:richText/>
                    </w:sdtPr>
                    <w:sdtContent>
                      <w:r>
                        <w:rPr>
                          <w:color w:val="000000"/>
                        </w:rPr>
                        <w:t>3</w:t>
                      </w:r>
                    </w:sdtContent>
                  </w:sdt>
                  <w:r>
                    <w:rPr>
                      <w:color w:val="000000"/>
                    </w:rPr>
                    <w:t>.</w:t>
                    <w:tab/>
                  </w:r>
                  <w:r>
                    <w:rPr>
                      <w:szCs w:val="24"/>
                    </w:rPr>
                    <w:t xml:space="preserve">Kai </w:t>
                  </w:r>
                  <w:r>
                    <w:t xml:space="preserve">fondų </w:t>
                  </w:r>
                  <w:r>
                    <w:rPr>
                      <w:szCs w:val="24"/>
                    </w:rPr>
                    <w:t xml:space="preserve">finansinės ataskaitos įtraukiamos į viešojo sektoriaus subjektų grupės finansines ataskaitas, rengiant </w:t>
                  </w:r>
                  <w:r>
                    <w:rPr>
                      <w:color w:val="000000"/>
                      <w:szCs w:val="24"/>
                    </w:rPr>
                    <w:t>grupės finansinių ataskaitų rinkinį ar fondo ataskaitų rinkinį taikomas Standartas, jei kituose VSAFAS dėl informacijos pateikimo finansinėse ataskaitose nenurodyta kitaip.</w:t>
                  </w:r>
                </w:p>
              </w:sdtContent>
            </w:sdt>
            <w:sdt>
              <w:sdtPr>
                <w:alias w:val="4 p."/>
                <w:tag w:val="part_6c09664bd9da4d0cb010f3e9fce3d3f6"/>
                <w:lock w:val="sdtLocked"/>
                <w:richText/>
              </w:sdtPr>
              <w:sdtContent>
                <w:p>
                  <w:pPr>
                    <w:tabs>
                      <w:tab w:val="left" w:pos="851"/>
                      <w:tab w:val="left" w:pos="1134"/>
                    </w:tabs>
                    <w:ind w:firstLine="567"/>
                  </w:pPr>
                  <w:sdt>
                    <w:sdtPr>
                      <w:alias w:val="Numeris"/>
                      <w:tag w:val="nr_6c09664bd9da4d0cb010f3e9fce3d3f6"/>
                      <w:lock w:val="sdtLocked"/>
                      <w:richText/>
                    </w:sdtPr>
                    <w:sdtContent>
                      <w:r>
                        <w:t>4</w:t>
                      </w:r>
                    </w:sdtContent>
                  </w:sdt>
                  <w:r>
                    <w:t>.</w:t>
                    <w:tab/>
                    <w:t>Standarte vartojamos sąvokos:</w:t>
                  </w:r>
                </w:p>
                <w:sdt>
                  <w:sdtPr>
                    <w:alias w:val="4.1 pp."/>
                    <w:tag w:val="part_e89f026f1b5949d284a7541e874d71a4"/>
                    <w:lock w:val="sdtLocked"/>
                    <w:richText/>
                  </w:sdtPr>
                  <w:sdtContent>
                    <w:p>
                      <w:pPr>
                        <w:widowControl w:val="0"/>
                        <w:tabs>
                          <w:tab w:val="left" w:pos="851"/>
                          <w:tab w:val="left" w:pos="1134"/>
                        </w:tabs>
                        <w:suppressAutoHyphens/>
                        <w:ind w:firstLine="567"/>
                        <w:jc w:val="both"/>
                        <w:rPr>
                          <w:color w:val="000000"/>
                        </w:rPr>
                      </w:pPr>
                      <w:sdt>
                        <w:sdtPr>
                          <w:alias w:val="Numeris"/>
                          <w:tag w:val="nr_e89f026f1b5949d284a7541e874d71a4"/>
                          <w:lock w:val="sdtLocked"/>
                          <w:richText/>
                        </w:sdtPr>
                        <w:sdtContent>
                          <w:r>
                            <w:rPr>
                              <w:color w:val="000000"/>
                            </w:rPr>
                            <w:t>4.1</w:t>
                          </w:r>
                        </w:sdtContent>
                      </w:sdt>
                      <w:r>
                        <w:rPr>
                          <w:color w:val="000000"/>
                        </w:rPr>
                        <w:t>.</w:t>
                        <w:tab/>
                      </w:r>
                      <w:r>
                        <w:rPr>
                          <w:b/>
                          <w:bCs/>
                          <w:color w:val="000000"/>
                          <w:spacing w:val="-4"/>
                        </w:rPr>
                        <w:t>Finansinės viešojo sektoriaus subjekto veiklos pinigų srautai</w:t>
                      </w:r>
                      <w:r>
                        <w:rPr>
                          <w:color w:val="000000"/>
                          <w:spacing w:val="-4"/>
                        </w:rPr>
                        <w:t xml:space="preserve"> (toliau – finansinės veiklos pinigų srautai) – viešojo sektoriaus subjekto pinigų srautai, susidarantys dėl viešojo sektoriaus subjekto grynojo turto pokyčių, finansavimo ilgalaikiam ir biologiniam turtui įsigyti ir paskolintų bei pasiskolintų sumų pokyčių.</w:t>
                      </w:r>
                    </w:p>
                  </w:sdtContent>
                </w:sdt>
                <w:sdt>
                  <w:sdtPr>
                    <w:alias w:val="4.2 pp."/>
                    <w:tag w:val="part_93b4197fb560431095cb246374a123db"/>
                    <w:lock w:val="sdtLocked"/>
                    <w:richText/>
                  </w:sdtPr>
                  <w:sdtContent>
                    <w:p>
                      <w:pPr>
                        <w:widowControl w:val="0"/>
                        <w:tabs>
                          <w:tab w:val="left" w:pos="851"/>
                          <w:tab w:val="left" w:pos="1134"/>
                        </w:tabs>
                        <w:suppressAutoHyphens/>
                        <w:ind w:firstLine="567"/>
                        <w:jc w:val="both"/>
                        <w:rPr>
                          <w:color w:val="000000"/>
                        </w:rPr>
                      </w:pPr>
                      <w:sdt>
                        <w:sdtPr>
                          <w:alias w:val="Numeris"/>
                          <w:tag w:val="nr_93b4197fb560431095cb246374a123db"/>
                          <w:lock w:val="sdtLocked"/>
                          <w:richText/>
                        </w:sdtPr>
                        <w:sdtContent>
                          <w:r>
                            <w:rPr>
                              <w:color w:val="000000"/>
                            </w:rPr>
                            <w:t>4.2</w:t>
                          </w:r>
                        </w:sdtContent>
                      </w:sdt>
                      <w:r>
                        <w:rPr>
                          <w:color w:val="000000"/>
                        </w:rPr>
                        <w:t>.</w:t>
                        <w:tab/>
                      </w:r>
                      <w:r>
                        <w:rPr>
                          <w:b/>
                          <w:bCs/>
                          <w:color w:val="000000"/>
                        </w:rPr>
                        <w:t>Investicinės viešojo sektoriaus subjekto veiklos pinigų srautai</w:t>
                      </w:r>
                      <w:r>
                        <w:rPr>
                          <w:color w:val="000000"/>
                        </w:rPr>
                        <w:t xml:space="preserve"> (toliau – investicinės veiklos pinigų srautai) – viešojo sektoriaus subjekto pinigų srautai, susidarantys, kai įsigyjamas ar perleidžiamas viešojo sektoriaus subjekto ilgalaikis materialusis, nematerialusis, finansinis, biologinis turtas ar prie atsargų priskirtas ilgalaikis materialusis turtas ir biologinis turtas, kurį priimtas sprendimas parduoti.</w:t>
                      </w:r>
                    </w:p>
                  </w:sdtContent>
                </w:sdt>
                <w:sdt>
                  <w:sdtPr>
                    <w:alias w:val="4.3 pp."/>
                    <w:tag w:val="part_7214b62e08f0441f8a483ab5e91a762e"/>
                    <w:lock w:val="sdtLocked"/>
                    <w:richText/>
                  </w:sdtPr>
                  <w:sdtContent>
                    <w:p>
                      <w:pPr>
                        <w:widowControl w:val="0"/>
                        <w:tabs>
                          <w:tab w:val="left" w:pos="851"/>
                          <w:tab w:val="left" w:pos="1134"/>
                        </w:tabs>
                        <w:suppressAutoHyphens/>
                        <w:ind w:firstLine="567"/>
                        <w:jc w:val="both"/>
                        <w:rPr>
                          <w:color w:val="000000"/>
                        </w:rPr>
                      </w:pPr>
                      <w:sdt>
                        <w:sdtPr>
                          <w:alias w:val="Numeris"/>
                          <w:tag w:val="nr_7214b62e08f0441f8a483ab5e91a762e"/>
                          <w:lock w:val="sdtLocked"/>
                          <w:richText/>
                        </w:sdtPr>
                        <w:sdtContent>
                          <w:r>
                            <w:rPr>
                              <w:color w:val="000000"/>
                            </w:rPr>
                            <w:t>4.3</w:t>
                          </w:r>
                        </w:sdtContent>
                      </w:sdt>
                      <w:r>
                        <w:rPr>
                          <w:color w:val="000000"/>
                        </w:rPr>
                        <w:t>.</w:t>
                        <w:tab/>
                      </w:r>
                      <w:r>
                        <w:rPr>
                          <w:b/>
                          <w:bCs/>
                          <w:color w:val="000000"/>
                        </w:rPr>
                        <w:t>Nerealizuotas valiutos kursų pokytis</w:t>
                      </w:r>
                      <w:r>
                        <w:rPr>
                          <w:color w:val="000000"/>
                        </w:rPr>
                        <w:t xml:space="preserve"> – valiutinių straipsnių likučių perkainojimo rezultatas paskutinę ataskaitinio laikotarpio dieną.</w:t>
                      </w:r>
                    </w:p>
                  </w:sdtContent>
                </w:sdt>
                <w:sdt>
                  <w:sdtPr>
                    <w:alias w:val="4.4 pp."/>
                    <w:tag w:val="part_7aefeabcb07a4334ad7215771cd2f134"/>
                    <w:lock w:val="sdtLocked"/>
                    <w:richText/>
                  </w:sdtPr>
                  <w:sdtContent>
                    <w:p>
                      <w:pPr>
                        <w:widowControl w:val="0"/>
                        <w:tabs>
                          <w:tab w:val="left" w:pos="851"/>
                          <w:tab w:val="left" w:pos="1134"/>
                        </w:tabs>
                        <w:suppressAutoHyphens/>
                        <w:ind w:firstLine="567"/>
                        <w:jc w:val="both"/>
                        <w:rPr>
                          <w:color w:val="000000"/>
                        </w:rPr>
                      </w:pPr>
                      <w:sdt>
                        <w:sdtPr>
                          <w:alias w:val="Numeris"/>
                          <w:tag w:val="nr_7aefeabcb07a4334ad7215771cd2f134"/>
                          <w:lock w:val="sdtLocked"/>
                          <w:richText/>
                        </w:sdtPr>
                        <w:sdtContent>
                          <w:r>
                            <w:rPr>
                              <w:color w:val="000000"/>
                            </w:rPr>
                            <w:t>4.4</w:t>
                          </w:r>
                        </w:sdtContent>
                      </w:sdt>
                      <w:r>
                        <w:rPr>
                          <w:color w:val="000000"/>
                        </w:rPr>
                        <w:t>.</w:t>
                        <w:tab/>
                      </w:r>
                      <w:r>
                        <w:rPr>
                          <w:b/>
                          <w:bCs/>
                          <w:color w:val="000000"/>
                        </w:rPr>
                        <w:t>Pagrindinės viešojo sektoriaus subjekto veiklos pinigų srautai</w:t>
                      </w:r>
                      <w:r>
                        <w:rPr>
                          <w:color w:val="000000"/>
                        </w:rPr>
                        <w:t xml:space="preserve"> (toliau – pagrindinės veiklos pinigų srautai) – </w:t>
                      </w:r>
                      <w:r>
                        <w:rPr>
                          <w:szCs w:val="24"/>
                          <w:lang w:eastAsia="lt-LT"/>
                        </w:rPr>
                        <w:t>viešojo sektoriaus subjekto ataskaitinio laikotarpio pinigų ir pinigų ekvivalentų įplaukos ir išmokos, taip pat pinigų ir pinigų ekvivalentų išmokos iš valstybės, savivaldybės iždo sąskaitų viešojo sektoriaus subjektų vardu ir su jomis susijusios įplaukos</w:t>
                      </w:r>
                      <w:r>
                        <w:rPr>
                          <w:color w:val="000000"/>
                        </w:rPr>
                        <w:t>, gaunami iš viešojo sektoriaus subjekto veiklos, išskyrus finansinę ir investicinę veiklą.</w:t>
                      </w:r>
                    </w:p>
                  </w:sdtContent>
                </w:sdt>
                <w:sdt>
                  <w:sdtPr>
                    <w:alias w:val="4.5 pp."/>
                    <w:tag w:val="part_4f21b24b168547d3880fca6952426fbc"/>
                    <w:lock w:val="sdtLocked"/>
                    <w:richText/>
                  </w:sdtPr>
                  <w:sdtContent>
                    <w:p>
                      <w:pPr>
                        <w:widowControl w:val="0"/>
                        <w:tabs>
                          <w:tab w:val="left" w:pos="851"/>
                          <w:tab w:val="left" w:pos="1134"/>
                        </w:tabs>
                        <w:suppressAutoHyphens/>
                        <w:ind w:firstLine="567"/>
                        <w:jc w:val="both"/>
                        <w:rPr>
                          <w:color w:val="000000"/>
                        </w:rPr>
                      </w:pPr>
                      <w:sdt>
                        <w:sdtPr>
                          <w:alias w:val="Numeris"/>
                          <w:tag w:val="nr_4f21b24b168547d3880fca6952426fbc"/>
                          <w:lock w:val="sdtLocked"/>
                          <w:richText/>
                        </w:sdtPr>
                        <w:sdtContent>
                          <w:r>
                            <w:rPr>
                              <w:color w:val="000000"/>
                            </w:rPr>
                            <w:t>4.5</w:t>
                          </w:r>
                        </w:sdtContent>
                      </w:sdt>
                      <w:r>
                        <w:rPr>
                          <w:color w:val="000000"/>
                        </w:rPr>
                        <w:t>.</w:t>
                        <w:tab/>
                      </w:r>
                      <w:r>
                        <w:rPr>
                          <w:b/>
                          <w:bCs/>
                          <w:color w:val="000000"/>
                        </w:rPr>
                        <w:t>Realizuotas valiutos kursų pokytis</w:t>
                      </w:r>
                      <w:r>
                        <w:rPr>
                          <w:color w:val="000000"/>
                        </w:rPr>
                        <w:t xml:space="preserve"> – valiutinių ūkinių operacijų rezultatas, susidarantis dėl nevienodo valiutos kurso ūkinės operacijos registravimo ir atsiskaitymo dieną.</w:t>
                      </w:r>
                    </w:p>
                  </w:sdtContent>
                </w:sdt>
                <w:sdt>
                  <w:sdtPr>
                    <w:alias w:val="4.6 pp."/>
                    <w:tag w:val="part_67f0cb3a4ea948769bd567305cbd24ce"/>
                    <w:lock w:val="sdtLocked"/>
                    <w:richText/>
                  </w:sdtPr>
                  <w:sdtContent>
                    <w:p>
                      <w:pPr>
                        <w:widowControl w:val="0"/>
                        <w:tabs>
                          <w:tab w:val="left" w:pos="851"/>
                          <w:tab w:val="left" w:pos="1134"/>
                        </w:tabs>
                        <w:suppressAutoHyphens/>
                        <w:ind w:firstLine="567"/>
                        <w:jc w:val="both"/>
                        <w:rPr>
                          <w:color w:val="000000"/>
                        </w:rPr>
                      </w:pPr>
                      <w:sdt>
                        <w:sdtPr>
                          <w:alias w:val="Numeris"/>
                          <w:tag w:val="nr_67f0cb3a4ea948769bd567305cbd24ce"/>
                          <w:lock w:val="sdtLocked"/>
                          <w:richText/>
                        </w:sdtPr>
                        <w:sdtContent>
                          <w:r>
                            <w:rPr>
                              <w:color w:val="000000"/>
                            </w:rPr>
                            <w:t>4.6</w:t>
                          </w:r>
                        </w:sdtContent>
                      </w:sdt>
                      <w:r>
                        <w:rPr>
                          <w:color w:val="000000"/>
                        </w:rPr>
                        <w:t>.</w:t>
                        <w:tab/>
                      </w:r>
                      <w:r>
                        <w:rPr>
                          <w:b/>
                          <w:bCs/>
                          <w:color w:val="000000"/>
                        </w:rPr>
                        <w:t>Viešojo sektoriaus subjekto pervestos lėšos</w:t>
                      </w:r>
                      <w:r>
                        <w:rPr>
                          <w:color w:val="000000"/>
                        </w:rPr>
                        <w:t xml:space="preserve"> (toliau – pervestos lėšos) – lėšos, kurias viešojo sektoriaus subjektas surinko arba gavo ir pervedė kitiems viešojo sektoriaus subjektams ir kitiems subjektams.</w:t>
                      </w:r>
                    </w:p>
                  </w:sdtContent>
                </w:sdt>
                <w:sdt>
                  <w:sdtPr>
                    <w:alias w:val="4.7 pp."/>
                    <w:tag w:val="part_8320d7d74260497885c5c0f8543e1d7b"/>
                    <w:lock w:val="sdtLocked"/>
                    <w:richText/>
                  </w:sdtPr>
                  <w:sdtContent>
                    <w:p>
                      <w:pPr>
                        <w:widowControl w:val="0"/>
                        <w:tabs>
                          <w:tab w:val="left" w:pos="851"/>
                          <w:tab w:val="left" w:pos="1134"/>
                        </w:tabs>
                        <w:suppressAutoHyphens/>
                        <w:ind w:firstLine="567"/>
                        <w:jc w:val="both"/>
                        <w:rPr>
                          <w:color w:val="000000"/>
                        </w:rPr>
                      </w:pPr>
                      <w:sdt>
                        <w:sdtPr>
                          <w:alias w:val="Numeris"/>
                          <w:tag w:val="nr_8320d7d74260497885c5c0f8543e1d7b"/>
                          <w:lock w:val="sdtLocked"/>
                          <w:richText/>
                        </w:sdtPr>
                        <w:sdtContent>
                          <w:r>
                            <w:rPr>
                              <w:color w:val="000000"/>
                            </w:rPr>
                            <w:t>4.7</w:t>
                          </w:r>
                        </w:sdtContent>
                      </w:sdt>
                      <w:r>
                        <w:rPr>
                          <w:color w:val="000000"/>
                        </w:rPr>
                        <w:t>.</w:t>
                        <w:tab/>
                      </w:r>
                      <w:r>
                        <w:rPr>
                          <w:b/>
                          <w:szCs w:val="24"/>
                          <w:lang w:eastAsia="lt-LT"/>
                        </w:rPr>
                        <w:t>Viešojo sektoriaus subjekto pinigų srautai</w:t>
                      </w:r>
                      <w:r>
                        <w:rPr>
                          <w:szCs w:val="24"/>
                          <w:lang w:eastAsia="lt-LT"/>
                        </w:rPr>
                        <w:t xml:space="preserve"> (toliau – pinigų srautai) – viešojo sektoriaus subjekto ataskaitinio laikotarpio pinigų ir pinigų ekvivalentų įplaukos ir išmokos, taip pat pinigų ir pinigų ekvivalentų išmokos iš valstybės, savivaldybės iždo sąskaitų viešojo sektoriaus subjekto vardu ir su jomis susijusios įplaukos.</w:t>
                      </w:r>
                    </w:p>
                  </w:sdtContent>
                </w:sdt>
                <w:sdt>
                  <w:sdtPr>
                    <w:alias w:val="4.8 pp."/>
                    <w:tag w:val="part_c823864c553944e7a36cad22fbb98161"/>
                    <w:lock w:val="sdtLocked"/>
                    <w:richText/>
                  </w:sdtPr>
                  <w:sdtContent>
                    <w:p>
                      <w:pPr>
                        <w:tabs>
                          <w:tab w:val="left" w:pos="851"/>
                          <w:tab w:val="left" w:pos="1134"/>
                        </w:tabs>
                        <w:suppressAutoHyphens/>
                        <w:ind w:firstLine="567"/>
                        <w:jc w:val="both"/>
                        <w:rPr>
                          <w:color w:val="000000"/>
                        </w:rPr>
                      </w:pPr>
                      <w:sdt>
                        <w:sdtPr>
                          <w:alias w:val="Numeris"/>
                          <w:tag w:val="nr_c823864c553944e7a36cad22fbb98161"/>
                          <w:lock w:val="sdtLocked"/>
                          <w:richText/>
                        </w:sdtPr>
                        <w:sdtContent>
                          <w:r>
                            <w:rPr>
                              <w:color w:val="000000"/>
                            </w:rPr>
                            <w:t>4.8</w:t>
                          </w:r>
                        </w:sdtContent>
                      </w:sdt>
                      <w:r>
                        <w:rPr>
                          <w:color w:val="000000"/>
                        </w:rPr>
                        <w:t>.</w:t>
                        <w:tab/>
                      </w:r>
                      <w:r>
                        <w:rPr>
                          <w:color w:val="000000"/>
                          <w:szCs w:val="24"/>
                        </w:rPr>
                        <w:t xml:space="preserve">Kitos Standarte vartojamos sąvokos suprantamos taip, kaip jos apibrėžtos </w:t>
                      </w:r>
                      <w:r>
                        <w:t xml:space="preserve">Lietuvos Respublikos finansinės apskaitos įstatyme, </w:t>
                      </w:r>
                      <w:r>
                        <w:rPr>
                          <w:color w:val="000000"/>
                          <w:szCs w:val="24"/>
                        </w:rPr>
                        <w:t>Viešojo sektoriaus atskaitomybės įstatyme ir kituose VSAFAS.</w:t>
                      </w:r>
                      <w:r>
                        <w:t xml:space="preserve"> </w:t>
                      </w:r>
                    </w:p>
                    <w:p/>
                  </w:sdtContent>
                </w:sdt>
              </w:sdtContent>
            </w:sdt>
          </w:sdtContent>
        </w:sdt>
        <w:sdt>
          <w:sdtPr>
            <w:alias w:val="skyrius"/>
            <w:tag w:val="part_ffadec6bc4db4ea4b1fcc312b038c116"/>
            <w:lock w:val="sdtLocked"/>
            <w:richText/>
          </w:sdtPr>
          <w:sdtContent>
            <w:p>
              <w:pPr>
                <w:keepLines/>
                <w:widowControl w:val="0"/>
                <w:suppressAutoHyphens/>
                <w:jc w:val="center"/>
                <w:rPr>
                  <w:b/>
                  <w:bCs/>
                  <w:caps/>
                  <w:color w:val="000000"/>
                </w:rPr>
              </w:pPr>
              <w:sdt>
                <w:sdtPr>
                  <w:alias w:val="Numeris"/>
                  <w:tag w:val="nr_ffadec6bc4db4ea4b1fcc312b038c116"/>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ffadec6bc4db4ea4b1fcc312b038c116"/>
                  <w:lock w:val="sdtLocked"/>
                  <w:richText/>
                </w:sdtPr>
                <w:sdtContent>
                  <w:r>
                    <w:rPr>
                      <w:b/>
                      <w:bCs/>
                      <w:caps/>
                      <w:color w:val="000000"/>
                    </w:rPr>
                    <w:t>INFORMACIJOS PATEIKIMAS ATASKAITOJE IR GRUPAVIMAS</w:t>
                  </w:r>
                </w:sdtContent>
              </w:sdt>
            </w:p>
            <w:p>
              <w:pPr>
                <w:widowControl w:val="0"/>
                <w:suppressAutoHyphens/>
                <w:ind w:firstLine="567"/>
                <w:jc w:val="both"/>
                <w:rPr>
                  <w:color w:val="000000"/>
                </w:rPr>
              </w:pPr>
            </w:p>
            <w:sdt>
              <w:sdtPr>
                <w:alias w:val="5 p."/>
                <w:tag w:val="part_aa763b5cde604feabecf5e6e4a396a17"/>
                <w:lock w:val="sdtLocked"/>
                <w:richText/>
              </w:sdtPr>
              <w:sdtContent>
                <w:p>
                  <w:pPr>
                    <w:widowControl w:val="0"/>
                    <w:tabs>
                      <w:tab w:val="left" w:pos="851"/>
                      <w:tab w:val="left" w:pos="1134"/>
                    </w:tabs>
                    <w:suppressAutoHyphens/>
                    <w:ind w:firstLine="567"/>
                    <w:jc w:val="both"/>
                    <w:rPr>
                      <w:color w:val="000000"/>
                    </w:rPr>
                  </w:pPr>
                  <w:sdt>
                    <w:sdtPr>
                      <w:alias w:val="Numeris"/>
                      <w:tag w:val="nr_aa763b5cde604feabecf5e6e4a396a17"/>
                      <w:lock w:val="sdtLocked"/>
                      <w:richText/>
                    </w:sdtPr>
                    <w:sdtContent>
                      <w:r>
                        <w:rPr>
                          <w:color w:val="000000"/>
                        </w:rPr>
                        <w:t>5</w:t>
                      </w:r>
                    </w:sdtContent>
                  </w:sdt>
                  <w:r>
                    <w:rPr>
                      <w:color w:val="000000"/>
                    </w:rPr>
                    <w:t>.</w:t>
                    <w:tab/>
                    <w:t>Ataskaitinio laikotarpio pinigų srautai ataskaitoje grupuojami į pinigų srautus iš pagrindinės, investicinės ir finansinės veiklos.</w:t>
                  </w:r>
                </w:p>
              </w:sdtContent>
            </w:sdt>
            <w:sdt>
              <w:sdtPr>
                <w:alias w:val="6 p."/>
                <w:tag w:val="part_2d08adf8199e4466b97b8b1e61db6294"/>
                <w:lock w:val="sdtLocked"/>
                <w:richText/>
              </w:sdtPr>
              <w:sdtContent>
                <w:p>
                  <w:pPr>
                    <w:widowControl w:val="0"/>
                    <w:tabs>
                      <w:tab w:val="left" w:pos="851"/>
                      <w:tab w:val="left" w:pos="1134"/>
                    </w:tabs>
                    <w:suppressAutoHyphens/>
                    <w:ind w:firstLine="567"/>
                    <w:jc w:val="both"/>
                    <w:rPr>
                      <w:color w:val="000000"/>
                    </w:rPr>
                  </w:pPr>
                  <w:sdt>
                    <w:sdtPr>
                      <w:alias w:val="Numeris"/>
                      <w:tag w:val="nr_2d08adf8199e4466b97b8b1e61db6294"/>
                      <w:lock w:val="sdtLocked"/>
                      <w:richText/>
                    </w:sdtPr>
                    <w:sdtContent>
                      <w:r>
                        <w:rPr>
                          <w:color w:val="000000"/>
                        </w:rPr>
                        <w:t>6</w:t>
                      </w:r>
                    </w:sdtContent>
                  </w:sdt>
                  <w:r>
                    <w:rPr>
                      <w:color w:val="000000"/>
                    </w:rPr>
                    <w:t>.</w:t>
                    <w:tab/>
                    <w:t>Pinigų srautus į Standarto 5 punkte išvardytas grupes viešojo sektoriaus subjektas grupuoja atsižvelgdamas į Standarto reikalavimus ir savo veiklos pobūdį.</w:t>
                  </w:r>
                </w:p>
              </w:sdtContent>
            </w:sdt>
            <w:sdt>
              <w:sdtPr>
                <w:alias w:val="7 p."/>
                <w:tag w:val="part_3194ec2e525843368d54c6b5eebde0ce"/>
                <w:lock w:val="sdtLocked"/>
                <w:richText/>
              </w:sdtPr>
              <w:sdtContent>
                <w:p>
                  <w:pPr>
                    <w:widowControl w:val="0"/>
                    <w:tabs>
                      <w:tab w:val="left" w:pos="851"/>
                      <w:tab w:val="left" w:pos="1134"/>
                    </w:tabs>
                    <w:suppressAutoHyphens/>
                    <w:ind w:firstLine="567"/>
                    <w:jc w:val="both"/>
                    <w:rPr>
                      <w:color w:val="000000"/>
                    </w:rPr>
                  </w:pPr>
                  <w:sdt>
                    <w:sdtPr>
                      <w:alias w:val="Numeris"/>
                      <w:tag w:val="nr_3194ec2e525843368d54c6b5eebde0ce"/>
                      <w:lock w:val="sdtLocked"/>
                      <w:richText/>
                    </w:sdtPr>
                    <w:sdtContent>
                      <w:r>
                        <w:rPr>
                          <w:color w:val="000000"/>
                        </w:rPr>
                        <w:t>7</w:t>
                      </w:r>
                    </w:sdtContent>
                  </w:sdt>
                  <w:r>
                    <w:rPr>
                      <w:color w:val="000000"/>
                    </w:rPr>
                    <w:t>.</w:t>
                    <w:tab/>
                    <w:t>Pinigų srautų grupavimas pagal veiklą suteikia vartotojams informacijos, leidžiančios įvertinti tam tikros veiklos poveikį viešojo sektoriaus subjekto finansinei būklei, ir nurodo, kokią veiklą vykdant gaunami arba sunaudojami pinigai ir pinigų ekvivalentai.</w:t>
                  </w:r>
                </w:p>
              </w:sdtContent>
            </w:sdt>
            <w:sdt>
              <w:sdtPr>
                <w:alias w:val="8 p."/>
                <w:tag w:val="part_1ee7a3b463e34cb88902e089baa77423"/>
                <w:lock w:val="sdtLocked"/>
                <w:richText/>
              </w:sdtPr>
              <w:sdtContent>
                <w:p>
                  <w:pPr>
                    <w:widowControl w:val="0"/>
                    <w:tabs>
                      <w:tab w:val="left" w:pos="851"/>
                      <w:tab w:val="left" w:pos="1134"/>
                    </w:tabs>
                    <w:suppressAutoHyphens/>
                    <w:ind w:firstLine="567"/>
                    <w:jc w:val="both"/>
                    <w:rPr>
                      <w:color w:val="000000"/>
                    </w:rPr>
                  </w:pPr>
                  <w:sdt>
                    <w:sdtPr>
                      <w:alias w:val="Numeris"/>
                      <w:tag w:val="nr_1ee7a3b463e34cb88902e089baa77423"/>
                      <w:lock w:val="sdtLocked"/>
                      <w:richText/>
                    </w:sdtPr>
                    <w:sdtContent>
                      <w:r>
                        <w:rPr>
                          <w:color w:val="000000"/>
                        </w:rPr>
                        <w:t>8</w:t>
                      </w:r>
                    </w:sdtContent>
                  </w:sdt>
                  <w:r>
                    <w:rPr>
                      <w:color w:val="000000"/>
                    </w:rPr>
                    <w:t>.</w:t>
                    <w:tab/>
                    <w:t>Ta pati ūkinė operacija gali sukurti pinigų srautus, kurie gali būti grupuojami skirtingai.</w:t>
                  </w:r>
                </w:p>
              </w:sdtContent>
            </w:sdt>
            <w:sdt>
              <w:sdtPr>
                <w:alias w:val="9 p."/>
                <w:tag w:val="part_26ba1b18476845cd8dd5b618d8e2caf5"/>
                <w:lock w:val="sdtLocked"/>
                <w:richText/>
              </w:sdtPr>
              <w:sdtContent>
                <w:p>
                  <w:pPr>
                    <w:widowControl w:val="0"/>
                    <w:tabs>
                      <w:tab w:val="left" w:pos="851"/>
                      <w:tab w:val="left" w:pos="1134"/>
                    </w:tabs>
                    <w:suppressAutoHyphens/>
                    <w:ind w:firstLine="567"/>
                    <w:jc w:val="both"/>
                    <w:rPr>
                      <w:color w:val="000000"/>
                    </w:rPr>
                  </w:pPr>
                  <w:sdt>
                    <w:sdtPr>
                      <w:alias w:val="Numeris"/>
                      <w:tag w:val="nr_26ba1b18476845cd8dd5b618d8e2caf5"/>
                      <w:lock w:val="sdtLocked"/>
                      <w:richText/>
                    </w:sdtPr>
                    <w:sdtContent>
                      <w:r>
                        <w:rPr>
                          <w:color w:val="000000"/>
                        </w:rPr>
                        <w:t>9</w:t>
                      </w:r>
                    </w:sdtContent>
                  </w:sdt>
                  <w:r>
                    <w:rPr>
                      <w:color w:val="000000"/>
                    </w:rPr>
                    <w:t>.</w:t>
                    <w:tab/>
                    <w:t>Jeigu Standarte nenumatoma, kaip turi būti grupuojami iš konkrečios ūkinės operacijos atsirandantys pinigų srautai, viešojo sektoriaus subjektas vadovaujasi turinio viršenybės prieš formą principu ir savo finansinės apskaitos (toliau – apskaita) politika, pagal kurią pinigų srautų pateikimas turi būti pastovus, kad galima būtų palyginti skirtingų ataskaitinių laikotarpių duomenis.</w:t>
                  </w:r>
                </w:p>
              </w:sdtContent>
            </w:sdt>
            <w:sdt>
              <w:sdtPr>
                <w:alias w:val="10 p."/>
                <w:tag w:val="part_16145a26498b45318d607a259545e52b"/>
                <w:lock w:val="sdtLocked"/>
                <w:richText/>
              </w:sdtPr>
              <w:sdtContent>
                <w:p>
                  <w:pPr>
                    <w:widowControl w:val="0"/>
                    <w:tabs>
                      <w:tab w:val="left" w:pos="1134"/>
                    </w:tabs>
                    <w:suppressAutoHyphens/>
                    <w:ind w:firstLine="567"/>
                    <w:jc w:val="both"/>
                  </w:pPr>
                  <w:sdt>
                    <w:sdtPr>
                      <w:alias w:val="Numeris"/>
                      <w:tag w:val="nr_16145a26498b45318d607a259545e52b"/>
                      <w:lock w:val="sdtLocked"/>
                      <w:richText/>
                    </w:sdtPr>
                    <w:sdtContent>
                      <w:r>
                        <w:t>10</w:t>
                      </w:r>
                    </w:sdtContent>
                  </w:sdt>
                  <w:r>
                    <w:t>.</w:t>
                    <w:tab/>
                    <w:t xml:space="preserve">Ataskaitoje teikiama informacija pagal tai, kokio viešojo sektoriaus subjekto </w:t>
                  </w:r>
                  <w:r>
                    <w:rPr>
                      <w:color w:val="000000"/>
                    </w:rPr>
                    <w:t>ar viešojo sektoriaus subjektų grupės</w:t>
                  </w:r>
                  <w:r>
                    <w:t xml:space="preserve"> ir kurio lygio finansinių ataskaitų rinkinys yra rengiamas. Finansinių ataskaitų rinkinių lygiai nustatyti 1-ajame viešojo sektoriaus apskaitos ir finansinės atskaitomybės standarte „Informacijos pateikimas finansinių ataskaitų rinkinyje“, patvirtintame Lietuvos Respublikos finansų ministro 2007 m. gruodžio 28 d. įsakymu Nr. 1K-388 „Dėl viešojo sektoriaus apskaitos ir finansinės atskaitomybės 1-ojo standarto patvirtinimo“.</w:t>
                  </w:r>
                </w:p>
              </w:sdtContent>
            </w:sdt>
            <w:sdt>
              <w:sdtPr>
                <w:alias w:val="11 p."/>
                <w:tag w:val="part_17c30e07ca5844caab8ae32e477836e4"/>
                <w:lock w:val="sdtLocked"/>
                <w:richText/>
              </w:sdtPr>
              <w:sdtContent>
                <w:p>
                  <w:pPr>
                    <w:widowControl w:val="0"/>
                    <w:tabs>
                      <w:tab w:val="left" w:pos="851"/>
                      <w:tab w:val="left" w:pos="1134"/>
                    </w:tabs>
                    <w:suppressAutoHyphens/>
                    <w:ind w:firstLine="567"/>
                    <w:jc w:val="both"/>
                    <w:rPr>
                      <w:color w:val="000000"/>
                    </w:rPr>
                  </w:pPr>
                  <w:sdt>
                    <w:sdtPr>
                      <w:alias w:val="Numeris"/>
                      <w:tag w:val="nr_17c30e07ca5844caab8ae32e477836e4"/>
                      <w:lock w:val="sdtLocked"/>
                      <w:richText/>
                    </w:sdtPr>
                    <w:sdtContent>
                      <w:r>
                        <w:rPr>
                          <w:color w:val="000000"/>
                        </w:rPr>
                        <w:t>11</w:t>
                      </w:r>
                    </w:sdtContent>
                  </w:sdt>
                  <w:r>
                    <w:rPr>
                      <w:color w:val="000000"/>
                    </w:rPr>
                    <w:t>.</w:t>
                    <w:tab/>
                    <w:t>Ataskaitoje informacija teikiama:</w:t>
                  </w:r>
                </w:p>
                <w:sdt>
                  <w:sdtPr>
                    <w:alias w:val="11.1 pp."/>
                    <w:tag w:val="part_ed507676202e4936a427304739447cf3"/>
                    <w:lock w:val="sdtLocked"/>
                    <w:richText/>
                  </w:sdtPr>
                  <w:sdtContent>
                    <w:p>
                      <w:pPr>
                        <w:widowControl w:val="0"/>
                        <w:tabs>
                          <w:tab w:val="left" w:pos="851"/>
                          <w:tab w:val="left" w:pos="1134"/>
                        </w:tabs>
                        <w:suppressAutoHyphens/>
                        <w:ind w:firstLine="567"/>
                        <w:jc w:val="both"/>
                      </w:pPr>
                      <w:sdt>
                        <w:sdtPr>
                          <w:alias w:val="Numeris"/>
                          <w:tag w:val="nr_ed507676202e4936a427304739447cf3"/>
                          <w:lock w:val="sdtLocked"/>
                          <w:richText/>
                        </w:sdtPr>
                        <w:sdtContent>
                          <w:r>
                            <w:t>11.1</w:t>
                          </w:r>
                        </w:sdtContent>
                      </w:sdt>
                      <w:r>
                        <w:t>.</w:t>
                        <w:tab/>
                        <w:t>viešojo sektoriaus subjekto, išskyrus fondus, finansinių ataskaitų rinkinyje – pagal Standarto 1 priede nustatytą formą;</w:t>
                      </w:r>
                    </w:p>
                  </w:sdtContent>
                </w:sdt>
                <w:sdt>
                  <w:sdtPr>
                    <w:alias w:val="11.2 pp."/>
                    <w:tag w:val="part_ff4f29b026bf41be89ce22037e847abe"/>
                    <w:lock w:val="sdtLocked"/>
                    <w:richText/>
                  </w:sdtPr>
                  <w:sdtContent>
                    <w:p>
                      <w:pPr>
                        <w:widowControl w:val="0"/>
                        <w:tabs>
                          <w:tab w:val="left" w:pos="851"/>
                          <w:tab w:val="left" w:pos="1134"/>
                        </w:tabs>
                        <w:suppressAutoHyphens/>
                        <w:ind w:firstLine="567"/>
                        <w:jc w:val="both"/>
                      </w:pPr>
                      <w:sdt>
                        <w:sdtPr>
                          <w:alias w:val="Numeris"/>
                          <w:tag w:val="nr_ff4f29b026bf41be89ce22037e847abe"/>
                          <w:lock w:val="sdtLocked"/>
                          <w:richText/>
                        </w:sdtPr>
                        <w:sdtContent>
                          <w:r>
                            <w:t>11.2</w:t>
                          </w:r>
                        </w:sdtContent>
                      </w:sdt>
                      <w:r>
                        <w:t>.</w:t>
                        <w:tab/>
                        <w:t>viešojo sektoriaus subjektų grupės žemesniojo lygio finansinių ataskaitų rinkinyje – pagal Standarto 2 priede nustatytą formą;</w:t>
                      </w:r>
                    </w:p>
                  </w:sdtContent>
                </w:sdt>
                <w:sdt>
                  <w:sdtPr>
                    <w:alias w:val="11.3 pp."/>
                    <w:tag w:val="part_f17e9afe13964403887eb0588430498c"/>
                    <w:lock w:val="sdtLocked"/>
                    <w:richText/>
                  </w:sdtPr>
                  <w:sdtContent>
                    <w:p>
                      <w:pPr>
                        <w:widowControl w:val="0"/>
                        <w:tabs>
                          <w:tab w:val="left" w:pos="851"/>
                          <w:tab w:val="left" w:pos="1134"/>
                        </w:tabs>
                        <w:suppressAutoHyphens/>
                        <w:ind w:firstLine="567"/>
                        <w:jc w:val="both"/>
                      </w:pPr>
                      <w:sdt>
                        <w:sdtPr>
                          <w:alias w:val="Numeris"/>
                          <w:tag w:val="nr_f17e9afe13964403887eb0588430498c"/>
                          <w:lock w:val="sdtLocked"/>
                          <w:richText/>
                        </w:sdtPr>
                        <w:sdtContent>
                          <w:r>
                            <w:t>11.3</w:t>
                          </w:r>
                        </w:sdtContent>
                      </w:sdt>
                      <w:r>
                        <w:t>.</w:t>
                        <w:tab/>
                        <w:t>valstybės metinių finansinių ataskaitų rinkinyje – pagal Standarto 3 priede nustatytą formą;</w:t>
                      </w:r>
                    </w:p>
                  </w:sdtContent>
                </w:sdt>
                <w:sdt>
                  <w:sdtPr>
                    <w:alias w:val="11.4 pp."/>
                    <w:tag w:val="part_5626d3de011f487580d83e9552cf8890"/>
                    <w:lock w:val="sdtLocked"/>
                    <w:richText/>
                  </w:sdtPr>
                  <w:sdtContent>
                    <w:p>
                      <w:pPr>
                        <w:widowControl w:val="0"/>
                        <w:tabs>
                          <w:tab w:val="left" w:pos="851"/>
                          <w:tab w:val="left" w:pos="1134"/>
                        </w:tabs>
                        <w:suppressAutoHyphens/>
                        <w:ind w:firstLine="567"/>
                        <w:jc w:val="both"/>
                      </w:pPr>
                      <w:sdt>
                        <w:sdtPr>
                          <w:alias w:val="Numeris"/>
                          <w:tag w:val="nr_5626d3de011f487580d83e9552cf8890"/>
                          <w:lock w:val="sdtLocked"/>
                          <w:richText/>
                        </w:sdtPr>
                        <w:sdtContent>
                          <w:r>
                            <w:t>11.4</w:t>
                          </w:r>
                        </w:sdtContent>
                      </w:sdt>
                      <w:r>
                        <w:t>.</w:t>
                        <w:tab/>
                        <w:t>savivaldybės metinių finansinių ataskaitų rinkinyje – pagal Standarto 4 priede nustatytą formą;</w:t>
                      </w:r>
                    </w:p>
                  </w:sdtContent>
                </w:sdt>
                <w:sdt>
                  <w:sdtPr>
                    <w:alias w:val="11.5 pp."/>
                    <w:tag w:val="part_fb5e5e29a9be46b9bdaa6b0057dddecc"/>
                    <w:lock w:val="sdtLocked"/>
                    <w:richText/>
                  </w:sdtPr>
                  <w:sdtContent>
                    <w:p>
                      <w:pPr>
                        <w:widowControl w:val="0"/>
                        <w:tabs>
                          <w:tab w:val="left" w:pos="851"/>
                          <w:tab w:val="left" w:pos="1134"/>
                        </w:tabs>
                        <w:suppressAutoHyphens/>
                        <w:ind w:firstLine="567"/>
                        <w:jc w:val="both"/>
                      </w:pPr>
                      <w:sdt>
                        <w:sdtPr>
                          <w:alias w:val="Numeris"/>
                          <w:tag w:val="nr_fb5e5e29a9be46b9bdaa6b0057dddecc"/>
                          <w:lock w:val="sdtLocked"/>
                          <w:richText/>
                        </w:sdtPr>
                        <w:sdtContent>
                          <w:r>
                            <w:t>11.5</w:t>
                          </w:r>
                        </w:sdtContent>
                      </w:sdt>
                      <w:r>
                        <w:t>.</w:t>
                        <w:tab/>
                        <w:t xml:space="preserve">nacionaliniame metinių finansinių ataskaitų rinkinyje – pagal Standarto 5 priede nustatytą formą. </w:t>
                      </w:r>
                    </w:p>
                  </w:sdtContent>
                </w:sdt>
              </w:sdtContent>
            </w:sdt>
            <w:sdt>
              <w:sdtPr>
                <w:alias w:val="12 p."/>
                <w:tag w:val="part_a9362a0338b14dfd8188f8a929d5f72a"/>
                <w:lock w:val="sdtLocked"/>
                <w:richText/>
              </w:sdtPr>
              <w:sdtContent>
                <w:p>
                  <w:pPr>
                    <w:tabs>
                      <w:tab w:val="left" w:pos="851"/>
                      <w:tab w:val="left" w:pos="1134"/>
                      <w:tab w:val="left" w:pos="1276"/>
                    </w:tabs>
                    <w:suppressAutoHyphens/>
                    <w:ind w:firstLine="567"/>
                    <w:jc w:val="both"/>
                    <w:rPr>
                      <w:color w:val="000000"/>
                    </w:rPr>
                  </w:pPr>
                  <w:sdt>
                    <w:sdtPr>
                      <w:alias w:val="Numeris"/>
                      <w:tag w:val="nr_a9362a0338b14dfd8188f8a929d5f72a"/>
                      <w:lock w:val="sdtLocked"/>
                      <w:richText/>
                    </w:sdtPr>
                    <w:sdtContent>
                      <w:r>
                        <w:rPr>
                          <w:color w:val="000000"/>
                        </w:rPr>
                        <w:t>12</w:t>
                      </w:r>
                    </w:sdtContent>
                  </w:sdt>
                  <w:r>
                    <w:rPr>
                      <w:color w:val="000000"/>
                    </w:rPr>
                    <w:t>.</w:t>
                    <w:tab/>
                  </w:r>
                  <w:r>
                    <w:rPr>
                      <w:color w:val="000000"/>
                      <w:szCs w:val="24"/>
                      <w:lang w:eastAsia="lt-LT"/>
                    </w:rPr>
                    <w:t>Atsižvelgiant į tai, kad kai kurių viešojo sektoriaus subjektų mokėjimai atliekami naudojantis centralizuota mokėjimų sistema (viešojo sektoriaus subjekto įsiskolinimas paslaugų teikėjui apmokamas pateikus valstybės iždui paraišką apmokėti įsiskolinimą ar pan.) ar kitu centralizuotu būdu, prie viešojo sektoriaus subjektų pinigų srautų priskiriami ne tik tiesioginiai pinigų srautai gaunant ir išleidžiant pinigus (toliau – tiesioginiai pinigų srautai), bet ir netiesioginiai pinigų srautai − pinigų įplaukos ir išmokos, kurios viešojo sektoriaus subjekto vardu gaunamos ar daromos per centralizuotą mokėjimų sistemą ar kitu centralizuotu būdu, (toliau – netiesioginiai pinigų srautai). Tiesioginiai pinigų srautai ir netiesioginiai pinigų srautai gali susidaryti Standarto 16 punkte, 17.1 papunktyje, 20 punkte ir 24.3, 24.4 papunkčiuose nurodytais atvejais.</w:t>
                  </w:r>
                  <w:r>
                    <w:t xml:space="preserve"> </w:t>
                  </w:r>
                </w:p>
              </w:sdtContent>
            </w:sdt>
            <w:sdt>
              <w:sdtPr>
                <w:alias w:val="13 p."/>
                <w:tag w:val="part_597e7582403b4fd18188ddccf47c1c3b"/>
                <w:lock w:val="sdtLocked"/>
                <w:richText/>
              </w:sdtPr>
              <w:sdtContent>
                <w:p>
                  <w:pPr>
                    <w:widowControl w:val="0"/>
                    <w:tabs>
                      <w:tab w:val="left" w:pos="851"/>
                      <w:tab w:val="left" w:pos="1134"/>
                    </w:tabs>
                    <w:suppressAutoHyphens/>
                    <w:ind w:firstLine="567"/>
                    <w:jc w:val="both"/>
                    <w:rPr>
                      <w:color w:val="000000"/>
                    </w:rPr>
                  </w:pPr>
                  <w:sdt>
                    <w:sdtPr>
                      <w:alias w:val="Numeris"/>
                      <w:tag w:val="nr_597e7582403b4fd18188ddccf47c1c3b"/>
                      <w:lock w:val="sdtLocked"/>
                      <w:richText/>
                    </w:sdtPr>
                    <w:sdtContent>
                      <w:r>
                        <w:rPr>
                          <w:color w:val="000000"/>
                        </w:rPr>
                        <w:t>13</w:t>
                      </w:r>
                    </w:sdtContent>
                  </w:sdt>
                  <w:r>
                    <w:rPr>
                      <w:color w:val="000000"/>
                    </w:rPr>
                    <w:t>.</w:t>
                    <w:tab/>
                    <w:t>Atsižvelgiant į Standarto 12 punkto nuostatas, Standarto 1 ir 2 prieduose nustatytų formų ataskaitose pateikiama informacija apie tiesioginius pinigų srautus ir netiesioginius pinigų srautus. Viešojo sektoriaus subjektai, neturintys pinigų srautų, kurių mokėjimai atliekami per centralizuotą mokėjimų sistemą ar kitu centralizuotu būdu, Standarto 1 ir 2 prieduose nustatytų formų ataskaitų 5 ir 8 stulpelių nepildo.</w:t>
                  </w:r>
                </w:p>
                <w:p>
                  <w:pPr>
                    <w:widowControl w:val="0"/>
                    <w:suppressAutoHyphens/>
                    <w:ind w:firstLine="567"/>
                    <w:jc w:val="both"/>
                    <w:rPr>
                      <w:color w:val="000000"/>
                    </w:rPr>
                  </w:pPr>
                </w:p>
              </w:sdtContent>
            </w:sdt>
          </w:sdtContent>
        </w:sdt>
        <w:sdt>
          <w:sdtPr>
            <w:alias w:val="skyrius"/>
            <w:tag w:val="part_0ee925ab3332484ca340503c61f811d4"/>
            <w:lock w:val="sdtLocked"/>
            <w:richText/>
          </w:sdtPr>
          <w:sdtContent>
            <w:p>
              <w:pPr>
                <w:keepLines/>
                <w:widowControl w:val="0"/>
                <w:suppressAutoHyphens/>
                <w:jc w:val="center"/>
                <w:rPr>
                  <w:b/>
                  <w:bCs/>
                  <w:caps/>
                  <w:color w:val="000000"/>
                </w:rPr>
              </w:pPr>
              <w:sdt>
                <w:sdtPr>
                  <w:alias w:val="Numeris"/>
                  <w:tag w:val="nr_0ee925ab3332484ca340503c61f811d4"/>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0ee925ab3332484ca340503c61f811d4"/>
                  <w:lock w:val="sdtLocked"/>
                  <w:richText/>
                </w:sdtPr>
                <w:sdtContent>
                  <w:r>
                    <w:rPr>
                      <w:b/>
                      <w:bCs/>
                      <w:caps/>
                      <w:color w:val="000000"/>
                    </w:rPr>
                    <w:t>PAGRINDINĖ VEIKLA</w:t>
                  </w:r>
                </w:sdtContent>
              </w:sdt>
            </w:p>
            <w:p>
              <w:pPr>
                <w:widowControl w:val="0"/>
                <w:suppressAutoHyphens/>
                <w:ind w:firstLine="567"/>
                <w:jc w:val="both"/>
                <w:rPr>
                  <w:color w:val="000000"/>
                </w:rPr>
              </w:pPr>
            </w:p>
            <w:sdt>
              <w:sdtPr>
                <w:alias w:val="14 p."/>
                <w:tag w:val="part_1ca234a7614d47dbb4a050b782f7d5aa"/>
                <w:lock w:val="sdtLocked"/>
                <w:richText/>
              </w:sdtPr>
              <w:sdtContent>
                <w:p>
                  <w:pPr>
                    <w:widowControl w:val="0"/>
                    <w:tabs>
                      <w:tab w:val="left" w:pos="851"/>
                      <w:tab w:val="left" w:pos="1134"/>
                    </w:tabs>
                    <w:suppressAutoHyphens/>
                    <w:ind w:firstLine="567"/>
                    <w:jc w:val="both"/>
                    <w:rPr>
                      <w:color w:val="000000"/>
                    </w:rPr>
                  </w:pPr>
                  <w:sdt>
                    <w:sdtPr>
                      <w:alias w:val="Numeris"/>
                      <w:tag w:val="nr_1ca234a7614d47dbb4a050b782f7d5aa"/>
                      <w:lock w:val="sdtLocked"/>
                      <w:richText/>
                    </w:sdtPr>
                    <w:sdtContent>
                      <w:r>
                        <w:rPr>
                          <w:color w:val="000000"/>
                        </w:rPr>
                        <w:t>14</w:t>
                      </w:r>
                    </w:sdtContent>
                  </w:sdt>
                  <w:r>
                    <w:rPr>
                      <w:color w:val="000000"/>
                    </w:rPr>
                    <w:t>.</w:t>
                    <w:tab/>
                    <w:t xml:space="preserve">Pagrindinės veiklos pinigų srautai rodo, iš kokių viešojo sektoriaus subjekto ar viešojo sektoriaus grupę sudarančių subjektų pagrindinės veiklos sričių (dėl kokių vykdomų viešojo sektoriaus subjekto ar viešojo sektoriaus grupę sudarančių subjektų pagrindinės veiklos sričių), </w:t>
                  </w:r>
                  <w:r>
                    <w:t xml:space="preserve">išskyrus finansinę ir investicinę veiklą, </w:t>
                  </w:r>
                  <w:r>
                    <w:rPr>
                      <w:color w:val="000000"/>
                    </w:rPr>
                    <w:t>gaunamos pinigų įplaukos ir daromos išmokos.</w:t>
                  </w:r>
                </w:p>
              </w:sdtContent>
            </w:sdt>
            <w:sdt>
              <w:sdtPr>
                <w:alias w:val="15 p."/>
                <w:tag w:val="part_f9c0aaddfdf4401494846c40ffbca0d6"/>
                <w:lock w:val="sdtLocked"/>
                <w:richText/>
              </w:sdtPr>
              <w:sdtContent>
                <w:p>
                  <w:pPr>
                    <w:widowControl w:val="0"/>
                    <w:tabs>
                      <w:tab w:val="left" w:pos="851"/>
                      <w:tab w:val="left" w:pos="1134"/>
                    </w:tabs>
                    <w:ind w:firstLine="567"/>
                    <w:jc w:val="both"/>
                    <w:rPr>
                      <w:color w:val="000000"/>
                    </w:rPr>
                  </w:pPr>
                  <w:sdt>
                    <w:sdtPr>
                      <w:alias w:val="Numeris"/>
                      <w:tag w:val="nr_f9c0aaddfdf4401494846c40ffbca0d6"/>
                      <w:lock w:val="sdtLocked"/>
                      <w:richText/>
                    </w:sdtPr>
                    <w:sdtContent>
                      <w:r>
                        <w:rPr>
                          <w:color w:val="000000"/>
                        </w:rPr>
                        <w:t>15</w:t>
                      </w:r>
                    </w:sdtContent>
                  </w:sdt>
                  <w:r>
                    <w:rPr>
                      <w:color w:val="000000"/>
                    </w:rPr>
                    <w:t>.</w:t>
                    <w:tab/>
                  </w:r>
                  <w:r>
                    <w:rPr>
                      <w:spacing w:val="-4"/>
                    </w:rPr>
                    <w:t xml:space="preserve">Pagrindinės veiklos pinigų srautų visuma padeda įvertinti viešojo sektoriaus subjekto </w:t>
                  </w:r>
                  <w:r>
                    <w:rPr>
                      <w:color w:val="000000"/>
                    </w:rPr>
                    <w:t xml:space="preserve">ar viešojo sektoriaus grupę sudarančių subjektų </w:t>
                  </w:r>
                  <w:r>
                    <w:rPr>
                      <w:spacing w:val="-4"/>
                    </w:rPr>
                    <w:t>gebėjimą atlikti priskirtas viešąsias funkcijas ir įvykdyti prisiimtus įsipareigojimus. Valstybės ar savivaldybių pinigų srautai iš pagrindinės veiklos rodo, kokiu mastu valstybė ar savivaldybės finansavo savo veiklą iš mokesčių,</w:t>
                  </w:r>
                  <w:r>
                    <w:rPr>
                      <w:b/>
                      <w:bCs/>
                      <w:spacing w:val="-4"/>
                    </w:rPr>
                    <w:t xml:space="preserve"> </w:t>
                  </w:r>
                  <w:r>
                    <w:rPr>
                      <w:spacing w:val="-4"/>
                    </w:rPr>
                    <w:t>kitų pajamų ar</w:t>
                  </w:r>
                  <w:r>
                    <w:rPr>
                      <w:b/>
                      <w:bCs/>
                      <w:spacing w:val="-4"/>
                    </w:rPr>
                    <w:t xml:space="preserve"> </w:t>
                  </w:r>
                  <w:r>
                    <w:rPr>
                      <w:spacing w:val="-4"/>
                    </w:rPr>
                    <w:t>gautos finansinės paramos.</w:t>
                  </w:r>
                  <w:r>
                    <w:t xml:space="preserve"> </w:t>
                  </w:r>
                </w:p>
              </w:sdtContent>
            </w:sdt>
            <w:sdt>
              <w:sdtPr>
                <w:alias w:val="16 p."/>
                <w:tag w:val="part_7788a696bf324175a1258b67c9ff066e"/>
                <w:lock w:val="sdtLocked"/>
                <w:richText/>
              </w:sdtPr>
              <w:sdtContent>
                <w:p>
                  <w:pPr>
                    <w:widowControl w:val="0"/>
                    <w:tabs>
                      <w:tab w:val="left" w:pos="851"/>
                      <w:tab w:val="left" w:pos="1134"/>
                    </w:tabs>
                    <w:ind w:firstLine="567"/>
                    <w:jc w:val="both"/>
                    <w:rPr>
                      <w:color w:val="000000"/>
                      <w:spacing w:val="-2"/>
                    </w:rPr>
                  </w:pPr>
                  <w:sdt>
                    <w:sdtPr>
                      <w:alias w:val="Numeris"/>
                      <w:tag w:val="nr_7788a696bf324175a1258b67c9ff066e"/>
                      <w:lock w:val="sdtLocked"/>
                      <w:richText/>
                    </w:sdtPr>
                    <w:sdtContent>
                      <w:r>
                        <w:rPr>
                          <w:color w:val="000000"/>
                          <w:spacing w:val="-2"/>
                        </w:rPr>
                        <w:t>16</w:t>
                      </w:r>
                    </w:sdtContent>
                  </w:sdt>
                  <w:r>
                    <w:rPr>
                      <w:color w:val="000000"/>
                      <w:spacing w:val="-2"/>
                    </w:rPr>
                    <w:t>.</w:t>
                    <w:tab/>
                  </w:r>
                  <w:r>
                    <w:t xml:space="preserve">Viešojo sektoriaus subjekto pagrindinės veiklos pinigų srautai apskaičiuojami iš ataskaitos pagrindinės veiklos įplaukų atėmus pagrindinės veiklos pervestas lėšas ir išmokas. Rengiant viešojo sektoriaus subjektų grupės ataskaitą prie šios sumos pridedami ir Standarto 2–5 prieduose nustatytų formų ataskaitų straipsnyje „Valdžios sektoriui priskiriamų įmonių pagrindinės veiklos pinigų srautai“ nurodomi </w:t>
                  </w:r>
                  <w:r>
                    <w:rPr>
                      <w:rFonts w:eastAsia="Calibri"/>
                      <w:color w:val="000000"/>
                      <w:szCs w:val="22"/>
                    </w:rPr>
                    <w:t xml:space="preserve">valstybės kontroliuojamų pelno siekiančių subjektų ir (ar) savivaldybės kontroliuojamų pelno siekiančių subjektų (toliau kartu – pelno siekiantys subjektai) </w:t>
                  </w:r>
                  <w:r>
                    <w:t>pagrindinės veiklos pinigų srautai.</w:t>
                  </w:r>
                </w:p>
              </w:sdtContent>
            </w:sdt>
            <w:sdt>
              <w:sdtPr>
                <w:alias w:val="17 p."/>
                <w:tag w:val="part_381a8a42316e41449211beb201c83e87"/>
                <w:lock w:val="sdtLocked"/>
                <w:richText/>
              </w:sdtPr>
              <w:sdtContent>
                <w:p>
                  <w:pPr>
                    <w:widowControl w:val="0"/>
                    <w:tabs>
                      <w:tab w:val="left" w:pos="851"/>
                      <w:tab w:val="left" w:pos="1134"/>
                    </w:tabs>
                    <w:suppressAutoHyphens/>
                    <w:ind w:firstLine="567"/>
                    <w:jc w:val="both"/>
                    <w:rPr>
                      <w:color w:val="000000"/>
                    </w:rPr>
                  </w:pPr>
                  <w:sdt>
                    <w:sdtPr>
                      <w:alias w:val="Numeris"/>
                      <w:tag w:val="nr_381a8a42316e41449211beb201c83e87"/>
                      <w:lock w:val="sdtLocked"/>
                      <w:richText/>
                    </w:sdtPr>
                    <w:sdtContent>
                      <w:r>
                        <w:rPr>
                          <w:color w:val="000000"/>
                        </w:rPr>
                        <w:t>17</w:t>
                      </w:r>
                    </w:sdtContent>
                  </w:sdt>
                  <w:r>
                    <w:rPr>
                      <w:color w:val="000000"/>
                    </w:rPr>
                    <w:t>.</w:t>
                    <w:tab/>
                    <w:t>Ataskaitoje prie pagrindinės veiklos įplaukų priskiriamos šios įplaukos:</w:t>
                  </w:r>
                </w:p>
                <w:sdt>
                  <w:sdtPr>
                    <w:alias w:val="17.1 pp."/>
                    <w:tag w:val="part_3f6aa5e43a3442729bb492eb2e605eab"/>
                    <w:lock w:val="sdtLocked"/>
                    <w:richText/>
                  </w:sdtPr>
                  <w:sdtContent>
                    <w:p>
                      <w:pPr>
                        <w:widowControl w:val="0"/>
                        <w:ind w:firstLine="567"/>
                        <w:jc w:val="both"/>
                        <w:rPr>
                          <w:color w:val="000000"/>
                          <w:lang w:eastAsia="lt-LT"/>
                        </w:rPr>
                      </w:pPr>
                      <w:sdt>
                        <w:sdtPr>
                          <w:alias w:val="Numeris"/>
                          <w:tag w:val="nr_3f6aa5e43a3442729bb492eb2e605eab"/>
                          <w:lock w:val="sdtLocked"/>
                          <w:richText/>
                        </w:sdtPr>
                        <w:sdtContent>
                          <w:r>
                            <w:rPr>
                              <w:color w:val="000000"/>
                              <w:lang w:eastAsia="lt-LT"/>
                            </w:rPr>
                            <w:t>17.1</w:t>
                          </w:r>
                        </w:sdtContent>
                      </w:sdt>
                      <w:r>
                        <w:rPr>
                          <w:color w:val="000000"/>
                          <w:lang w:eastAsia="lt-LT"/>
                        </w:rPr>
                        <w:t>.</w:t>
                        <w:tab/>
                        <w:t>finansavimo sumos kitoms išlaidoms ir atsargoms:</w:t>
                      </w:r>
                    </w:p>
                    <w:sdt>
                      <w:sdtPr>
                        <w:alias w:val="17.1.1 pp."/>
                        <w:tag w:val="part_b952533c286047fb8bfebe37ae24ed2a"/>
                        <w:lock w:val="sdtLocked"/>
                        <w:richText/>
                      </w:sdtPr>
                      <w:sdtContent>
                        <w:p>
                          <w:pPr>
                            <w:tabs>
                              <w:tab w:val="left" w:pos="993"/>
                              <w:tab w:val="left" w:pos="1134"/>
                              <w:tab w:val="left" w:pos="1418"/>
                              <w:tab w:val="left" w:pos="1985"/>
                            </w:tabs>
                            <w:ind w:firstLine="567"/>
                            <w:jc w:val="both"/>
                            <w:rPr>
                              <w:rFonts w:eastAsia="Calibri"/>
                              <w:szCs w:val="22"/>
                            </w:rPr>
                          </w:pPr>
                          <w:sdt>
                            <w:sdtPr>
                              <w:alias w:val="Numeris"/>
                              <w:tag w:val="nr_b952533c286047fb8bfebe37ae24ed2a"/>
                              <w:lock w:val="sdtLocked"/>
                              <w:richText/>
                            </w:sdtPr>
                            <w:sdtContent>
                              <w:r>
                                <w:rPr>
                                  <w:rFonts w:eastAsia="Calibri"/>
                                  <w:szCs w:val="22"/>
                                </w:rPr>
                                <w:t>17.1.1</w:t>
                              </w:r>
                            </w:sdtContent>
                          </w:sdt>
                          <w:r>
                            <w:rPr>
                              <w:rFonts w:eastAsia="Calibri"/>
                              <w:szCs w:val="22"/>
                            </w:rPr>
                            <w:t>.</w:t>
                            <w:tab/>
                          </w:r>
                          <w:r>
                            <w:rPr>
                              <w:rFonts w:eastAsia="Calibri"/>
                              <w:color w:val="000000"/>
                              <w:szCs w:val="22"/>
                            </w:rPr>
                            <w:t xml:space="preserve">iš valstybės biudžeto – įplaukos, kurios yra tiesiogiai ar netiesiogiai (per kitus viešojo sektoriaus subjektus) gautos iš valstybės biudžeto ir skirtos viešojo sektoriaus subjekto </w:t>
                          </w:r>
                          <w:r>
                            <w:rPr>
                              <w:color w:val="000000"/>
                            </w:rPr>
                            <w:t xml:space="preserve">ar viešojo sektoriaus grupę sudarančių subjektų </w:t>
                          </w:r>
                          <w:r>
                            <w:rPr>
                              <w:rFonts w:eastAsia="Calibri"/>
                              <w:color w:val="000000"/>
                              <w:szCs w:val="22"/>
                            </w:rPr>
                            <w:t xml:space="preserve">veiklai finansuoti. </w:t>
                          </w:r>
                          <w:r>
                            <w:t>Šios sumos nurodomos Standarto 1–3 ir 5 prieduose nustatytų formų ataskaitų įplaukų straipsnyje „Iš valstybės biudžeto“.</w:t>
                          </w:r>
                          <w:r>
                            <w:rPr>
                              <w:rFonts w:eastAsia="Calibri"/>
                              <w:color w:val="000000"/>
                              <w:szCs w:val="22"/>
                            </w:rPr>
                            <w:t xml:space="preserve"> Jeigu gautos finansavimo sumos skirtos ilgalaikiam ir biologiniam turtui įsigyti, minėtos įplaukos ataskaitoje rodomos prie finansinės veiklos;</w:t>
                          </w:r>
                        </w:p>
                      </w:sdtContent>
                    </w:sdt>
                    <w:sdt>
                      <w:sdtPr>
                        <w:alias w:val="17.1.2 pp."/>
                        <w:tag w:val="part_6c4c4a68add5407bb8908acb4622984c"/>
                        <w:lock w:val="sdtLocked"/>
                        <w:richText/>
                      </w:sdtPr>
                      <w:sdtContent>
                        <w:p>
                          <w:pPr>
                            <w:tabs>
                              <w:tab w:val="left" w:pos="851"/>
                              <w:tab w:val="left" w:pos="993"/>
                              <w:tab w:val="left" w:pos="1134"/>
                              <w:tab w:val="left" w:pos="1418"/>
                              <w:tab w:val="left" w:pos="1985"/>
                            </w:tabs>
                            <w:ind w:firstLine="567"/>
                            <w:jc w:val="both"/>
                            <w:rPr>
                              <w:rFonts w:eastAsia="Calibri"/>
                              <w:szCs w:val="22"/>
                            </w:rPr>
                          </w:pPr>
                          <w:sdt>
                            <w:sdtPr>
                              <w:alias w:val="Numeris"/>
                              <w:tag w:val="nr_6c4c4a68add5407bb8908acb4622984c"/>
                              <w:lock w:val="sdtLocked"/>
                              <w:richText/>
                            </w:sdtPr>
                            <w:sdtContent>
                              <w:r>
                                <w:rPr>
                                  <w:rFonts w:eastAsia="Calibri"/>
                                  <w:szCs w:val="22"/>
                                </w:rPr>
                                <w:t>17.1.2</w:t>
                              </w:r>
                            </w:sdtContent>
                          </w:sdt>
                          <w:r>
                            <w:rPr>
                              <w:rFonts w:eastAsia="Calibri"/>
                              <w:szCs w:val="22"/>
                            </w:rPr>
                            <w:t>.</w:t>
                            <w:tab/>
                            <w:t xml:space="preserve">iš savivaldybių biudžeto – įplaukos, kurios yra tiesiogiai ar netiesiogiai gautos iš savivaldybės (-ių) biudžeto (-ų) ir skirtos viešojo sektoriaus subjekto veiklai finansuoti. </w:t>
                          </w:r>
                          <w:r>
                            <w:t xml:space="preserve">Šios sumos nurodomos Standarto 1–3 prieduose nustatytų formų ataskaitų įplaukų straipsnyje „Iš savivaldybių biudžeto“. </w:t>
                          </w:r>
                          <w:r>
                            <w:rPr>
                              <w:rFonts w:eastAsia="Calibri"/>
                              <w:szCs w:val="22"/>
                            </w:rPr>
                            <w:t>Jeigu gautos finansavimo sumos skirtos ilgalaikiam ir biologiniam turtui įsigyti, minėtos įplaukos ataskaitoje rodomos prie finansinės veiklos;</w:t>
                          </w:r>
                        </w:p>
                      </w:sdtContent>
                    </w:sdt>
                    <w:sdt>
                      <w:sdtPr>
                        <w:alias w:val="17.1.3 pp."/>
                        <w:tag w:val="part_1c72232b3e174f12843e48d8ec51ad60"/>
                        <w:lock w:val="sdtLocked"/>
                        <w:richText/>
                      </w:sdtPr>
                      <w:sdtContent>
                        <w:p>
                          <w:pPr>
                            <w:tabs>
                              <w:tab w:val="left" w:pos="851"/>
                              <w:tab w:val="left" w:pos="993"/>
                              <w:tab w:val="left" w:pos="1134"/>
                              <w:tab w:val="left" w:pos="1418"/>
                              <w:tab w:val="left" w:pos="1985"/>
                            </w:tabs>
                            <w:ind w:firstLine="567"/>
                            <w:jc w:val="both"/>
                            <w:rPr>
                              <w:rFonts w:eastAsia="Calibri"/>
                              <w:szCs w:val="22"/>
                            </w:rPr>
                          </w:pPr>
                          <w:sdt>
                            <w:sdtPr>
                              <w:alias w:val="Numeris"/>
                              <w:tag w:val="nr_1c72232b3e174f12843e48d8ec51ad60"/>
                              <w:lock w:val="sdtLocked"/>
                              <w:richText/>
                            </w:sdtPr>
                            <w:sdtContent>
                              <w:r>
                                <w:rPr>
                                  <w:rFonts w:eastAsia="Calibri"/>
                                  <w:szCs w:val="22"/>
                                </w:rPr>
                                <w:t>17.1.3</w:t>
                              </w:r>
                            </w:sdtContent>
                          </w:sdt>
                          <w:r>
                            <w:rPr>
                              <w:rFonts w:eastAsia="Calibri"/>
                              <w:szCs w:val="22"/>
                            </w:rPr>
                            <w:t>.</w:t>
                            <w:tab/>
                            <w:t xml:space="preserve">iš Europos Sąjungos, užsienio valstybių ir tarptautinių organizacijų – įplaukos iš minėtų organizacijų, skirtos viešojo sektoriaus subjekto veiklai finansuoti. </w:t>
                          </w:r>
                          <w:r>
                            <w:t>Šios sumos nurodomos Standarto 1–3 prieduose nustatytų formų ataskaitų įplaukų straipsnyje „</w:t>
                          </w:r>
                          <w:r>
                            <w:rPr>
                              <w:rFonts w:eastAsia="Calibri"/>
                              <w:szCs w:val="22"/>
                            </w:rPr>
                            <w:t>iš Europos Sąjungos, užsienio valstybių ir tarptautinių organizacijų lėšų</w:t>
                          </w:r>
                          <w:r>
                            <w:t xml:space="preserve">“. </w:t>
                          </w:r>
                          <w:r>
                            <w:rPr>
                              <w:rFonts w:eastAsia="Calibri"/>
                              <w:szCs w:val="22"/>
                            </w:rPr>
                            <w:t>Jeigu šios įplaukos skirtos ilgalaikiam ir biologiniam turtui įsigyti, jos ataskaitoje rodomos prie finansinės veiklos;</w:t>
                          </w:r>
                        </w:p>
                      </w:sdtContent>
                    </w:sdt>
                    <w:sdt>
                      <w:sdtPr>
                        <w:alias w:val="17.1.4 pp."/>
                        <w:tag w:val="part_c35c50e213604a7a948e36eadd95aa10"/>
                        <w:lock w:val="sdtLocked"/>
                        <w:richText/>
                      </w:sdtPr>
                      <w:sdtContent>
                        <w:p>
                          <w:pPr>
                            <w:tabs>
                              <w:tab w:val="left" w:pos="851"/>
                              <w:tab w:val="left" w:pos="993"/>
                              <w:tab w:val="left" w:pos="1134"/>
                              <w:tab w:val="left" w:pos="1418"/>
                              <w:tab w:val="left" w:pos="1985"/>
                            </w:tabs>
                            <w:ind w:firstLine="567"/>
                            <w:jc w:val="both"/>
                          </w:pPr>
                          <w:sdt>
                            <w:sdtPr>
                              <w:alias w:val="Numeris"/>
                              <w:tag w:val="nr_c35c50e213604a7a948e36eadd95aa10"/>
                              <w:lock w:val="sdtLocked"/>
                              <w:richText/>
                            </w:sdtPr>
                            <w:sdtContent>
                              <w:r>
                                <w:t>17.1.4</w:t>
                              </w:r>
                            </w:sdtContent>
                          </w:sdt>
                          <w:r>
                            <w:t>.</w:t>
                            <w:tab/>
                          </w:r>
                          <w:r>
                            <w:rPr>
                              <w:rFonts w:eastAsia="Calibri"/>
                              <w:szCs w:val="22"/>
                            </w:rPr>
                            <w:t>iš viešojo sektoriaus subjektų pajamų – įplaukos iš išteklių fondų ir kitų viešojo sektoriaus subjektų.</w:t>
                          </w:r>
                          <w:r>
                            <w:t xml:space="preserve"> Šios sumos nurodomos Standarto 1–4 prieduose nustatytų formų ataskaitų įplaukų straipsnyje „</w:t>
                          </w:r>
                          <w:r>
                            <w:rPr>
                              <w:rFonts w:eastAsia="Calibri"/>
                              <w:szCs w:val="22"/>
                            </w:rPr>
                            <w:t>Iš viešojo sektoriaus subjektų pajamų“. Jeigu šios įplaukos skirtos ilgalaikiam ir biologiniam turtui įsigyti, jos ataskaitoje rodomos prie finansinės</w:t>
                          </w:r>
                          <w:r>
                            <w:rPr>
                              <w:rFonts w:eastAsia="Calibri"/>
                              <w:color w:val="000000"/>
                              <w:szCs w:val="22"/>
                            </w:rPr>
                            <w:t xml:space="preserve"> veiklos;</w:t>
                          </w:r>
                          <w:r>
                            <w:t xml:space="preserve"> </w:t>
                          </w:r>
                        </w:p>
                      </w:sdtContent>
                    </w:sdt>
                    <w:sdt>
                      <w:sdtPr>
                        <w:alias w:val="17.1.5 pp."/>
                        <w:tag w:val="part_9c6b250dbec54289b06f3e64a5830417"/>
                        <w:lock w:val="sdtLocked"/>
                        <w:richText/>
                      </w:sdtPr>
                      <w:sdtContent>
                        <w:p>
                          <w:pPr>
                            <w:tabs>
                              <w:tab w:val="left" w:pos="851"/>
                              <w:tab w:val="left" w:pos="993"/>
                              <w:tab w:val="left" w:pos="1134"/>
                              <w:tab w:val="left" w:pos="1418"/>
                              <w:tab w:val="left" w:pos="1985"/>
                            </w:tabs>
                            <w:ind w:firstLine="567"/>
                            <w:jc w:val="both"/>
                          </w:pPr>
                          <w:sdt>
                            <w:sdtPr>
                              <w:alias w:val="Numeris"/>
                              <w:tag w:val="nr_9c6b250dbec54289b06f3e64a5830417"/>
                              <w:lock w:val="sdtLocked"/>
                              <w:richText/>
                            </w:sdtPr>
                            <w:sdtContent>
                              <w:r>
                                <w:t>17.1.5</w:t>
                              </w:r>
                            </w:sdtContent>
                          </w:sdt>
                          <w:r>
                            <w:t>.</w:t>
                            <w:tab/>
                            <w:t>iš fizinių ir privačių juridinių asmenų – įplaukos iš minėtų šaltinių, skirtos subjekto veiklai finansuoti. Šios sumos nurodomos Standarto 1–5 prieduose nustatytų formų ataskaitų įplaukų straipsnyje „Iš fizinių ir privačių juridinių asmenų</w:t>
                          </w:r>
                          <w:r>
                            <w:rPr>
                              <w:rFonts w:eastAsia="Calibri"/>
                              <w:szCs w:val="22"/>
                            </w:rPr>
                            <w:t>“. Jeigu šios įplaukos skirtos ilgalaikiam ir biologiniam turtui įsigyti, jos ataskaitoje rodomos prie finansinės veiklos;</w:t>
                          </w:r>
                        </w:p>
                      </w:sdtContent>
                    </w:sdt>
                  </w:sdtContent>
                </w:sdt>
                <w:sdt>
                  <w:sdtPr>
                    <w:alias w:val="17.2 pp."/>
                    <w:tag w:val="part_0800fdf63dab46e5ab2e2540973cc5c0"/>
                    <w:lock w:val="sdtLocked"/>
                    <w:richText/>
                  </w:sdtPr>
                  <w:sdtContent>
                    <w:p>
                      <w:pPr>
                        <w:widowControl w:val="0"/>
                        <w:tabs>
                          <w:tab w:val="left" w:pos="851"/>
                        </w:tabs>
                        <w:ind w:firstLine="567"/>
                        <w:jc w:val="both"/>
                        <w:rPr>
                          <w:color w:val="000000"/>
                          <w:lang w:eastAsia="lt-LT"/>
                        </w:rPr>
                      </w:pPr>
                      <w:sdt>
                        <w:sdtPr>
                          <w:alias w:val="Numeris"/>
                          <w:tag w:val="nr_0800fdf63dab46e5ab2e2540973cc5c0"/>
                          <w:lock w:val="sdtLocked"/>
                          <w:richText/>
                        </w:sdtPr>
                        <w:sdtContent>
                          <w:r>
                            <w:rPr>
                              <w:color w:val="000000"/>
                              <w:lang w:eastAsia="lt-LT"/>
                            </w:rPr>
                            <w:t>17.2</w:t>
                          </w:r>
                        </w:sdtContent>
                      </w:sdt>
                      <w:r>
                        <w:rPr>
                          <w:color w:val="000000"/>
                          <w:lang w:eastAsia="lt-LT"/>
                        </w:rPr>
                        <w:t>.</w:t>
                        <w:tab/>
                        <w:t xml:space="preserve">iš mokesčių – įplaukos, kurias mokesčių surinkimą administruojantys viešojo sektoriaus subjektai gauna valstybės ar savivaldybių vardu surinktų mokesčių pavidalu. </w:t>
                      </w:r>
                      <w:r>
                        <w:t>Šios sumos nurodomos Standarto 3–5 prieduose nustatytų formų ataskaitų įplaukų straipsnyje „Iš mokesčių“</w:t>
                      </w:r>
                      <w:r>
                        <w:rPr>
                          <w:color w:val="000000"/>
                          <w:lang w:eastAsia="lt-LT"/>
                        </w:rPr>
                        <w:t>;</w:t>
                      </w:r>
                    </w:p>
                  </w:sdtContent>
                </w:sdt>
                <w:sdt>
                  <w:sdtPr>
                    <w:alias w:val="17.3 pp."/>
                    <w:tag w:val="part_05ac362f99804db4ad9783dd2d303ea7"/>
                    <w:lock w:val="sdtLocked"/>
                    <w:richText/>
                  </w:sdtPr>
                  <w:sdtContent>
                    <w:p>
                      <w:pPr>
                        <w:widowControl w:val="0"/>
                        <w:tabs>
                          <w:tab w:val="left" w:pos="851"/>
                        </w:tabs>
                        <w:ind w:firstLine="567"/>
                        <w:jc w:val="both"/>
                        <w:rPr>
                          <w:color w:val="000000"/>
                          <w:lang w:eastAsia="lt-LT"/>
                        </w:rPr>
                      </w:pPr>
                      <w:sdt>
                        <w:sdtPr>
                          <w:alias w:val="Numeris"/>
                          <w:tag w:val="nr_05ac362f99804db4ad9783dd2d303ea7"/>
                          <w:lock w:val="sdtLocked"/>
                          <w:richText/>
                        </w:sdtPr>
                        <w:sdtContent>
                          <w:r>
                            <w:rPr>
                              <w:color w:val="000000"/>
                              <w:lang w:eastAsia="lt-LT"/>
                            </w:rPr>
                            <w:t>17.3</w:t>
                          </w:r>
                        </w:sdtContent>
                      </w:sdt>
                      <w:r>
                        <w:rPr>
                          <w:color w:val="000000"/>
                          <w:lang w:eastAsia="lt-LT"/>
                        </w:rPr>
                        <w:t>.</w:t>
                        <w:tab/>
                        <w:t xml:space="preserve">iš socialinių įmokų ir kitų įmokų į fondus – įplaukos, kurias surenka socialines įmokas administruojantys viešojo sektoriaus subjektai vadovaudamiesi Lietuvos Respublikos teisės aktais ir kurios apima darbdavių socialines įmokas, darbuotojų socialines įmokas bei gyventojų, besiverčiančių individualia veikla ir nedirbančių, socialines įmokas, ir kurias surenka kiti viešojo sektoriaus subjektai – fondai, pagal savo veiklą reglamentuojančių teisės aktų nuostatas. </w:t>
                      </w:r>
                      <w:r>
                        <w:t>Šios sumos nurodomos Standarto 2–5 prieduose nustatytų formų ataskaitų įplaukų straipsnyje „</w:t>
                      </w:r>
                      <w:r>
                        <w:rPr>
                          <w:color w:val="000000"/>
                          <w:lang w:eastAsia="lt-LT"/>
                        </w:rPr>
                        <w:t>Iš socialinių įmokų ir kitų įmokų į fondus“;</w:t>
                      </w:r>
                    </w:p>
                  </w:sdtContent>
                </w:sdt>
                <w:sdt>
                  <w:sdtPr>
                    <w:alias w:val="17.4 pp."/>
                    <w:tag w:val="part_3ccadd98ac124bf5a69f0dd662fa95af"/>
                    <w:lock w:val="sdtLocked"/>
                    <w:richText/>
                  </w:sdtPr>
                  <w:sdtContent>
                    <w:p>
                      <w:pPr>
                        <w:widowControl w:val="0"/>
                        <w:tabs>
                          <w:tab w:val="left" w:pos="851"/>
                        </w:tabs>
                        <w:ind w:firstLine="567"/>
                        <w:jc w:val="both"/>
                        <w:rPr>
                          <w:color w:val="000000"/>
                          <w:lang w:eastAsia="lt-LT"/>
                        </w:rPr>
                      </w:pPr>
                      <w:sdt>
                        <w:sdtPr>
                          <w:alias w:val="Numeris"/>
                          <w:tag w:val="nr_3ccadd98ac124bf5a69f0dd662fa95af"/>
                          <w:lock w:val="sdtLocked"/>
                          <w:richText/>
                        </w:sdtPr>
                        <w:sdtContent>
                          <w:r>
                            <w:rPr>
                              <w:color w:val="000000"/>
                              <w:lang w:eastAsia="lt-LT"/>
                            </w:rPr>
                            <w:t>17.4</w:t>
                          </w:r>
                        </w:sdtContent>
                      </w:sdt>
                      <w:r>
                        <w:rPr>
                          <w:color w:val="000000"/>
                          <w:lang w:eastAsia="lt-LT"/>
                        </w:rPr>
                        <w:t>.</w:t>
                        <w:tab/>
                        <w:t xml:space="preserve">už suteiktas paslaugas – įplaukos, kurias gauna išteklių fondai ir mokesčių fondai už viešojo sektoriaus subjektų kitiems viešojo sektoriaus subjektams ar trečiosioms šalims suteiktas paslaugas. </w:t>
                      </w:r>
                      <w:r>
                        <w:t xml:space="preserve">Standarto 5 priede nustatytos formos ataskaitoje </w:t>
                      </w:r>
                      <w:r>
                        <w:rPr>
                          <w:rFonts w:eastAsia="Calibri"/>
                          <w:szCs w:val="22"/>
                        </w:rPr>
                        <w:t>prie šių sumų priskiriamos įplaukos už fondų administravimo įstaigų suteiktas paslaugas.</w:t>
                      </w:r>
                      <w:r>
                        <w:t xml:space="preserve"> Standarto 1–4 prieduose nustatytų formų ataskaitose šios sumos </w:t>
                      </w:r>
                      <w:r>
                        <w:rPr>
                          <w:color w:val="000000"/>
                          <w:lang w:eastAsia="lt-LT"/>
                        </w:rPr>
                        <w:t>detalizuojamos į sumas:</w:t>
                      </w:r>
                    </w:p>
                    <w:sdt>
                      <w:sdtPr>
                        <w:alias w:val="17.4.1 pp."/>
                        <w:tag w:val="part_573904a93ac541f6bb17caf2bd17aef5"/>
                        <w:lock w:val="sdtLocked"/>
                        <w:richText/>
                      </w:sdtPr>
                      <w:sdtContent>
                        <w:p>
                          <w:pPr>
                            <w:tabs>
                              <w:tab w:val="left" w:pos="851"/>
                              <w:tab w:val="left" w:pos="993"/>
                              <w:tab w:val="left" w:pos="1134"/>
                              <w:tab w:val="left" w:pos="1418"/>
                              <w:tab w:val="left" w:pos="1985"/>
                            </w:tabs>
                            <w:ind w:firstLine="567"/>
                            <w:jc w:val="both"/>
                            <w:rPr>
                              <w:rFonts w:eastAsia="Calibri"/>
                              <w:szCs w:val="22"/>
                            </w:rPr>
                          </w:pPr>
                          <w:sdt>
                            <w:sdtPr>
                              <w:alias w:val="Numeris"/>
                              <w:tag w:val="nr_573904a93ac541f6bb17caf2bd17aef5"/>
                              <w:lock w:val="sdtLocked"/>
                              <w:richText/>
                            </w:sdtPr>
                            <w:sdtContent>
                              <w:r>
                                <w:rPr>
                                  <w:rFonts w:eastAsia="Calibri"/>
                                  <w:szCs w:val="22"/>
                                </w:rPr>
                                <w:t>17.4.1</w:t>
                              </w:r>
                            </w:sdtContent>
                          </w:sdt>
                          <w:r>
                            <w:rPr>
                              <w:rFonts w:eastAsia="Calibri"/>
                              <w:szCs w:val="22"/>
                            </w:rPr>
                            <w:t>.</w:t>
                            <w:tab/>
                            <w:t xml:space="preserve">už suteiktas paslaugas iš pirkėjų – įplaukos, kurias viešojo sektoriaus subjektas gauna už kitiems viešojo sektoriaus subjektams ar trečiosioms šalims suteiktas paslaugas. </w:t>
                          </w:r>
                          <w:r>
                            <w:t>Šios sumos nurodomos Standarto 1–4 prieduose nustatytų formų ataskaitų įplaukų straipsnyje „</w:t>
                          </w:r>
                          <w:r>
                            <w:rPr>
                              <w:rFonts w:eastAsia="Calibri"/>
                              <w:szCs w:val="22"/>
                            </w:rPr>
                            <w:t xml:space="preserve">Už suteiktas paslaugas iš pirkėjų“; </w:t>
                          </w:r>
                        </w:p>
                      </w:sdtContent>
                    </w:sdt>
                    <w:sdt>
                      <w:sdtPr>
                        <w:alias w:val="17.4.2 pp."/>
                        <w:tag w:val="part_0003705805344ba8b522452467ce768c"/>
                        <w:lock w:val="sdtLocked"/>
                        <w:richText/>
                      </w:sdtPr>
                      <w:sdtContent>
                        <w:p>
                          <w:pPr>
                            <w:tabs>
                              <w:tab w:val="left" w:pos="851"/>
                              <w:tab w:val="left" w:pos="993"/>
                              <w:tab w:val="left" w:pos="1134"/>
                              <w:tab w:val="left" w:pos="1418"/>
                              <w:tab w:val="left" w:pos="1985"/>
                            </w:tabs>
                            <w:ind w:firstLine="567"/>
                            <w:jc w:val="both"/>
                            <w:rPr>
                              <w:rFonts w:eastAsia="Calibri"/>
                              <w:szCs w:val="22"/>
                            </w:rPr>
                          </w:pPr>
                          <w:sdt>
                            <w:sdtPr>
                              <w:alias w:val="Numeris"/>
                              <w:tag w:val="nr_0003705805344ba8b522452467ce768c"/>
                              <w:lock w:val="sdtLocked"/>
                              <w:richText/>
                            </w:sdtPr>
                            <w:sdtContent>
                              <w:r>
                                <w:rPr>
                                  <w:rFonts w:eastAsia="Calibri"/>
                                  <w:szCs w:val="22"/>
                                </w:rPr>
                                <w:t>17.4.2</w:t>
                              </w:r>
                            </w:sdtContent>
                          </w:sdt>
                          <w:r>
                            <w:rPr>
                              <w:rFonts w:eastAsia="Calibri"/>
                              <w:szCs w:val="22"/>
                            </w:rPr>
                            <w:t>.</w:t>
                            <w:tab/>
                            <w:t xml:space="preserve">už suteiktas paslaugas iš biudžeto – įplaukos, kurias viešojo sektoriaus subjektas gauna iš biudžeto kaip įmokėtų į biudžetą savo pajamų dalį, skirtą biudžeto programoms vykdyti. </w:t>
                          </w:r>
                          <w:r>
                            <w:t>Šios sumos nurodomos Standarto 1–4 prieduose nustatytų formų ataskaitų įplaukų straipsnyje „</w:t>
                          </w:r>
                          <w:r>
                            <w:rPr>
                              <w:rFonts w:eastAsia="Calibri"/>
                              <w:szCs w:val="22"/>
                            </w:rPr>
                            <w:t xml:space="preserve">Už suteiktas paslaugas iš biudžeto“; </w:t>
                          </w:r>
                        </w:p>
                      </w:sdtContent>
                    </w:sdt>
                  </w:sdtContent>
                </w:sdt>
                <w:sdt>
                  <w:sdtPr>
                    <w:alias w:val="17.5 pp."/>
                    <w:tag w:val="part_116d2072962f4780811b63dfb19e3b03"/>
                    <w:lock w:val="sdtLocked"/>
                    <w:richText/>
                  </w:sdtPr>
                  <w:sdtContent>
                    <w:p>
                      <w:pPr>
                        <w:widowControl w:val="0"/>
                        <w:tabs>
                          <w:tab w:val="left" w:pos="851"/>
                          <w:tab w:val="left" w:pos="993"/>
                          <w:tab w:val="left" w:pos="1418"/>
                        </w:tabs>
                        <w:ind w:firstLine="567"/>
                        <w:jc w:val="both"/>
                        <w:rPr>
                          <w:color w:val="000000"/>
                          <w:lang w:eastAsia="lt-LT"/>
                        </w:rPr>
                      </w:pPr>
                      <w:sdt>
                        <w:sdtPr>
                          <w:alias w:val="Numeris"/>
                          <w:tag w:val="nr_116d2072962f4780811b63dfb19e3b03"/>
                          <w:lock w:val="sdtLocked"/>
                          <w:richText/>
                        </w:sdtPr>
                        <w:sdtContent>
                          <w:r>
                            <w:rPr>
                              <w:color w:val="000000"/>
                              <w:lang w:eastAsia="lt-LT"/>
                            </w:rPr>
                            <w:t>17.5</w:t>
                          </w:r>
                        </w:sdtContent>
                      </w:sdt>
                      <w:r>
                        <w:rPr>
                          <w:color w:val="000000"/>
                          <w:lang w:eastAsia="lt-LT"/>
                        </w:rPr>
                        <w:t>.</w:t>
                        <w:tab/>
                        <w:t xml:space="preserve">gautos palūkanos, kurios apima palūkanų įplaukas už suteiktas paskolas, įplaukas už pavėluotus mokėjimus ir panašiai. </w:t>
                      </w:r>
                      <w:r>
                        <w:t>Šios sumos nurodomos Standarto 1–5 prieduose nustatytų formų ataskaitų įplaukų straipsnyje „</w:t>
                      </w:r>
                      <w:r>
                        <w:rPr>
                          <w:rFonts w:eastAsia="Calibri"/>
                          <w:szCs w:val="22"/>
                        </w:rPr>
                        <w:t>Gautos palūkanos“</w:t>
                      </w:r>
                      <w:r>
                        <w:rPr>
                          <w:color w:val="000000"/>
                          <w:lang w:eastAsia="lt-LT"/>
                        </w:rPr>
                        <w:t xml:space="preserve">; </w:t>
                      </w:r>
                    </w:p>
                  </w:sdtContent>
                </w:sdt>
                <w:sdt>
                  <w:sdtPr>
                    <w:alias w:val="17.6 pp."/>
                    <w:tag w:val="part_1b9d31322b6548fa8fe8a447c922c170"/>
                    <w:lock w:val="sdtLocked"/>
                    <w:richText/>
                  </w:sdtPr>
                  <w:sdtContent>
                    <w:p>
                      <w:pPr>
                        <w:widowControl w:val="0"/>
                        <w:tabs>
                          <w:tab w:val="left" w:pos="851"/>
                          <w:tab w:val="left" w:pos="993"/>
                          <w:tab w:val="left" w:pos="1418"/>
                        </w:tabs>
                        <w:ind w:firstLine="567"/>
                        <w:jc w:val="both"/>
                        <w:rPr>
                          <w:color w:val="000000"/>
                          <w:lang w:eastAsia="lt-LT"/>
                        </w:rPr>
                      </w:pPr>
                      <w:sdt>
                        <w:sdtPr>
                          <w:alias w:val="Numeris"/>
                          <w:tag w:val="nr_1b9d31322b6548fa8fe8a447c922c170"/>
                          <w:lock w:val="sdtLocked"/>
                          <w:richText/>
                        </w:sdtPr>
                        <w:sdtContent>
                          <w:r>
                            <w:rPr>
                              <w:color w:val="000000"/>
                              <w:lang w:eastAsia="lt-LT"/>
                            </w:rPr>
                            <w:t>17.6</w:t>
                          </w:r>
                        </w:sdtContent>
                      </w:sdt>
                      <w:r>
                        <w:rPr>
                          <w:color w:val="000000"/>
                          <w:lang w:eastAsia="lt-LT"/>
                        </w:rPr>
                        <w:t>.</w:t>
                        <w:tab/>
                        <w:t xml:space="preserve">kitos įplaukos – gautos grąžintos finansavimo sumos, išskyrus grąžintas už ilgalaikį materialųjį ir biologinį turtą, gautos kompensacijos, baudos, rinkliavos, įplaukos už sutartinių įsipareigojimų nevykdymą, išskyrus įplaukas už pavėluotus mokėjimus, įplaukos už parduotą trumpalaikį turtą, gautos klaidingai pervestos sumos, atsitiktinai gautos įplaukos ir kitos šiame punkte nepaminėtos įplaukos, kurios pagal savo esmę priskiriamos prie pagrindinės veiklos įplaukų. </w:t>
                      </w:r>
                      <w:r>
                        <w:t>Šios sumos nurodomos Standarto 1–5 prieduose nustatytų formų ataskaitų įplaukų straipsnyje „Kitos įplaukos“.</w:t>
                      </w:r>
                    </w:p>
                  </w:sdtContent>
                </w:sdt>
              </w:sdtContent>
            </w:sdt>
            <w:sdt>
              <w:sdtPr>
                <w:alias w:val="18 p."/>
                <w:tag w:val="part_8ac4826483a04329a27ad802479de389"/>
                <w:lock w:val="sdtLocked"/>
                <w:richText/>
              </w:sdtPr>
              <w:sdtContent>
                <w:p>
                  <w:pPr>
                    <w:widowControl w:val="0"/>
                    <w:tabs>
                      <w:tab w:val="left" w:pos="851"/>
                      <w:tab w:val="left" w:pos="993"/>
                      <w:tab w:val="left" w:pos="1418"/>
                    </w:tabs>
                    <w:ind w:firstLine="567"/>
                    <w:jc w:val="both"/>
                  </w:pPr>
                  <w:sdt>
                    <w:sdtPr>
                      <w:alias w:val="Numeris"/>
                      <w:tag w:val="nr_8ac4826483a04329a27ad802479de389"/>
                      <w:lock w:val="sdtLocked"/>
                      <w:richText/>
                    </w:sdtPr>
                    <w:sdtContent>
                      <w:r>
                        <w:t>18</w:t>
                      </w:r>
                    </w:sdtContent>
                  </w:sdt>
                  <w:r>
                    <w:t>.</w:t>
                    <w:tab/>
                    <w:t>Standarto 3–5 prieduose nustatytų formų ataskaitoje rodoma Standarto 1–2 prieduose nustatytų formų ataskaitose rodomų pervestų lėšų suma eliminavus tarpusavio pervedimų sumas. Standarto 1–2 prieduose nustatytų formų ataskaitose viešojo sektoriaus subjektų pagrindinės veiklos pervestos lėšos detalizuojamos į šiuos straipsnius:</w:t>
                  </w:r>
                </w:p>
                <w:sdt>
                  <w:sdtPr>
                    <w:alias w:val="18.1 pp."/>
                    <w:tag w:val="part_f62db458c13c4dc7ad5d193e565be34f"/>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62db458c13c4dc7ad5d193e565be34f"/>
                          <w:lock w:val="sdtLocked"/>
                          <w:richText/>
                        </w:sdtPr>
                        <w:sdtContent>
                          <w:r>
                            <w:t>18.1</w:t>
                          </w:r>
                        </w:sdtContent>
                      </w:sdt>
                      <w:r>
                        <w:t>.</w:t>
                        <w:tab/>
                      </w:r>
                      <w:r>
                        <w:rPr>
                          <w:szCs w:val="24"/>
                          <w:lang w:eastAsia="lt-LT"/>
                        </w:rPr>
                        <w:t>Straipsnyje „Į valstybės biudžetą“ rodomos viešojo sektoriaus subjektų į valstybės biudžetą pervestos lėšos (į valstybės biudžetą pervesti mokesčiai, surinktos rinkliavos, viešojo sektoriaus subjektų pajamos, grąžintos finansavimo sumos (įskaitant prekių tiekėjų, paslaugų teikėjų ir rangovų tiesiai į valstybės biudžetą grąžintas sumas), kurios buvo skirtos (gautos) kitoms išlaidoms ir atsargoms, ir pan.).</w:t>
                      </w:r>
                      <w:r>
                        <w:t xml:space="preserve"> </w:t>
                      </w:r>
                    </w:p>
                  </w:sdtContent>
                </w:sdt>
                <w:sdt>
                  <w:sdtPr>
                    <w:alias w:val="18.2 pp."/>
                    <w:tag w:val="part_f0da1d3d606845b795255ecaf932a814"/>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0da1d3d606845b795255ecaf932a814"/>
                          <w:lock w:val="sdtLocked"/>
                          <w:richText/>
                        </w:sdtPr>
                        <w:sdtContent>
                          <w:r>
                            <w:t>18.2</w:t>
                          </w:r>
                        </w:sdtContent>
                      </w:sdt>
                      <w:r>
                        <w:t>.</w:t>
                        <w:tab/>
                      </w:r>
                      <w:r>
                        <w:rPr>
                          <w:szCs w:val="24"/>
                          <w:lang w:eastAsia="lt-LT"/>
                        </w:rPr>
                        <w:t>Straipsnyje „Į savivaldybių biudžetus“ rodomos viešojo sektoriaus subjektų į savivaldybių biudžetus pervestos lėšos (savivaldybėms pervesta nustatyta gyventojų pajamų mokesčio dalis, surinktos rinkliavos, grąžintos finansavimo sumos,</w:t>
                      </w:r>
                      <w:r>
                        <w:rPr>
                          <w:b/>
                          <w:szCs w:val="24"/>
                          <w:lang w:eastAsia="lt-LT"/>
                        </w:rPr>
                        <w:t xml:space="preserve"> </w:t>
                      </w:r>
                      <w:r>
                        <w:rPr>
                          <w:szCs w:val="24"/>
                          <w:lang w:eastAsia="lt-LT"/>
                        </w:rPr>
                        <w:t>kurios buvo skirtos (gautos) kitoms išlaidoms ir atsargoms, ir pan.).</w:t>
                      </w:r>
                      <w:r>
                        <w:t xml:space="preserve"> </w:t>
                      </w:r>
                    </w:p>
                  </w:sdtContent>
                </w:sdt>
                <w:sdt>
                  <w:sdtPr>
                    <w:alias w:val="18.3 pp."/>
                    <w:tag w:val="part_221db8439c56479097605286c5aa5f84"/>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21db8439c56479097605286c5aa5f84"/>
                          <w:lock w:val="sdtLocked"/>
                          <w:richText/>
                        </w:sdtPr>
                        <w:sdtContent>
                          <w:r>
                            <w:t>18.3</w:t>
                          </w:r>
                        </w:sdtContent>
                      </w:sdt>
                      <w:r>
                        <w:t>.</w:t>
                        <w:tab/>
                      </w:r>
                      <w:r>
                        <w:rPr>
                          <w:szCs w:val="24"/>
                          <w:lang w:eastAsia="lt-LT"/>
                        </w:rPr>
                        <w:t xml:space="preserve">Straipsnyje </w:t>
                      </w:r>
                      <w:r>
                        <w:rPr>
                          <w:spacing w:val="-4"/>
                        </w:rPr>
                        <w:t>„Europos Sąjungai, užsienio valstybėms ir tarptautinėms organizacijoms“ rodomos viešojo sektoriaus subjektų į Europos Sąjungos biudžetą pervestos lėšos, sumokėti įnašai ir mokesčiai tarptautinėms organizacijoms, parama užsienio valstybėms ir panašiai.</w:t>
                      </w:r>
                    </w:p>
                  </w:sdtContent>
                </w:sdt>
                <w:sdt>
                  <w:sdtPr>
                    <w:alias w:val="18.4 pp."/>
                    <w:tag w:val="part_0eb766dcd88c49899db2120ff452b004"/>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eb766dcd88c49899db2120ff452b004"/>
                          <w:lock w:val="sdtLocked"/>
                          <w:richText/>
                        </w:sdtPr>
                        <w:sdtContent>
                          <w:r>
                            <w:t>18.4</w:t>
                          </w:r>
                        </w:sdtContent>
                      </w:sdt>
                      <w:r>
                        <w:t>.</w:t>
                        <w:tab/>
                      </w:r>
                      <w:r>
                        <w:rPr>
                          <w:szCs w:val="24"/>
                          <w:lang w:eastAsia="lt-LT"/>
                        </w:rPr>
                        <w:t xml:space="preserve">Straipsnyje </w:t>
                      </w:r>
                      <w:r>
                        <w:rPr>
                          <w:rFonts w:eastAsia="Calibri"/>
                          <w:szCs w:val="22"/>
                        </w:rPr>
                        <w:t>„Į kitus išteklių fondus“ rodomos į kitus išteklių fondus pervestos lėšos.</w:t>
                      </w:r>
                      <w:r>
                        <w:t xml:space="preserve"> </w:t>
                      </w:r>
                    </w:p>
                  </w:sdtContent>
                </w:sdt>
                <w:sdt>
                  <w:sdtPr>
                    <w:alias w:val="18.5 pp."/>
                    <w:tag w:val="part_f1152053234e40338fdff81588789d5e"/>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1152053234e40338fdff81588789d5e"/>
                          <w:lock w:val="sdtLocked"/>
                          <w:richText/>
                        </w:sdtPr>
                        <w:sdtContent>
                          <w:r>
                            <w:t>18.5</w:t>
                          </w:r>
                        </w:sdtContent>
                      </w:sdt>
                      <w:r>
                        <w:t>.</w:t>
                        <w:tab/>
                      </w:r>
                      <w:r>
                        <w:rPr>
                          <w:szCs w:val="24"/>
                          <w:lang w:eastAsia="lt-LT"/>
                        </w:rPr>
                        <w:t xml:space="preserve">Straipsnyje </w:t>
                      </w:r>
                      <w:r>
                        <w:t>„Viešojo sektoriaus subjektams“ rodomos viešojo sektoriaus subjektų</w:t>
                      </w:r>
                      <w:r>
                        <w:rPr>
                          <w:b/>
                          <w:bCs/>
                        </w:rPr>
                        <w:t xml:space="preserve"> </w:t>
                      </w:r>
                      <w:r>
                        <w:t>kitiems viešojo sektoriaus subjektams pervestos lėšos.</w:t>
                      </w:r>
                    </w:p>
                  </w:sdtContent>
                </w:sdt>
                <w:sdt>
                  <w:sdtPr>
                    <w:alias w:val="18.6 pp."/>
                    <w:tag w:val="part_21d389589498452aabb6e6ed334d2fc1"/>
                    <w:lock w:val="sdtLocked"/>
                    <w:richText/>
                  </w:sdtPr>
                  <w:sdtContent>
                    <w:p>
                      <w:pPr>
                        <w:tabs>
                          <w:tab w:val="left" w:pos="284"/>
                          <w:tab w:val="left" w:pos="851"/>
                          <w:tab w:val="left" w:pos="993"/>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21d389589498452aabb6e6ed334d2fc1"/>
                          <w:lock w:val="sdtLocked"/>
                          <w:richText/>
                        </w:sdtPr>
                        <w:sdtContent>
                          <w:r>
                            <w:t>18.6</w:t>
                          </w:r>
                        </w:sdtContent>
                      </w:sdt>
                      <w:r>
                        <w:t>.</w:t>
                        <w:tab/>
                      </w:r>
                      <w:r>
                        <w:rPr>
                          <w:szCs w:val="24"/>
                          <w:lang w:eastAsia="lt-LT"/>
                        </w:rPr>
                        <w:t xml:space="preserve">Straipsnyje </w:t>
                      </w:r>
                      <w:r>
                        <w:rPr>
                          <w:rFonts w:eastAsia="Calibri"/>
                          <w:szCs w:val="22"/>
                        </w:rPr>
                        <w:t>„Fiziniams ir privatiems juridiniams asmenims“ rodomos viešojo sektoriaus subjektų</w:t>
                      </w:r>
                      <w:r>
                        <w:rPr>
                          <w:rFonts w:eastAsia="Calibri"/>
                          <w:b/>
                          <w:bCs/>
                          <w:szCs w:val="22"/>
                        </w:rPr>
                        <w:t xml:space="preserve"> </w:t>
                      </w:r>
                      <w:r>
                        <w:rPr>
                          <w:rFonts w:eastAsia="Calibri"/>
                          <w:szCs w:val="22"/>
                        </w:rPr>
                        <w:t>ne viešojo sektoriaus subjektams pervestos lėšos.</w:t>
                      </w:r>
                      <w:r>
                        <w:t xml:space="preserve"> </w:t>
                      </w:r>
                    </w:p>
                  </w:sdtContent>
                </w:sdt>
              </w:sdtContent>
            </w:sdt>
            <w:sdt>
              <w:sdtPr>
                <w:alias w:val="16 p."/>
                <w:tag w:val="part_843803b103de445a9188e36ba16d6928"/>
                <w:lock w:val="sdtLocked"/>
                <w:richText/>
              </w:sdtPr>
              <w:sdtContent>
                <w:p>
                  <w:pPr>
                    <w:widowControl w:val="0"/>
                    <w:suppressAutoHyphens/>
                    <w:ind w:firstLine="567"/>
                    <w:jc w:val="both"/>
                    <w:rPr>
                      <w:rFonts w:eastAsia="Calibri"/>
                      <w:color w:val="000000"/>
                      <w:szCs w:val="22"/>
                    </w:rPr>
                  </w:pPr>
                  <w:sdt>
                    <w:sdtPr>
                      <w:alias w:val="Numeris"/>
                      <w:tag w:val="nr_843803b103de445a9188e36ba16d6928"/>
                      <w:lock w:val="sdtLocked"/>
                      <w:richText/>
                    </w:sdtPr>
                    <w:sdtContent>
                      <w:r>
                        <w:rPr>
                          <w:color w:val="000000"/>
                        </w:rPr>
                        <w:t>16</w:t>
                      </w:r>
                    </w:sdtContent>
                  </w:sdt>
                  <w:r>
                    <w:rPr>
                      <w:color w:val="000000"/>
                    </w:rPr>
                    <w:t xml:space="preserve">. Ataskaitose prie </w:t>
                  </w:r>
                  <w:r>
                    <w:t xml:space="preserve">viešojo sektoriaus subjektų </w:t>
                  </w:r>
                  <w:r>
                    <w:rPr>
                      <w:color w:val="000000"/>
                    </w:rPr>
                    <w:t xml:space="preserve">pagrindinės veiklos išmokų priskiriamos išmokos, nurodytos Standarto 1–5 prieduose </w:t>
                  </w:r>
                  <w:r>
                    <w:t xml:space="preserve">nustatytų </w:t>
                  </w:r>
                  <w:r>
                    <w:rPr>
                      <w:color w:val="000000"/>
                    </w:rPr>
                    <w:t xml:space="preserve">formų ataskaitose. </w:t>
                  </w:r>
                  <w:r>
                    <w:rPr>
                      <w:rFonts w:eastAsia="Calibri"/>
                      <w:color w:val="000000"/>
                      <w:szCs w:val="22"/>
                    </w:rPr>
                    <w:t xml:space="preserve">Priskiriant sumas prie šių išmokų, vadovaujamasi Standarto ir 11-ojo </w:t>
                  </w:r>
                  <w:r>
                    <w:rPr>
                      <w:color w:val="000000"/>
                    </w:rPr>
                    <w:t>viešojo sektoriaus apskaitos ir finansinės atskaitomybės standarto</w:t>
                  </w:r>
                  <w:r>
                    <w:rPr>
                      <w:rFonts w:eastAsia="Calibri"/>
                      <w:color w:val="000000"/>
                      <w:szCs w:val="22"/>
                    </w:rPr>
                    <w:t xml:space="preserve"> „Sąnaudos“, </w:t>
                  </w:r>
                  <w:r>
                    <w:rPr>
                      <w:color w:val="000000"/>
                    </w:rPr>
                    <w:t xml:space="preserve">patvirtinto </w:t>
                  </w:r>
                  <w:r>
                    <w:t xml:space="preserve">Lietuvos Respublikos finansų ministro 2008 m. vasario 8 d. įsakymu Nr. 1K-059 „Dėl 11-ojo viešojo sektoriaus apskaitos ir finansinės atskaitomybės standarto patvirtinimo“, </w:t>
                  </w:r>
                  <w:r>
                    <w:rPr>
                      <w:rFonts w:eastAsia="Calibri"/>
                      <w:color w:val="000000"/>
                      <w:szCs w:val="22"/>
                    </w:rPr>
                    <w:t>nuostatomis dėl sąnaudų priskyrimo ir grupavimo.</w:t>
                  </w:r>
                </w:p>
              </w:sdtContent>
            </w:sdt>
            <w:sdt>
              <w:sdtPr>
                <w:alias w:val="18 p."/>
                <w:tag w:val="part_a56249906eb6443681a58577ea0bc566"/>
                <w:lock w:val="sdtLocked"/>
                <w:richText/>
              </w:sdtPr>
              <w:sdtContent>
                <w:p>
                  <w:pPr>
                    <w:tabs>
                      <w:tab w:val="left" w:pos="1134"/>
                      <w:tab w:val="left" w:pos="1276"/>
                      <w:tab w:val="left" w:pos="1418"/>
                      <w:tab w:val="left" w:pos="1985"/>
                    </w:tabs>
                    <w:ind w:firstLine="567"/>
                    <w:jc w:val="both"/>
                    <w:rPr>
                      <w:color w:val="000000"/>
                    </w:rPr>
                  </w:pPr>
                  <w:sdt>
                    <w:sdtPr>
                      <w:alias w:val="Numeris"/>
                      <w:tag w:val="nr_a56249906eb6443681a58577ea0bc566"/>
                      <w:lock w:val="sdtLocked"/>
                      <w:richText/>
                    </w:sdtPr>
                    <w:sdtContent>
                      <w:r>
                        <w:rPr>
                          <w:rFonts w:eastAsia="Calibri"/>
                          <w:szCs w:val="24"/>
                        </w:rPr>
                        <w:t>18</w:t>
                      </w:r>
                    </w:sdtContent>
                  </w:sdt>
                  <w:r>
                    <w:rPr>
                      <w:rFonts w:eastAsia="Calibri"/>
                      <w:szCs w:val="24"/>
                    </w:rPr>
                    <w:t xml:space="preserve">. </w:t>
                  </w:r>
                  <w:r>
                    <w:rPr>
                      <w:rFonts w:eastAsia="Calibri"/>
                      <w:color w:val="000000"/>
                      <w:szCs w:val="22"/>
                    </w:rPr>
                    <w:t xml:space="preserve">Viešojo sektoriaus subjektas, finansuojantis kontroliuojamus viešojo sektoriaus subjektus, savo apskaitos registruose turi nurodyti ir finansavimo sumų paskirtį (finansavimo sumos ilgalaikiam ir biologiniam turtui įsigyti, finansavimo sumos </w:t>
                  </w:r>
                  <w:r>
                    <w:rPr>
                      <w:rFonts w:eastAsia="Calibri"/>
                      <w:color w:val="000000"/>
                      <w:spacing w:val="-2"/>
                      <w:szCs w:val="22"/>
                    </w:rPr>
                    <w:t>atsargoms įsigyti ir kitoms išlaidoms kompensuoti), kad rengdami ataskaitą įplaukų gaunantys subjektai finansavimo sumas galėtų priskirti prie atitinkamo ataskaitos straipsnio, kaip nustatyta Standarto 17.1 papunktyje.</w:t>
                  </w:r>
                </w:p>
              </w:sdtContent>
            </w:sdt>
            <w:sdt>
              <w:sdtPr>
                <w:alias w:val="19 p."/>
                <w:tag w:val="part_1fa74ffe8c5b40048c6b02e499466ce3"/>
                <w:lock w:val="sdtLocked"/>
                <w:richText/>
              </w:sdtPr>
              <w:sdtContent>
                <w:p>
                  <w:pPr>
                    <w:tabs>
                      <w:tab w:val="left" w:pos="1134"/>
                      <w:tab w:val="left" w:pos="1276"/>
                      <w:tab w:val="left" w:pos="1418"/>
                      <w:tab w:val="left" w:pos="1985"/>
                    </w:tabs>
                    <w:ind w:firstLine="567"/>
                    <w:jc w:val="both"/>
                    <w:rPr>
                      <w:color w:val="000000"/>
                    </w:rPr>
                  </w:pPr>
                  <w:sdt>
                    <w:sdtPr>
                      <w:alias w:val="Numeris"/>
                      <w:tag w:val="nr_1fa74ffe8c5b40048c6b02e499466ce3"/>
                      <w:lock w:val="sdtLocked"/>
                      <w:richText/>
                    </w:sdtPr>
                    <w:sdtContent>
                      <w:r>
                        <w:rPr>
                          <w:color w:val="000000"/>
                        </w:rPr>
                        <w:t>19</w:t>
                      </w:r>
                    </w:sdtContent>
                  </w:sdt>
                  <w:r>
                    <w:rPr>
                      <w:color w:val="000000"/>
                    </w:rPr>
                    <w:t>. Nusidėvėjimo (amortizacijos), atidėjinių, nuvertėjimo, sukauptų gautinų sumų arba sukauptų mokėtinų sumų pasikeitimas didina arba mažina sąnaudas, tačiau nerodo pinigų judėjimo, todėl šios sąnaudos neturi būti priskiriamos prie pinigų srautų.</w:t>
                  </w:r>
                </w:p>
                <w:p>
                  <w:pPr>
                    <w:widowControl w:val="0"/>
                    <w:suppressAutoHyphens/>
                    <w:ind w:firstLine="567"/>
                    <w:jc w:val="both"/>
                    <w:rPr>
                      <w:color w:val="000000"/>
                    </w:rPr>
                  </w:pPr>
                </w:p>
              </w:sdtContent>
            </w:sdt>
          </w:sdtContent>
        </w:sdt>
        <w:sdt>
          <w:sdtPr>
            <w:alias w:val="skyrius"/>
            <w:tag w:val="part_33d187b092e14d7f9b4e84b581d2fc80"/>
            <w:lock w:val="sdtLocked"/>
            <w:richText/>
          </w:sdtPr>
          <w:sdtContent>
            <w:p>
              <w:pPr>
                <w:keepLines/>
                <w:widowControl w:val="0"/>
                <w:suppressAutoHyphens/>
                <w:jc w:val="center"/>
                <w:rPr>
                  <w:b/>
                  <w:bCs/>
                  <w:caps/>
                  <w:color w:val="000000"/>
                </w:rPr>
              </w:pPr>
              <w:sdt>
                <w:sdtPr>
                  <w:alias w:val="Numeris"/>
                  <w:tag w:val="nr_33d187b092e14d7f9b4e84b581d2fc80"/>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33d187b092e14d7f9b4e84b581d2fc80"/>
                  <w:lock w:val="sdtLocked"/>
                  <w:richText/>
                </w:sdtPr>
                <w:sdtContent>
                  <w:r>
                    <w:rPr>
                      <w:b/>
                      <w:bCs/>
                      <w:caps/>
                      <w:color w:val="000000"/>
                    </w:rPr>
                    <w:t>INVESTICINĖ VEIKLA</w:t>
                  </w:r>
                </w:sdtContent>
              </w:sdt>
            </w:p>
            <w:p>
              <w:pPr>
                <w:widowControl w:val="0"/>
                <w:suppressAutoHyphens/>
                <w:ind w:firstLine="567"/>
                <w:jc w:val="both"/>
                <w:rPr>
                  <w:color w:val="000000"/>
                </w:rPr>
              </w:pPr>
            </w:p>
            <w:sdt>
              <w:sdtPr>
                <w:alias w:val="20 p."/>
                <w:tag w:val="part_7bb8d807115248e6a1e58ec4af8cf873"/>
                <w:lock w:val="sdtLocked"/>
                <w:richText/>
              </w:sdtPr>
              <w:sdtContent>
                <w:p>
                  <w:pPr>
                    <w:widowControl w:val="0"/>
                    <w:ind w:firstLine="567"/>
                    <w:jc w:val="both"/>
                    <w:rPr>
                      <w:color w:val="000000"/>
                    </w:rPr>
                  </w:pPr>
                  <w:sdt>
                    <w:sdtPr>
                      <w:alias w:val="Numeris"/>
                      <w:tag w:val="nr_7bb8d807115248e6a1e58ec4af8cf873"/>
                      <w:lock w:val="sdtLocked"/>
                      <w:richText/>
                    </w:sdtPr>
                    <w:sdtContent>
                      <w:r>
                        <w:t>20</w:t>
                      </w:r>
                    </w:sdtContent>
                  </w:sdt>
                  <w:r>
                    <w:t>. Investicinės veiklos pinigų srautai rodo išmokas, kurios buvo padarytos per ataskaitinį laikotarpį įsigyjant ilgalaikį turtą ir biologinį turtą, kuris ilgą laiką teiks ekonominę naudą, sudarys galimybes teikti viešąsias paslaugas, taip pat kurs įplaukas šį turtą perleidžiant, t. y. turtą parduodant arba kitaip perleidžiant ir iš to atsirandant pinigų srautams.</w:t>
                  </w:r>
                </w:p>
              </w:sdtContent>
            </w:sdt>
            <w:sdt>
              <w:sdtPr>
                <w:alias w:val="21 p."/>
                <w:tag w:val="part_efc7c21563954c63b560747518bfd9cf"/>
                <w:lock w:val="sdtLocked"/>
                <w:richText/>
              </w:sdtPr>
              <w:sdtContent>
                <w:p>
                  <w:pPr>
                    <w:widowControl w:val="0"/>
                    <w:ind w:firstLine="567"/>
                    <w:jc w:val="both"/>
                  </w:pPr>
                  <w:sdt>
                    <w:sdtPr>
                      <w:alias w:val="Numeris"/>
                      <w:tag w:val="nr_efc7c21563954c63b560747518bfd9cf"/>
                      <w:lock w:val="sdtLocked"/>
                      <w:richText/>
                    </w:sdtPr>
                    <w:sdtContent>
                      <w:r>
                        <w:t>21</w:t>
                      </w:r>
                    </w:sdtContent>
                  </w:sdt>
                  <w:r>
                    <w:t>. Straipsnyje „Investicinės veiklos pinigų srautai“ rodoma:</w:t>
                  </w:r>
                </w:p>
                <w:sdt>
                  <w:sdtPr>
                    <w:alias w:val="21.1 pp."/>
                    <w:tag w:val="part_abd1b31c98ec48e3a2724d0a4b9bbd42"/>
                    <w:lock w:val="sdtLocked"/>
                    <w:richText/>
                  </w:sdtPr>
                  <w:sdtContent>
                    <w:p>
                      <w:pPr>
                        <w:widowControl w:val="0"/>
                        <w:ind w:firstLine="567"/>
                        <w:jc w:val="both"/>
                      </w:pPr>
                      <w:sdt>
                        <w:sdtPr>
                          <w:alias w:val="Numeris"/>
                          <w:tag w:val="nr_abd1b31c98ec48e3a2724d0a4b9bbd42"/>
                          <w:lock w:val="sdtLocked"/>
                          <w:richText/>
                        </w:sdtPr>
                        <w:sdtContent>
                          <w:r>
                            <w:t>21.1</w:t>
                          </w:r>
                        </w:sdtContent>
                      </w:sdt>
                      <w:r>
                        <w:t>. Straipsnyje „Išmokos įsigijus ilgalaikį turtą (išskyrus finansinį) ir biologinį turtą“ rodomos viešojo sektoriaus subjektų pinigų išmokos įsigyjant ilgalaikį materialųjį, nematerialųjį ir biologinį turtą. Šios išmokos apima ir tas, kurios susijusios su ilgalaikio materialiojo turto vertės didinimu esminio pagerinimo išlaidomis ir paties viešojo sektoriaus subjekto pasigamintu ilgalaikiu materialiuoju ir nematerialiuoju turtu. Ataskaitoje ilgalaikio (išskyrus finansinį) ir biologinio turto įsigijimo išmokų ir perleidimo įplaukų tarpusavio užskaita negali būti atliekama.</w:t>
                      </w:r>
                    </w:p>
                  </w:sdtContent>
                </w:sdt>
                <w:sdt>
                  <w:sdtPr>
                    <w:alias w:val="21.2 pp."/>
                    <w:tag w:val="part_7d5b0035ca51434592325a0ae218ecdb"/>
                    <w:lock w:val="sdtLocked"/>
                    <w:richText/>
                  </w:sdtPr>
                  <w:sdtContent>
                    <w:p>
                      <w:pPr>
                        <w:tabs>
                          <w:tab w:val="left" w:pos="284"/>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7d5b0035ca51434592325a0ae218ecdb"/>
                          <w:lock w:val="sdtLocked"/>
                          <w:richText/>
                        </w:sdtPr>
                        <w:sdtContent>
                          <w:r>
                            <w:rPr>
                              <w:szCs w:val="24"/>
                              <w:lang w:eastAsia="lt-LT"/>
                            </w:rPr>
                            <w:t>21.2</w:t>
                          </w:r>
                        </w:sdtContent>
                      </w:sdt>
                      <w:r>
                        <w:rPr>
                          <w:szCs w:val="24"/>
                          <w:lang w:eastAsia="lt-LT"/>
                        </w:rPr>
                        <w:t xml:space="preserve">. Straipsnyje „Įplaukos perleidus ilgalaikį turtą (išskyrus finansinį) ir biologinį turtą“ rodomos </w:t>
                      </w:r>
                      <w:r>
                        <w:t xml:space="preserve">viešojo sektoriaus subjektų </w:t>
                      </w:r>
                      <w:r>
                        <w:rPr>
                          <w:szCs w:val="24"/>
                          <w:lang w:eastAsia="lt-LT"/>
                        </w:rPr>
                        <w:t>pinigų įplaukos, gautos perleidus ilgalaikį materialųjį, nematerialųjį ir biologinį turtą.</w:t>
                      </w:r>
                      <w:r>
                        <w:t xml:space="preserve"> </w:t>
                      </w:r>
                    </w:p>
                  </w:sdtContent>
                </w:sdt>
                <w:sdt>
                  <w:sdtPr>
                    <w:alias w:val="21.3 pp."/>
                    <w:tag w:val="part_54f0096e056146de96a2fe7e358e5f75"/>
                    <w:lock w:val="sdtLocked"/>
                    <w:richText/>
                  </w:sdtPr>
                  <w:sdtContent>
                    <w:p>
                      <w:pPr>
                        <w:widowControl w:val="0"/>
                        <w:ind w:firstLine="567"/>
                        <w:jc w:val="both"/>
                        <w:rPr>
                          <w:spacing w:val="-6"/>
                        </w:rPr>
                      </w:pPr>
                      <w:sdt>
                        <w:sdtPr>
                          <w:alias w:val="Numeris"/>
                          <w:tag w:val="nr_54f0096e056146de96a2fe7e358e5f75"/>
                          <w:lock w:val="sdtLocked"/>
                          <w:richText/>
                        </w:sdtPr>
                        <w:sdtContent>
                          <w:r>
                            <w:rPr>
                              <w:spacing w:val="-6"/>
                            </w:rPr>
                            <w:t>21.3</w:t>
                          </w:r>
                        </w:sdtContent>
                      </w:sdt>
                      <w:r>
                        <w:rPr>
                          <w:spacing w:val="-6"/>
                        </w:rPr>
                        <w:t xml:space="preserve">. Straipsniuose „Išmokos įsigijus ilgalaikį finansinį turtą“ ir „Įplaukos perleidus ilgalaikį finansinį turtą“ rodomi </w:t>
                      </w:r>
                      <w:r>
                        <w:t xml:space="preserve">viešojo sektoriaus subjektų </w:t>
                      </w:r>
                      <w:r>
                        <w:rPr>
                          <w:spacing w:val="-6"/>
                        </w:rPr>
                        <w:t>pinigai ar pinigų ekvivalentai, gauti arba išleisti atitinkamai įsigijus arba perleidus investicijas į nuosavybės ir ne nuosavybės vertybinius popierius.</w:t>
                      </w:r>
                    </w:p>
                  </w:sdtContent>
                </w:sdt>
                <w:sdt>
                  <w:sdtPr>
                    <w:alias w:val="21.4 pp."/>
                    <w:tag w:val="part_cafc816b053c406191cf7adb944582da"/>
                    <w:lock w:val="sdtLocked"/>
                    <w:richText/>
                  </w:sdtPr>
                  <w:sdtContent>
                    <w:p>
                      <w:pPr>
                        <w:widowControl w:val="0"/>
                        <w:ind w:firstLine="567"/>
                        <w:jc w:val="both"/>
                      </w:pPr>
                      <w:sdt>
                        <w:sdtPr>
                          <w:alias w:val="Numeris"/>
                          <w:tag w:val="nr_cafc816b053c406191cf7adb944582da"/>
                          <w:lock w:val="sdtLocked"/>
                          <w:richText/>
                        </w:sdtPr>
                        <w:sdtContent>
                          <w:r>
                            <w:t>21.4</w:t>
                          </w:r>
                        </w:sdtContent>
                      </w:sdt>
                      <w:r>
                        <w:t>. Straipsnyje „Terminuotųjų indėlių padidėjimas (sumažėjimas)“ rodomos viešojo sektoriaus subjektų terminuotųjų indėlių padidėjimo ar sumažėjimo sumos. Terminuotųjų indėlių pokytis dėl amortizuotos savikainos pasikeitimo, nuvertėjimo nėra pinigų srautų dalis.</w:t>
                      </w:r>
                    </w:p>
                  </w:sdtContent>
                </w:sdt>
                <w:sdt>
                  <w:sdtPr>
                    <w:alias w:val="21.5 pp."/>
                    <w:tag w:val="part_d10e21c715e046bb9e5b6725f23a144d"/>
                    <w:lock w:val="sdtLocked"/>
                    <w:richText/>
                  </w:sdtPr>
                  <w:sdtContent>
                    <w:p>
                      <w:pPr>
                        <w:tabs>
                          <w:tab w:val="left" w:pos="993"/>
                          <w:tab w:val="left" w:pos="1134"/>
                          <w:tab w:val="left" w:pos="1418"/>
                          <w:tab w:val="left" w:pos="1985"/>
                        </w:tabs>
                        <w:ind w:firstLine="567"/>
                        <w:jc w:val="both"/>
                      </w:pPr>
                      <w:sdt>
                        <w:sdtPr>
                          <w:alias w:val="Numeris"/>
                          <w:tag w:val="nr_d10e21c715e046bb9e5b6725f23a144d"/>
                          <w:lock w:val="sdtLocked"/>
                          <w:richText/>
                        </w:sdtPr>
                        <w:sdtContent>
                          <w:r>
                            <w:rPr>
                              <w:rFonts w:eastAsia="Calibri"/>
                              <w:szCs w:val="22"/>
                            </w:rPr>
                            <w:t>21.5</w:t>
                          </w:r>
                        </w:sdtContent>
                      </w:sdt>
                      <w:r>
                        <w:rPr>
                          <w:rFonts w:eastAsia="Calibri"/>
                          <w:szCs w:val="22"/>
                        </w:rPr>
                        <w:t xml:space="preserve">. Straipsnyje „Gauti dividendai“ rodomi </w:t>
                      </w:r>
                      <w:r>
                        <w:t xml:space="preserve">viešojo sektoriaus subjektų </w:t>
                      </w:r>
                      <w:r>
                        <w:rPr>
                          <w:rFonts w:eastAsia="Calibri"/>
                          <w:color w:val="000000"/>
                          <w:szCs w:val="24"/>
                          <w:lang w:eastAsia="lt-LT"/>
                        </w:rPr>
                        <w:t>gauti dividendai ir kitos pelno įmokos, tokios kaip valstybės įmonių pelno įmokos, Lietuvos banko pelno įmokos ir panašiai.</w:t>
                      </w:r>
                      <w:r>
                        <w:t xml:space="preserve"> </w:t>
                      </w:r>
                    </w:p>
                  </w:sdtContent>
                </w:sdt>
                <w:sdt>
                  <w:sdtPr>
                    <w:alias w:val="21.6 pp."/>
                    <w:tag w:val="part_3cdfcbadfc534c169d421a71fcac6d05"/>
                    <w:lock w:val="sdtLocked"/>
                    <w:richText/>
                  </w:sdtPr>
                  <w:sdtContent>
                    <w:p>
                      <w:pPr>
                        <w:widowControl w:val="0"/>
                        <w:ind w:firstLine="567"/>
                        <w:jc w:val="both"/>
                      </w:pPr>
                      <w:sdt>
                        <w:sdtPr>
                          <w:alias w:val="Numeris"/>
                          <w:tag w:val="nr_3cdfcbadfc534c169d421a71fcac6d05"/>
                          <w:lock w:val="sdtLocked"/>
                          <w:richText/>
                        </w:sdtPr>
                        <w:sdtContent>
                          <w:r>
                            <w:t>21.6</w:t>
                          </w:r>
                        </w:sdtContent>
                      </w:sdt>
                      <w:r>
                        <w:t xml:space="preserve">. Straipsnyje „Kiti investicinės veiklos pinigų srautai“ rodomos viešojo sektoriaus subjektų kitos įplaukos ir išmokos, pagal savo esmę priskirtinos prie investicinės veiklos pinigų srautų. </w:t>
                      </w:r>
                    </w:p>
                  </w:sdtContent>
                </w:sdt>
              </w:sdtContent>
            </w:sdt>
            <w:sdt>
              <w:sdtPr>
                <w:alias w:val="22 p."/>
                <w:tag w:val="part_04789406f45e4428879dcfce9ed5951e"/>
                <w:lock w:val="sdtLocked"/>
                <w:richText/>
              </w:sdtPr>
              <w:sdtContent>
                <w:p>
                  <w:pPr>
                    <w:widowControl w:val="0"/>
                    <w:tabs>
                      <w:tab w:val="left" w:pos="851"/>
                      <w:tab w:val="left" w:pos="1134"/>
                    </w:tabs>
                    <w:ind w:firstLine="567"/>
                    <w:jc w:val="both"/>
                    <w:rPr>
                      <w:color w:val="000000"/>
                      <w:spacing w:val="-2"/>
                    </w:rPr>
                  </w:pPr>
                  <w:sdt>
                    <w:sdtPr>
                      <w:alias w:val="Numeris"/>
                      <w:tag w:val="nr_04789406f45e4428879dcfce9ed5951e"/>
                      <w:lock w:val="sdtLocked"/>
                      <w:richText/>
                    </w:sdtPr>
                    <w:sdtContent>
                      <w:r>
                        <w:t>22</w:t>
                      </w:r>
                    </w:sdtContent>
                  </w:sdt>
                  <w:r>
                    <w:t xml:space="preserve">. </w:t>
                  </w:r>
                  <w:r>
                    <w:rPr>
                      <w:color w:val="000000"/>
                    </w:rPr>
                    <w:t xml:space="preserve">Standarto 2–5 prieduose </w:t>
                  </w:r>
                  <w:r>
                    <w:t xml:space="preserve">nustatytų </w:t>
                  </w:r>
                  <w:r>
                    <w:rPr>
                      <w:color w:val="000000"/>
                    </w:rPr>
                    <w:t>formų ataskaitų</w:t>
                  </w:r>
                  <w:r>
                    <w:t xml:space="preserve"> straipsnyje „Valdžios sektoriui priskiriamų įmonių investicinės veiklos pinigų srautai“ nurodomi </w:t>
                  </w:r>
                  <w:r>
                    <w:rPr>
                      <w:rFonts w:eastAsia="Calibri"/>
                      <w:color w:val="000000"/>
                      <w:szCs w:val="22"/>
                    </w:rPr>
                    <w:t xml:space="preserve">pelno siekiančių subjektų </w:t>
                  </w:r>
                  <w:r>
                    <w:t>investicinės veiklos pinigų srautai.</w:t>
                  </w:r>
                </w:p>
                <w:p>
                  <w:pPr>
                    <w:widowControl w:val="0"/>
                    <w:ind w:firstLine="567"/>
                    <w:jc w:val="both"/>
                    <w:rPr>
                      <w:color w:val="000000"/>
                    </w:rPr>
                  </w:pPr>
                </w:p>
              </w:sdtContent>
            </w:sdt>
          </w:sdtContent>
        </w:sdt>
        <w:sdt>
          <w:sdtPr>
            <w:alias w:val="skyrius"/>
            <w:tag w:val="part_efdbbfc22d864141b409330b8240dba3"/>
            <w:lock w:val="sdtLocked"/>
            <w:richText/>
          </w:sdtPr>
          <w:sdtContent>
            <w:p>
              <w:pPr>
                <w:keepLines/>
                <w:widowControl w:val="0"/>
                <w:suppressAutoHyphens/>
                <w:jc w:val="center"/>
                <w:rPr>
                  <w:b/>
                  <w:bCs/>
                  <w:caps/>
                  <w:color w:val="000000"/>
                </w:rPr>
              </w:pPr>
              <w:sdt>
                <w:sdtPr>
                  <w:alias w:val="Numeris"/>
                  <w:tag w:val="nr_efdbbfc22d864141b409330b8240dba3"/>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efdbbfc22d864141b409330b8240dba3"/>
                  <w:lock w:val="sdtLocked"/>
                  <w:richText/>
                </w:sdtPr>
                <w:sdtContent>
                  <w:r>
                    <w:rPr>
                      <w:b/>
                      <w:bCs/>
                      <w:caps/>
                      <w:color w:val="000000"/>
                    </w:rPr>
                    <w:t>FINANSINĖ VEIKLA</w:t>
                  </w:r>
                </w:sdtContent>
              </w:sdt>
            </w:p>
            <w:p>
              <w:pPr>
                <w:widowControl w:val="0"/>
                <w:suppressAutoHyphens/>
                <w:ind w:firstLine="567"/>
                <w:jc w:val="both"/>
                <w:rPr>
                  <w:color w:val="000000"/>
                </w:rPr>
              </w:pPr>
            </w:p>
            <w:sdt>
              <w:sdtPr>
                <w:alias w:val="23 p."/>
                <w:tag w:val="part_481f483e4d9d4442a289d6b0964e69af"/>
                <w:lock w:val="sdtLocked"/>
                <w:richText/>
              </w:sdtPr>
              <w:sdtContent>
                <w:p>
                  <w:pPr>
                    <w:widowControl w:val="0"/>
                    <w:suppressAutoHyphens/>
                    <w:ind w:firstLine="567"/>
                    <w:jc w:val="both"/>
                    <w:rPr>
                      <w:color w:val="000000"/>
                    </w:rPr>
                  </w:pPr>
                  <w:sdt>
                    <w:sdtPr>
                      <w:alias w:val="Numeris"/>
                      <w:tag w:val="nr_481f483e4d9d4442a289d6b0964e69af"/>
                      <w:lock w:val="sdtLocked"/>
                      <w:richText/>
                    </w:sdtPr>
                    <w:sdtContent>
                      <w:r>
                        <w:rPr>
                          <w:color w:val="000000"/>
                        </w:rPr>
                        <w:t>23</w:t>
                      </w:r>
                    </w:sdtContent>
                  </w:sdt>
                  <w:r>
                    <w:rPr>
                      <w:color w:val="000000"/>
                    </w:rPr>
                    <w:t>. Finansinės veiklos pinigų srautai rodo, kokiu mastu per ataskaitinį laikotarpį viešojo sektoriaus subjektas ar viešojo sektoriaus subjektų grupė naudojosi išoriniais finansavimo šaltiniais.</w:t>
                  </w:r>
                </w:p>
              </w:sdtContent>
            </w:sdt>
            <w:sdt>
              <w:sdtPr>
                <w:alias w:val="24 p."/>
                <w:tag w:val="part_1be1cde1f1d7463ca2d55fbb5f148e85"/>
                <w:lock w:val="sdtLocked"/>
                <w:richText/>
              </w:sdtPr>
              <w:sdtContent>
                <w:p>
                  <w:pPr>
                    <w:widowControl w:val="0"/>
                    <w:suppressAutoHyphens/>
                    <w:ind w:firstLine="567"/>
                    <w:jc w:val="both"/>
                    <w:rPr>
                      <w:color w:val="000000"/>
                    </w:rPr>
                  </w:pPr>
                  <w:sdt>
                    <w:sdtPr>
                      <w:alias w:val="Numeris"/>
                      <w:tag w:val="nr_1be1cde1f1d7463ca2d55fbb5f148e85"/>
                      <w:lock w:val="sdtLocked"/>
                      <w:richText/>
                    </w:sdtPr>
                    <w:sdtContent>
                      <w:r>
                        <w:rPr>
                          <w:color w:val="000000"/>
                        </w:rPr>
                        <w:t>24</w:t>
                      </w:r>
                    </w:sdtContent>
                  </w:sdt>
                  <w:r>
                    <w:rPr>
                      <w:color w:val="000000"/>
                    </w:rPr>
                    <w:t>. Straipsnyje „Finansinės veiklos pinigų srautai“ rodoma:</w:t>
                  </w:r>
                </w:p>
                <w:sdt>
                  <w:sdtPr>
                    <w:alias w:val="24.1 pp."/>
                    <w:tag w:val="part_aee8bbddaa3544b9b53c5e57b8bc1efb"/>
                    <w:lock w:val="sdtLocked"/>
                    <w:richText/>
                  </w:sdtPr>
                  <w:sdtContent>
                    <w:p>
                      <w:pPr>
                        <w:widowControl w:val="0"/>
                        <w:suppressAutoHyphens/>
                        <w:ind w:firstLine="567"/>
                        <w:jc w:val="both"/>
                        <w:rPr>
                          <w:color w:val="000000"/>
                        </w:rPr>
                      </w:pPr>
                      <w:sdt>
                        <w:sdtPr>
                          <w:alias w:val="Numeris"/>
                          <w:tag w:val="nr_aee8bbddaa3544b9b53c5e57b8bc1efb"/>
                          <w:lock w:val="sdtLocked"/>
                          <w:richText/>
                        </w:sdtPr>
                        <w:sdtContent>
                          <w:r>
                            <w:rPr>
                              <w:color w:val="000000"/>
                            </w:rPr>
                            <w:t>24.1</w:t>
                          </w:r>
                        </w:sdtContent>
                      </w:sdt>
                      <w:r>
                        <w:rPr>
                          <w:color w:val="000000"/>
                        </w:rPr>
                        <w:t>. Straipsnyje „Įplaukos iš gautų paskolų“ rodomos viešojo sektoriaus subjektų gautos ilgalaikės ir trumpalaikės paskolos neatsižvelgiant į jų sutarčių formas. Skolos, atsirandančios iš prekių pardavimo ar paslaugų suteikimo, nelaikomos paskolomis ir priskiriamos prie pagrindinės, o ne finansinės veiklos.</w:t>
                      </w:r>
                    </w:p>
                  </w:sdtContent>
                </w:sdt>
                <w:sdt>
                  <w:sdtPr>
                    <w:alias w:val="24.2 pp."/>
                    <w:tag w:val="part_772eb3645b704498bceeaded73e54ee5"/>
                    <w:lock w:val="sdtLocked"/>
                    <w:richText/>
                  </w:sdtPr>
                  <w:sdtContent>
                    <w:p>
                      <w:pPr>
                        <w:widowControl w:val="0"/>
                        <w:suppressAutoHyphens/>
                        <w:ind w:firstLine="567"/>
                        <w:jc w:val="both"/>
                        <w:rPr>
                          <w:color w:val="000000"/>
                        </w:rPr>
                      </w:pPr>
                      <w:sdt>
                        <w:sdtPr>
                          <w:alias w:val="Numeris"/>
                          <w:tag w:val="nr_772eb3645b704498bceeaded73e54ee5"/>
                          <w:lock w:val="sdtLocked"/>
                          <w:richText/>
                        </w:sdtPr>
                        <w:sdtContent>
                          <w:r>
                            <w:rPr>
                              <w:color w:val="000000"/>
                              <w:spacing w:val="-6"/>
                            </w:rPr>
                            <w:t>24.2</w:t>
                          </w:r>
                        </w:sdtContent>
                      </w:sdt>
                      <w:r>
                        <w:rPr>
                          <w:color w:val="000000"/>
                          <w:spacing w:val="-6"/>
                        </w:rPr>
                        <w:t xml:space="preserve">. Straipsnyje „Gautų paskolų grąžinimas“ rodoma per ataskaitinį laikotarpį </w:t>
                      </w:r>
                      <w:r>
                        <w:rPr>
                          <w:color w:val="000000"/>
                        </w:rPr>
                        <w:t xml:space="preserve">viešojo sektoriaus subjektų </w:t>
                      </w:r>
                      <w:r>
                        <w:rPr>
                          <w:color w:val="000000"/>
                          <w:spacing w:val="-6"/>
                        </w:rPr>
                        <w:t>sugrąžintų ilgalaikių ir trumpalaikių paskolų suma, išskyrus sumokėtas palūkanas.</w:t>
                      </w:r>
                    </w:p>
                  </w:sdtContent>
                </w:sdt>
                <w:sdt>
                  <w:sdtPr>
                    <w:alias w:val="24.3 pp."/>
                    <w:tag w:val="part_c49dbb1edfe84d3bb510001cd3645923"/>
                    <w:lock w:val="sdtLocked"/>
                    <w:richText/>
                  </w:sdtPr>
                  <w:sdtContent>
                    <w:p>
                      <w:pPr>
                        <w:widowControl w:val="0"/>
                        <w:suppressAutoHyphens/>
                        <w:ind w:firstLine="567"/>
                        <w:jc w:val="both"/>
                        <w:rPr>
                          <w:color w:val="000000"/>
                        </w:rPr>
                      </w:pPr>
                      <w:sdt>
                        <w:sdtPr>
                          <w:alias w:val="Numeris"/>
                          <w:tag w:val="nr_c49dbb1edfe84d3bb510001cd3645923"/>
                          <w:lock w:val="sdtLocked"/>
                          <w:richText/>
                        </w:sdtPr>
                        <w:sdtContent>
                          <w:r>
                            <w:rPr>
                              <w:color w:val="000000"/>
                            </w:rPr>
                            <w:t>24.3</w:t>
                          </w:r>
                        </w:sdtContent>
                      </w:sdt>
                      <w:r>
                        <w:rPr>
                          <w:color w:val="000000"/>
                        </w:rPr>
                        <w:t>. Straipsnyje „Finansinės nuomos (lizingo) įsipareigojimų apmokėjimas“ rodoma per ataskaitinį laikotarpį viešojo sektoriaus subjektų apmokėtų finansinės nuomos įsipareigojimų suma, išskyrus sumokėtas palūkanas.</w:t>
                      </w:r>
                    </w:p>
                  </w:sdtContent>
                </w:sdt>
                <w:sdt>
                  <w:sdtPr>
                    <w:alias w:val="24.4 pp."/>
                    <w:tag w:val="part_5098c1825e4f4c41966a6cb65f892f75"/>
                    <w:lock w:val="sdtLocked"/>
                    <w:richText/>
                  </w:sdtPr>
                  <w:sdtContent>
                    <w:p>
                      <w:pPr>
                        <w:widowControl w:val="0"/>
                        <w:suppressAutoHyphens/>
                        <w:ind w:firstLine="567"/>
                        <w:jc w:val="both"/>
                        <w:rPr>
                          <w:color w:val="000000"/>
                        </w:rPr>
                      </w:pPr>
                      <w:sdt>
                        <w:sdtPr>
                          <w:alias w:val="Numeris"/>
                          <w:tag w:val="nr_5098c1825e4f4c41966a6cb65f892f75"/>
                          <w:lock w:val="sdtLocked"/>
                          <w:richText/>
                        </w:sdtPr>
                        <w:sdtContent>
                          <w:r>
                            <w:rPr>
                              <w:color w:val="000000"/>
                              <w:spacing w:val="-1"/>
                            </w:rPr>
                            <w:t>24.4</w:t>
                          </w:r>
                        </w:sdtContent>
                      </w:sdt>
                      <w:r>
                        <w:rPr>
                          <w:color w:val="000000"/>
                          <w:spacing w:val="-1"/>
                        </w:rPr>
                        <w:t xml:space="preserve">. Straipsnyje „Gautos finansavimo sumos ilgalaikiam ir biologiniam turtui įsigyti“ rodomos per ataskaitinį laikotarpį </w:t>
                      </w:r>
                      <w:r>
                        <w:rPr>
                          <w:color w:val="000000"/>
                        </w:rPr>
                        <w:t xml:space="preserve">viešojo sektoriaus subjektų </w:t>
                      </w:r>
                      <w:r>
                        <w:rPr>
                          <w:color w:val="000000"/>
                          <w:spacing w:val="-1"/>
                        </w:rPr>
                        <w:t>iš valstybės biudžeto, savivaldybės biudžeto, Europos Sąjungos, užsienio valstybių ir tarptautinių organizacijų ir iš kitų šaltinių gautos finansavimo sumos ilgalaikiam ir biologiniam turtui įsigyti.</w:t>
                      </w:r>
                    </w:p>
                  </w:sdtContent>
                </w:sdt>
                <w:sdt>
                  <w:sdtPr>
                    <w:alias w:val="24.5 pp."/>
                    <w:tag w:val="part_2d4d737d0c0240ee83aeda6f5cf48cba"/>
                    <w:lock w:val="sdtLocked"/>
                    <w:richText/>
                  </w:sdtPr>
                  <w:sdtContent>
                    <w:p>
                      <w:pPr>
                        <w:tabs>
                          <w:tab w:val="left" w:pos="1276"/>
                        </w:tabs>
                        <w:ind w:firstLine="567"/>
                        <w:jc w:val="both"/>
                        <w:rPr>
                          <w:color w:val="000000"/>
                        </w:rPr>
                      </w:pPr>
                      <w:sdt>
                        <w:sdtPr>
                          <w:alias w:val="Numeris"/>
                          <w:tag w:val="nr_2d4d737d0c0240ee83aeda6f5cf48cba"/>
                          <w:lock w:val="sdtLocked"/>
                          <w:richText/>
                        </w:sdtPr>
                        <w:sdtContent>
                          <w:r>
                            <w:rPr>
                              <w:rFonts w:eastAsia="Calibri"/>
                              <w:szCs w:val="24"/>
                            </w:rPr>
                            <w:t>24.5</w:t>
                          </w:r>
                        </w:sdtContent>
                      </w:sdt>
                      <w:r>
                        <w:rPr>
                          <w:rFonts w:eastAsia="Calibri"/>
                          <w:szCs w:val="24"/>
                        </w:rPr>
                        <w:t xml:space="preserve">. Straipsnyje „Grąžintos ir perduotos finansavimo sumos ilgalaikiam ir biologiniam turtui įsigyti“ rodomos per ataskaitinį laikotarpį </w:t>
                      </w:r>
                      <w:r>
                        <w:rPr>
                          <w:color w:val="000000"/>
                        </w:rPr>
                        <w:t xml:space="preserve">viešojo sektoriaus subjektų </w:t>
                      </w:r>
                      <w:r>
                        <w:rPr>
                          <w:rFonts w:eastAsia="Calibri"/>
                          <w:szCs w:val="24"/>
                        </w:rPr>
                        <w:t xml:space="preserve">grąžintos ir kitiems subjektams perduotos iš visų finansavimo šaltinių gautos finansavimo sumos ilgalaikiam ir </w:t>
                      </w:r>
                      <w:r>
                        <w:rPr>
                          <w:szCs w:val="24"/>
                          <w:lang w:eastAsia="lt-LT"/>
                        </w:rPr>
                        <w:t>biologiniam turtui įsigyti.</w:t>
                      </w:r>
                      <w:r>
                        <w:t xml:space="preserve"> </w:t>
                      </w:r>
                    </w:p>
                  </w:sdtContent>
                </w:sdt>
                <w:sdt>
                  <w:sdtPr>
                    <w:alias w:val="24.6 pp."/>
                    <w:tag w:val="part_255fe8f5dd8e4ad9aecb00e1f8230639"/>
                    <w:lock w:val="sdtLocked"/>
                    <w:richText/>
                  </w:sdtPr>
                  <w:sdtContent>
                    <w:p>
                      <w:pPr>
                        <w:tabs>
                          <w:tab w:val="left" w:pos="993"/>
                          <w:tab w:val="left" w:pos="1134"/>
                          <w:tab w:val="left" w:pos="1418"/>
                          <w:tab w:val="left" w:pos="1985"/>
                        </w:tabs>
                        <w:ind w:firstLine="567"/>
                        <w:jc w:val="both"/>
                        <w:rPr>
                          <w:color w:val="000000"/>
                        </w:rPr>
                      </w:pPr>
                      <w:sdt>
                        <w:sdtPr>
                          <w:alias w:val="Numeris"/>
                          <w:tag w:val="nr_255fe8f5dd8e4ad9aecb00e1f8230639"/>
                          <w:lock w:val="sdtLocked"/>
                          <w:richText/>
                        </w:sdtPr>
                        <w:sdtContent>
                          <w:r>
                            <w:rPr>
                              <w:rFonts w:eastAsia="Calibri"/>
                              <w:szCs w:val="24"/>
                            </w:rPr>
                            <w:t>24.6</w:t>
                          </w:r>
                        </w:sdtContent>
                      </w:sdt>
                      <w:r>
                        <w:rPr>
                          <w:rFonts w:eastAsia="Calibri"/>
                          <w:szCs w:val="24"/>
                        </w:rPr>
                        <w:t xml:space="preserve">. Straipsnyje </w:t>
                      </w:r>
                      <w:r>
                        <w:rPr>
                          <w:rFonts w:eastAsia="Calibri"/>
                          <w:color w:val="000000"/>
                          <w:szCs w:val="22"/>
                        </w:rPr>
                        <w:t>„Gauti dalininko įnašai“ rodomos pinigų įplaukos, kurias gauna viešosios įstaigos, priskirtos prie viešojo sektoriaus subjektų, dalininko kapitalui didinti.</w:t>
                      </w:r>
                      <w:r>
                        <w:t xml:space="preserve"> </w:t>
                      </w:r>
                    </w:p>
                  </w:sdtContent>
                </w:sdt>
                <w:sdt>
                  <w:sdtPr>
                    <w:alias w:val="24.7 pp."/>
                    <w:tag w:val="part_25afdb37d9e54f84af9913bcd8f111eb"/>
                    <w:lock w:val="sdtLocked"/>
                    <w:richText/>
                  </w:sdtPr>
                  <w:sdtContent>
                    <w:p>
                      <w:pPr>
                        <w:widowControl w:val="0"/>
                        <w:suppressAutoHyphens/>
                        <w:ind w:firstLine="567"/>
                        <w:jc w:val="both"/>
                        <w:rPr>
                          <w:color w:val="000000"/>
                        </w:rPr>
                      </w:pPr>
                      <w:sdt>
                        <w:sdtPr>
                          <w:alias w:val="Numeris"/>
                          <w:tag w:val="nr_25afdb37d9e54f84af9913bcd8f111eb"/>
                          <w:lock w:val="sdtLocked"/>
                          <w:richText/>
                        </w:sdtPr>
                        <w:sdtContent>
                          <w:r>
                            <w:rPr>
                              <w:color w:val="000000"/>
                            </w:rPr>
                            <w:t>24.7</w:t>
                          </w:r>
                        </w:sdtContent>
                      </w:sdt>
                      <w:r>
                        <w:rPr>
                          <w:color w:val="000000"/>
                        </w:rPr>
                        <w:t>. Straipsnyje „Kiti finansinės veiklos pinigų srautai“ rodomi kiti Standarto 24.1–24.6 papunkčiuose neišvardyti finansinės veiklos pinigų srautai (garantijų apmokėjimo sumos ir kt.), išskyrus Standarto 25 punkte nurodytus pinigų srautus.</w:t>
                      </w:r>
                    </w:p>
                  </w:sdtContent>
                </w:sdt>
              </w:sdtContent>
            </w:sdt>
            <w:sdt>
              <w:sdtPr>
                <w:alias w:val="25 p."/>
                <w:tag w:val="part_10909b22fbf1407e96bb6724491fcfa0"/>
                <w:lock w:val="sdtLocked"/>
                <w:richText/>
              </w:sdtPr>
              <w:sdtContent>
                <w:p>
                  <w:pPr>
                    <w:widowControl w:val="0"/>
                    <w:suppressAutoHyphens/>
                    <w:ind w:firstLine="567"/>
                    <w:jc w:val="both"/>
                    <w:rPr>
                      <w:color w:val="000000"/>
                    </w:rPr>
                  </w:pPr>
                  <w:sdt>
                    <w:sdtPr>
                      <w:alias w:val="Numeris"/>
                      <w:tag w:val="nr_10909b22fbf1407e96bb6724491fcfa0"/>
                      <w:lock w:val="sdtLocked"/>
                      <w:richText/>
                    </w:sdtPr>
                    <w:sdtContent>
                      <w:r>
                        <w:t>25</w:t>
                      </w:r>
                    </w:sdtContent>
                  </w:sdt>
                  <w:r>
                    <w:t xml:space="preserve">. </w:t>
                  </w:r>
                  <w:r>
                    <w:rPr>
                      <w:color w:val="000000"/>
                    </w:rPr>
                    <w:t xml:space="preserve">Standarto 2–5 prieduose </w:t>
                  </w:r>
                  <w:r>
                    <w:t xml:space="preserve">nustatytų </w:t>
                  </w:r>
                  <w:r>
                    <w:rPr>
                      <w:color w:val="000000"/>
                    </w:rPr>
                    <w:t>formų</w:t>
                  </w:r>
                  <w:r>
                    <w:t xml:space="preserve"> ataskaitų straipsnyje </w:t>
                  </w:r>
                  <w:r>
                    <w:rPr>
                      <w:color w:val="000000"/>
                    </w:rPr>
                    <w:t>„Finansinės veiklos pinigų srautai“</w:t>
                  </w:r>
                  <w:r>
                    <w:t xml:space="preserve"> taip pat nurodomi </w:t>
                  </w:r>
                  <w:r>
                    <w:rPr>
                      <w:rFonts w:eastAsia="Calibri"/>
                      <w:color w:val="000000"/>
                      <w:szCs w:val="22"/>
                    </w:rPr>
                    <w:t xml:space="preserve">pelno siekiančių subjektų </w:t>
                  </w:r>
                  <w:r>
                    <w:t>finansinės veiklos pinigų srautai, pateikiant juos straipsnyje „Valdžios sektoriui priskiriamų įmonių finansinės veiklos pinigų srautai“.</w:t>
                  </w:r>
                </w:p>
                <w:p>
                  <w:pPr>
                    <w:widowControl w:val="0"/>
                    <w:suppressAutoHyphens/>
                    <w:ind w:firstLine="567"/>
                    <w:jc w:val="both"/>
                    <w:rPr>
                      <w:color w:val="000000"/>
                    </w:rPr>
                  </w:pPr>
                </w:p>
              </w:sdtContent>
            </w:sdt>
          </w:sdtContent>
        </w:sdt>
        <w:sdt>
          <w:sdtPr>
            <w:alias w:val="skyrius"/>
            <w:tag w:val="part_98c98516e8244520ac4520e66ea85661"/>
            <w:lock w:val="sdtLocked"/>
            <w:richText/>
          </w:sdtPr>
          <w:sdtContent>
            <w:p>
              <w:pPr>
                <w:keepLines/>
                <w:widowControl w:val="0"/>
                <w:suppressAutoHyphens/>
                <w:jc w:val="center"/>
                <w:rPr>
                  <w:b/>
                  <w:bCs/>
                  <w:caps/>
                  <w:color w:val="000000"/>
                </w:rPr>
              </w:pPr>
              <w:sdt>
                <w:sdtPr>
                  <w:alias w:val="Numeris"/>
                  <w:tag w:val="nr_98c98516e8244520ac4520e66ea85661"/>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98c98516e8244520ac4520e66ea85661"/>
                  <w:lock w:val="sdtLocked"/>
                  <w:richText/>
                </w:sdtPr>
                <w:sdtContent>
                  <w:r>
                    <w:rPr>
                      <w:b/>
                      <w:bCs/>
                      <w:caps/>
                      <w:color w:val="000000"/>
                    </w:rPr>
                    <w:t>DUOMENŲ APIE PINIGŲ SRAUTUS PATEIKIMAS</w:t>
                  </w:r>
                </w:sdtContent>
              </w:sdt>
            </w:p>
            <w:p>
              <w:pPr>
                <w:widowControl w:val="0"/>
                <w:suppressAutoHyphens/>
                <w:ind w:firstLine="567"/>
                <w:jc w:val="both"/>
                <w:rPr>
                  <w:color w:val="000000"/>
                </w:rPr>
              </w:pPr>
            </w:p>
            <w:sdt>
              <w:sdtPr>
                <w:alias w:val="26 p."/>
                <w:tag w:val="part_7fbbda57cce5436bbc13f1d391d599c5"/>
                <w:lock w:val="sdtLocked"/>
                <w:richText/>
              </w:sdtPr>
              <w:sdtContent>
                <w:p>
                  <w:pPr>
                    <w:widowControl w:val="0"/>
                    <w:ind w:firstLine="567"/>
                    <w:jc w:val="both"/>
                    <w:rPr>
                      <w:color w:val="000000"/>
                    </w:rPr>
                  </w:pPr>
                  <w:sdt>
                    <w:sdtPr>
                      <w:alias w:val="Numeris"/>
                      <w:tag w:val="nr_7fbbda57cce5436bbc13f1d391d599c5"/>
                      <w:lock w:val="sdtLocked"/>
                      <w:richText/>
                    </w:sdtPr>
                    <w:sdtContent>
                      <w:r>
                        <w:t>26</w:t>
                      </w:r>
                    </w:sdtContent>
                  </w:sdt>
                  <w:r>
                    <w:t xml:space="preserve">. Rengiant ataskaitą duomenys apie pinigų įplaukas ir išmokas gaunami iš viešojo sektoriaus subjektų apskaitos registrų, tai yra pagal pinigų, pinigų ekvivalentų sąskaitų apyvartas ir sąskaitų, susijusių su netiesioginiais pinigų srautais, likučių kitimą. </w:t>
                  </w:r>
                </w:p>
              </w:sdtContent>
            </w:sdt>
            <w:sdt>
              <w:sdtPr>
                <w:alias w:val="27 p."/>
                <w:tag w:val="part_5230847a74034f1fb6ce7ed793308190"/>
                <w:lock w:val="sdtLocked"/>
                <w:richText/>
              </w:sdtPr>
              <w:sdtContent>
                <w:p>
                  <w:pPr>
                    <w:widowControl w:val="0"/>
                    <w:suppressAutoHyphens/>
                    <w:ind w:firstLine="567"/>
                    <w:jc w:val="both"/>
                    <w:rPr>
                      <w:color w:val="000000"/>
                    </w:rPr>
                  </w:pPr>
                  <w:sdt>
                    <w:sdtPr>
                      <w:alias w:val="Numeris"/>
                      <w:tag w:val="nr_5230847a74034f1fb6ce7ed793308190"/>
                      <w:lock w:val="sdtLocked"/>
                      <w:richText/>
                    </w:sdtPr>
                    <w:sdtContent>
                      <w:r>
                        <w:rPr>
                          <w:color w:val="000000"/>
                        </w:rPr>
                        <w:t>27</w:t>
                      </w:r>
                    </w:sdtContent>
                  </w:sdt>
                  <w:r>
                    <w:rPr>
                      <w:color w:val="000000"/>
                    </w:rPr>
                    <w:t>. Duomenys apie pinigų įplaukas ir išmokas pateikiami kartu su pridėtinės vertės mokesčiu, jei jis yra.</w:t>
                  </w:r>
                </w:p>
              </w:sdtContent>
            </w:sdt>
            <w:sdt>
              <w:sdtPr>
                <w:alias w:val="28 p."/>
                <w:tag w:val="part_89374b7d1103486f85727543dfd50df7"/>
                <w:lock w:val="sdtLocked"/>
                <w:richText/>
              </w:sdtPr>
              <w:sdtContent>
                <w:p>
                  <w:pPr>
                    <w:widowControl w:val="0"/>
                    <w:suppressAutoHyphens/>
                    <w:ind w:firstLine="567"/>
                    <w:jc w:val="both"/>
                    <w:rPr>
                      <w:color w:val="000000"/>
                    </w:rPr>
                  </w:pPr>
                  <w:sdt>
                    <w:sdtPr>
                      <w:alias w:val="Numeris"/>
                      <w:tag w:val="nr_89374b7d1103486f85727543dfd50df7"/>
                      <w:lock w:val="sdtLocked"/>
                      <w:richText/>
                    </w:sdtPr>
                    <w:sdtContent>
                      <w:r>
                        <w:rPr>
                          <w:color w:val="000000"/>
                        </w:rPr>
                        <w:t>28</w:t>
                      </w:r>
                    </w:sdtContent>
                  </w:sdt>
                  <w:r>
                    <w:rPr>
                      <w:color w:val="000000"/>
                    </w:rPr>
                    <w:t>. Duomenys apie pinigų įplaukas ir išmokas per ataskaitinį laikotarpį ataskaitoje pateikiami atskirai nurodant įplaukas ir išmokas, išskyrus Standarto 29 punkte nustatytus atvejus.</w:t>
                  </w:r>
                </w:p>
              </w:sdtContent>
            </w:sdt>
            <w:sdt>
              <w:sdtPr>
                <w:alias w:val="29 p."/>
                <w:tag w:val="part_f4b5e8f4a86243a99e9f60f7b69f03f7"/>
                <w:lock w:val="sdtLocked"/>
                <w:richText/>
              </w:sdtPr>
              <w:sdtContent>
                <w:p>
                  <w:pPr>
                    <w:widowControl w:val="0"/>
                    <w:ind w:firstLine="567"/>
                    <w:jc w:val="both"/>
                  </w:pPr>
                  <w:sdt>
                    <w:sdtPr>
                      <w:alias w:val="Numeris"/>
                      <w:tag w:val="nr_f4b5e8f4a86243a99e9f60f7b69f03f7"/>
                      <w:lock w:val="sdtLocked"/>
                      <w:richText/>
                    </w:sdtPr>
                    <w:sdtContent>
                      <w:r>
                        <w:t>29</w:t>
                      </w:r>
                    </w:sdtContent>
                  </w:sdt>
                  <w:r>
                    <w:t>. Įplaukų ir išmokų skirtumo suma gali būti nurodoma tik šiuose ataskaitos straipsniuose (turto straipsnių padidėjimas rodomas su minuso ženklu, sumažėjimas – su pliuso):</w:t>
                  </w:r>
                </w:p>
                <w:sdt>
                  <w:sdtPr>
                    <w:alias w:val="29.1 pp."/>
                    <w:tag w:val="part_e58bfefbc55a4235b641f9f9b3e12758"/>
                    <w:lock w:val="sdtLocked"/>
                    <w:richText/>
                  </w:sdtPr>
                  <w:sdtContent>
                    <w:p>
                      <w:pPr>
                        <w:widowControl w:val="0"/>
                        <w:ind w:firstLine="567"/>
                        <w:jc w:val="both"/>
                      </w:pPr>
                      <w:sdt>
                        <w:sdtPr>
                          <w:alias w:val="Numeris"/>
                          <w:tag w:val="nr_e58bfefbc55a4235b641f9f9b3e12758"/>
                          <w:lock w:val="sdtLocked"/>
                          <w:richText/>
                        </w:sdtPr>
                        <w:sdtContent>
                          <w:r>
                            <w:t>29.1</w:t>
                          </w:r>
                        </w:sdtContent>
                      </w:sdt>
                      <w:r>
                        <w:t>. „Terminuotųjų indėlių padidėjimas (sumažėjimas)“;</w:t>
                      </w:r>
                    </w:p>
                  </w:sdtContent>
                </w:sdt>
                <w:sdt>
                  <w:sdtPr>
                    <w:alias w:val="29.2 pp."/>
                    <w:tag w:val="part_b1d32aea282446ab97046f6062e360ea"/>
                    <w:lock w:val="sdtLocked"/>
                    <w:richText/>
                  </w:sdtPr>
                  <w:sdtContent>
                    <w:p>
                      <w:pPr>
                        <w:widowControl w:val="0"/>
                        <w:ind w:firstLine="567"/>
                        <w:jc w:val="both"/>
                      </w:pPr>
                      <w:sdt>
                        <w:sdtPr>
                          <w:alias w:val="Numeris"/>
                          <w:tag w:val="nr_b1d32aea282446ab97046f6062e360ea"/>
                          <w:lock w:val="sdtLocked"/>
                          <w:richText/>
                        </w:sdtPr>
                        <w:sdtContent>
                          <w:r>
                            <w:t>29.2</w:t>
                          </w:r>
                        </w:sdtContent>
                      </w:sdt>
                      <w:r>
                        <w:t>. „Kiti investicinės veiklos pinigų srautai“;</w:t>
                      </w:r>
                    </w:p>
                  </w:sdtContent>
                </w:sdt>
                <w:sdt>
                  <w:sdtPr>
                    <w:alias w:val="29.3 pp."/>
                    <w:tag w:val="part_804309b2898944d6aed83ec60c410c26"/>
                    <w:lock w:val="sdtLocked"/>
                    <w:richText/>
                  </w:sdtPr>
                  <w:sdtContent>
                    <w:p>
                      <w:pPr>
                        <w:widowControl w:val="0"/>
                        <w:ind w:firstLine="567"/>
                        <w:jc w:val="both"/>
                        <w:rPr>
                          <w:color w:val="000000"/>
                        </w:rPr>
                      </w:pPr>
                      <w:sdt>
                        <w:sdtPr>
                          <w:alias w:val="Numeris"/>
                          <w:tag w:val="nr_804309b2898944d6aed83ec60c410c26"/>
                          <w:lock w:val="sdtLocked"/>
                          <w:richText/>
                        </w:sdtPr>
                        <w:sdtContent>
                          <w:r>
                            <w:t>29.3</w:t>
                          </w:r>
                        </w:sdtContent>
                      </w:sdt>
                      <w:r>
                        <w:t xml:space="preserve">. „Kiti finansinės veiklos pinigų srautai“. </w:t>
                      </w:r>
                    </w:p>
                    <w:p>
                      <w:pPr>
                        <w:keepLines/>
                        <w:widowControl w:val="0"/>
                        <w:suppressAutoHyphens/>
                        <w:jc w:val="center"/>
                        <w:rPr>
                          <w:b/>
                          <w:bCs/>
                          <w:caps/>
                          <w:color w:val="000000"/>
                        </w:rPr>
                      </w:pPr>
                    </w:p>
                  </w:sdtContent>
                </w:sdt>
              </w:sdtContent>
            </w:sdt>
          </w:sdtContent>
        </w:sdt>
        <w:sdt>
          <w:sdtPr>
            <w:alias w:val="skyrius"/>
            <w:tag w:val="part_00ec30255bc143489eb648b21a17f89f"/>
            <w:lock w:val="sdtLocked"/>
            <w:richText/>
          </w:sdtPr>
          <w:sdtContent>
            <w:p>
              <w:pPr>
                <w:keepLines/>
                <w:widowControl w:val="0"/>
                <w:suppressAutoHyphens/>
                <w:jc w:val="center"/>
                <w:rPr>
                  <w:b/>
                  <w:bCs/>
                  <w:caps/>
                  <w:color w:val="000000"/>
                </w:rPr>
              </w:pPr>
              <w:sdt>
                <w:sdtPr>
                  <w:alias w:val="Numeris"/>
                  <w:tag w:val="nr_00ec30255bc143489eb648b21a17f89f"/>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00ec30255bc143489eb648b21a17f89f"/>
                  <w:lock w:val="sdtLocked"/>
                  <w:richText/>
                </w:sdtPr>
                <w:sdtContent>
                  <w:r>
                    <w:rPr>
                      <w:b/>
                      <w:bCs/>
                      <w:caps/>
                      <w:color w:val="000000"/>
                    </w:rPr>
                    <w:t xml:space="preserve">NEPINIGINĖS ŪKINĖS OPERACIJOS </w:t>
                  </w:r>
                </w:sdtContent>
              </w:sdt>
            </w:p>
            <w:p>
              <w:pPr>
                <w:widowControl w:val="0"/>
                <w:suppressAutoHyphens/>
                <w:ind w:firstLine="567"/>
                <w:jc w:val="both"/>
                <w:rPr>
                  <w:color w:val="000000"/>
                </w:rPr>
              </w:pPr>
            </w:p>
            <w:sdt>
              <w:sdtPr>
                <w:alias w:val="30 p."/>
                <w:tag w:val="part_8de67e05478f491fa1ec63f5ef087855"/>
                <w:lock w:val="sdtLocked"/>
                <w:richText/>
              </w:sdtPr>
              <w:sdtContent>
                <w:p>
                  <w:pPr>
                    <w:widowControl w:val="0"/>
                    <w:suppressAutoHyphens/>
                    <w:ind w:firstLine="567"/>
                    <w:jc w:val="both"/>
                    <w:rPr>
                      <w:color w:val="000000"/>
                    </w:rPr>
                  </w:pPr>
                  <w:sdt>
                    <w:sdtPr>
                      <w:alias w:val="Numeris"/>
                      <w:tag w:val="nr_8de67e05478f491fa1ec63f5ef087855"/>
                      <w:lock w:val="sdtLocked"/>
                      <w:richText/>
                    </w:sdtPr>
                    <w:sdtContent>
                      <w:r>
                        <w:rPr>
                          <w:color w:val="000000"/>
                        </w:rPr>
                        <w:t>30</w:t>
                      </w:r>
                    </w:sdtContent>
                  </w:sdt>
                  <w:r>
                    <w:rPr>
                      <w:color w:val="000000"/>
                    </w:rPr>
                    <w:t>. Kai kurios ūkinės operacijos, susijusios su investicine arba finansine veikla, turi įtakos viešojo sektoriaus subjekto turto, finansavimo, įsipareigojimų ir grynojo turto pasikeitimams, tačiau nedaro poveikio ataskaitinio laikotarpio pinigų srautams, tai yra nesusijusios su pinigų ir pinigų ekvivalentų įplaukomis ar išmokomis per ataskaitinį laikotarpį. Dėl minėtos priežasties duomenys apie tokias ūkines operacijas nepateikiami ataskaitoje, bet tokios operacijos aprašomos finansinių ataskaitų aiškinamajame rašte, jei jos reikšmingos. Nepiniginių ūkinių operacijų pavyzdžiai: ilgalaikio turto įsigijimas skolon, įskaitant finansinės nuomos (lizingo) būdu; turto įsigijimas sudarant turto mainų sandorius; gautinų ir mokėtinų sumų tarpusavio užskaita.</w:t>
                  </w:r>
                </w:p>
                <w:p>
                  <w:pPr>
                    <w:widowControl w:val="0"/>
                    <w:suppressAutoHyphens/>
                    <w:ind w:firstLine="567"/>
                    <w:jc w:val="both"/>
                    <w:rPr>
                      <w:color w:val="000000"/>
                    </w:rPr>
                  </w:pPr>
                </w:p>
              </w:sdtContent>
            </w:sdt>
          </w:sdtContent>
        </w:sdt>
        <w:sdt>
          <w:sdtPr>
            <w:alias w:val="skyrius"/>
            <w:tag w:val="part_3a116b38b1a742c891d5bc6e54a3cc18"/>
            <w:lock w:val="sdtLocked"/>
            <w:richText/>
          </w:sdtPr>
          <w:sdtContent>
            <w:p>
              <w:pPr>
                <w:keepLines/>
                <w:widowControl w:val="0"/>
                <w:suppressAutoHyphens/>
                <w:jc w:val="center"/>
                <w:rPr>
                  <w:b/>
                  <w:bCs/>
                  <w:caps/>
                  <w:color w:val="000000"/>
                </w:rPr>
              </w:pPr>
              <w:sdt>
                <w:sdtPr>
                  <w:alias w:val="Numeris"/>
                  <w:tag w:val="nr_3a116b38b1a742c891d5bc6e54a3cc18"/>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a116b38b1a742c891d5bc6e54a3cc18"/>
                  <w:lock w:val="sdtLocked"/>
                  <w:richText/>
                </w:sdtPr>
                <w:sdtContent>
                  <w:r>
                    <w:rPr>
                      <w:b/>
                      <w:bCs/>
                      <w:caps/>
                      <w:color w:val="000000"/>
                    </w:rPr>
                    <w:t>VALIUTINIAI STRAIPSNIAI</w:t>
                  </w:r>
                </w:sdtContent>
              </w:sdt>
            </w:p>
            <w:p>
              <w:pPr>
                <w:widowControl w:val="0"/>
                <w:suppressAutoHyphens/>
                <w:ind w:firstLine="567"/>
                <w:jc w:val="both"/>
                <w:rPr>
                  <w:color w:val="000000"/>
                </w:rPr>
              </w:pPr>
            </w:p>
            <w:sdt>
              <w:sdtPr>
                <w:alias w:val="31 p."/>
                <w:tag w:val="part_395a9c790cc64f9d8962482dcee6805d"/>
                <w:lock w:val="sdtLocked"/>
                <w:richText/>
              </w:sdtPr>
              <w:sdtContent>
                <w:p>
                  <w:pPr>
                    <w:tabs>
                      <w:tab w:val="left" w:pos="1134"/>
                    </w:tabs>
                    <w:ind w:firstLine="567"/>
                    <w:jc w:val="both"/>
                    <w:rPr>
                      <w:color w:val="000000"/>
                    </w:rPr>
                  </w:pPr>
                  <w:sdt>
                    <w:sdtPr>
                      <w:alias w:val="Numeris"/>
                      <w:tag w:val="nr_395a9c790cc64f9d8962482dcee6805d"/>
                      <w:lock w:val="sdtLocked"/>
                      <w:richText/>
                    </w:sdtPr>
                    <w:sdtContent>
                      <w:r>
                        <w:rPr>
                          <w:szCs w:val="24"/>
                          <w:lang w:eastAsia="lt-LT"/>
                        </w:rPr>
                        <w:t>31</w:t>
                      </w:r>
                    </w:sdtContent>
                  </w:sdt>
                  <w:r>
                    <w:rPr>
                      <w:szCs w:val="24"/>
                      <w:lang w:eastAsia="lt-LT"/>
                    </w:rPr>
                    <w:t xml:space="preserve">. Valiutiniai straipsniai, kaip jie suprantami pagal 21-ąjį viešojo sektoriaus apskaitos ir finansinės atskaitomybės standartą „Sandoriai užsienio valiuta“, </w:t>
                  </w:r>
                  <w:r>
                    <w:rPr>
                      <w:color w:val="000000"/>
                    </w:rPr>
                    <w:t xml:space="preserve">patvirtintą </w:t>
                  </w:r>
                  <w:r>
                    <w:t>Lietuvos Respublikos finansų ministro 2007 m. lapkričio 29 d. įsakymu Nr. 1K-348 „Dėl viešojo sektoriaus apskaitos ir finansinės atskaitomybės 21-ojo standarto patvirtinimo“</w:t>
                  </w:r>
                  <w:r>
                    <w:rPr>
                      <w:szCs w:val="24"/>
                      <w:lang w:eastAsia="lt-LT"/>
                    </w:rPr>
                    <w:t>, (paskolos užsienio valiuta, rangovams mokėtinos sumos ir pan.) ataskaitos sudarymo dieną turi būti įkainoti finansinių ataskaitų rinkinio valiuta. Valiutos kursas nustatomas</w:t>
                  </w:r>
                  <w:r>
                    <w:rPr>
                      <w:rFonts w:eastAsia="Calibri"/>
                      <w:color w:val="000000"/>
                      <w:szCs w:val="24"/>
                      <w:lang w:eastAsia="lt-LT"/>
                    </w:rPr>
                    <w:t xml:space="preserve"> vadovaujantis Finansinės apskaitos įstatymu.</w:t>
                  </w:r>
                  <w:r>
                    <w:t xml:space="preserve"> </w:t>
                  </w:r>
                </w:p>
              </w:sdtContent>
            </w:sdt>
            <w:sdt>
              <w:sdtPr>
                <w:alias w:val="32 p."/>
                <w:tag w:val="part_4a855c3ae3954fb792fe55b4190b78d9"/>
                <w:lock w:val="sdtLocked"/>
                <w:richText/>
              </w:sdtPr>
              <w:sdtContent>
                <w:p>
                  <w:pPr>
                    <w:widowControl w:val="0"/>
                    <w:suppressAutoHyphens/>
                    <w:ind w:firstLine="567"/>
                    <w:jc w:val="both"/>
                    <w:rPr>
                      <w:color w:val="000000"/>
                    </w:rPr>
                  </w:pPr>
                  <w:sdt>
                    <w:sdtPr>
                      <w:alias w:val="Numeris"/>
                      <w:tag w:val="nr_4a855c3ae3954fb792fe55b4190b78d9"/>
                      <w:lock w:val="sdtLocked"/>
                      <w:richText/>
                    </w:sdtPr>
                    <w:sdtContent>
                      <w:r>
                        <w:rPr>
                          <w:color w:val="000000"/>
                        </w:rPr>
                        <w:t>32</w:t>
                      </w:r>
                    </w:sdtContent>
                  </w:sdt>
                  <w:r>
                    <w:rPr>
                      <w:color w:val="000000"/>
                    </w:rPr>
                    <w:t>. Realizuotas valiutos kursų pokytis daro tiesioginę įtaką pinigų kiekiui, todėl turi būti rodomas ataskaitoje, įtraukiant į atitinkamą ataskaitos straipsnį.</w:t>
                  </w:r>
                </w:p>
              </w:sdtContent>
            </w:sdt>
            <w:sdt>
              <w:sdtPr>
                <w:alias w:val="33 p."/>
                <w:tag w:val="part_9b34028f909c4abe94f5301f2c1f7d3a"/>
                <w:lock w:val="sdtLocked"/>
                <w:richText/>
              </w:sdtPr>
              <w:sdtContent>
                <w:p>
                  <w:pPr>
                    <w:tabs>
                      <w:tab w:val="left" w:pos="993"/>
                      <w:tab w:val="left" w:pos="1134"/>
                      <w:tab w:val="left" w:pos="1418"/>
                      <w:tab w:val="left" w:pos="1985"/>
                    </w:tabs>
                    <w:ind w:firstLine="567"/>
                    <w:jc w:val="both"/>
                    <w:rPr>
                      <w:color w:val="000000"/>
                    </w:rPr>
                  </w:pPr>
                  <w:sdt>
                    <w:sdtPr>
                      <w:alias w:val="Numeris"/>
                      <w:tag w:val="nr_9b34028f909c4abe94f5301f2c1f7d3a"/>
                      <w:lock w:val="sdtLocked"/>
                      <w:richText/>
                    </w:sdtPr>
                    <w:sdtContent>
                      <w:r>
                        <w:rPr>
                          <w:rFonts w:eastAsia="Calibri"/>
                          <w:szCs w:val="24"/>
                        </w:rPr>
                        <w:t>33</w:t>
                      </w:r>
                    </w:sdtContent>
                  </w:sdt>
                  <w:r>
                    <w:rPr>
                      <w:rFonts w:eastAsia="Calibri"/>
                      <w:szCs w:val="24"/>
                    </w:rPr>
                    <w:t>. Pinigų likutis viešojo sektoriaus subjekto banko sąskaitose ar kasoje gali pasikeisti ne tik dėl pinigų įplaukų arba išmokų, bet ir dėl nerealizuoto valiutos kursų pokyčio. Nerealizuotas valiutos kursų pokytis nesusijęs su pinigų gavimu ar išleidimu, todėl tam, kad būtų galima palyginti pinigus ir pinigų ekvivalentus laikotarpio pradžioje ir pabaigoje, nerealizuotas valiutos kursų pokytis turi būti įtraukiamas į ataskaitą.</w:t>
                  </w:r>
                  <w:r>
                    <w:t xml:space="preserve"> </w:t>
                  </w:r>
                </w:p>
              </w:sdtContent>
            </w:sdt>
            <w:sdt>
              <w:sdtPr>
                <w:alias w:val="34 p."/>
                <w:tag w:val="part_29ac05db31144af5933143911924d6a5"/>
                <w:lock w:val="sdtLocked"/>
                <w:richText/>
              </w:sdtPr>
              <w:sdtContent>
                <w:p>
                  <w:pPr>
                    <w:widowControl w:val="0"/>
                    <w:suppressAutoHyphens/>
                    <w:ind w:firstLine="567"/>
                    <w:jc w:val="both"/>
                    <w:rPr>
                      <w:color w:val="000000"/>
                    </w:rPr>
                  </w:pPr>
                  <w:sdt>
                    <w:sdtPr>
                      <w:alias w:val="Numeris"/>
                      <w:tag w:val="nr_29ac05db31144af5933143911924d6a5"/>
                      <w:lock w:val="sdtLocked"/>
                      <w:richText/>
                    </w:sdtPr>
                    <w:sdtContent>
                      <w:r>
                        <w:rPr>
                          <w:color w:val="000000"/>
                        </w:rPr>
                        <w:t>34</w:t>
                      </w:r>
                    </w:sdtContent>
                  </w:sdt>
                  <w:r>
                    <w:rPr>
                      <w:color w:val="000000"/>
                    </w:rPr>
                    <w:t>. Valiutos kursų pasikeitimo įtaka grynųjų pinigų ir pinigų ekvivalentų likučiui laikotarpio pabaigoje rodoma ataskaitos straipsnyje „Valiutų kursų pasikeitimo įtaka pinigų ir pinigų ekvivalentų likučiui“ atskirai nuo pagrindinės, investicinės ir finansinės veiklos, kad būtų galima palyginti pinigų kiekį ataskaitinio laikotarpio pradžioje ir pabaigoje.</w:t>
                  </w:r>
                </w:p>
                <w:p/>
              </w:sdtContent>
            </w:sdt>
          </w:sdtContent>
        </w:sdt>
        <w:sdt>
          <w:sdtPr>
            <w:alias w:val="pabaiga"/>
            <w:tag w:val="part_eb3f73bedc5d45a3b523a16400791c28"/>
            <w:lock w:val="sdtLocked"/>
            <w:richText/>
          </w:sdtPr>
          <w:sdtContent>
            <w:p>
              <w:pPr>
                <w:jc w:val="center"/>
              </w:pPr>
              <w:r>
                <w:t>_________________</w:t>
              </w:r>
            </w:p>
            <w:p/>
            <w:p>
              <w:pPr>
                <w:tabs>
                  <w:tab w:val="left" w:pos="726"/>
                  <w:tab w:val="left" w:pos="4148"/>
                  <w:tab w:val="left" w:pos="7113"/>
                  <w:tab w:val="left" w:pos="8031"/>
                </w:tabs>
                <w:suppressAutoHyphens/>
                <w:ind w:left="4535"/>
                <w:textAlignment w:val="baseline"/>
                <w:sectPr>
                  <w:pgSz w:w="11907" w:h="16840" w:code="9"/>
                  <w:pgMar w:top="1134" w:right="1134" w:bottom="1134" w:left="1701" w:header="567" w:footer="284" w:gutter="0"/>
                  <w:pgNumType w:start="1"/>
                  <w:cols w:space="1296"/>
                  <w:titlePg/>
                  <w:docGrid w:linePitch="360"/>
                </w:sectPr>
              </w:pPr>
            </w:p>
          </w:sdtContent>
        </w:sdt>
      </w:sdtContent>
    </w:sdt>
    <w:sdt>
      <w:sdtPr>
        <w:alias w:val="1 pr."/>
        <w:tag w:val="part_f6642d999464455c9944cc5734989016"/>
        <w:lock w:val="sdtLocked"/>
        <w:richText/>
      </w:sdtPr>
      <w:sdtContent>
        <w:p>
          <w:pPr>
            <w:tabs>
              <w:tab w:val="left" w:pos="5709"/>
              <w:tab w:val="left" w:pos="8767"/>
              <w:tab w:val="left" w:pos="13233"/>
              <w:tab w:val="left" w:pos="13509"/>
              <w:tab w:val="left" w:pos="14481"/>
              <w:tab w:val="left" w:pos="15687"/>
              <w:tab w:val="left" w:pos="17087"/>
              <w:tab w:val="left" w:pos="20067"/>
              <w:tab w:val="left" w:pos="21273"/>
              <w:tab w:val="left" w:pos="23190"/>
            </w:tabs>
            <w:suppressAutoHyphens/>
            <w:ind w:left="10915"/>
            <w:textAlignment w:val="baseline"/>
            <w:rPr>
              <w:szCs w:val="24"/>
              <w:lang w:eastAsia="lt-LT"/>
            </w:rPr>
          </w:pPr>
          <w:r>
            <w:rPr>
              <w:szCs w:val="24"/>
              <w:lang w:eastAsia="lt-LT"/>
            </w:rPr>
            <w:t xml:space="preserve">5-ojo </w:t>
          </w:r>
          <w:r>
            <w:rPr>
              <w:szCs w:val="24"/>
            </w:rPr>
            <w:t xml:space="preserve">viešojo sektoriaus apskaitos ir finansinės atskaitomybės standarto </w:t>
          </w:r>
          <w:r>
            <w:rPr>
              <w:szCs w:val="24"/>
              <w:lang w:eastAsia="lt-LT"/>
            </w:rPr>
            <w:t>„Pinigų srautų ataskaita“</w:t>
          </w:r>
        </w:p>
        <w:p>
          <w:pPr>
            <w:tabs>
              <w:tab w:val="left" w:pos="5709"/>
              <w:tab w:val="left" w:pos="10490"/>
              <w:tab w:val="left" w:pos="10915"/>
              <w:tab w:val="left" w:pos="12758"/>
              <w:tab w:val="left" w:pos="13233"/>
              <w:tab w:val="left" w:pos="13509"/>
              <w:tab w:val="left" w:pos="14481"/>
              <w:tab w:val="left" w:pos="15687"/>
              <w:tab w:val="left" w:pos="17087"/>
              <w:tab w:val="left" w:pos="20067"/>
              <w:tab w:val="left" w:pos="21273"/>
              <w:tab w:val="left" w:pos="23190"/>
            </w:tabs>
            <w:suppressAutoHyphens/>
            <w:ind w:left="10915"/>
            <w:textAlignment w:val="baseline"/>
            <w:rPr>
              <w:lang w:eastAsia="lt-LT"/>
            </w:rPr>
          </w:pPr>
          <w:sdt>
            <w:sdtPr>
              <w:alias w:val="Numeris"/>
              <w:tag w:val="nr_f6642d999464455c9944cc5734989016"/>
              <w:lock w:val="sdtLocked"/>
              <w:richText/>
            </w:sdtPr>
            <w:sdtContent>
              <w:r>
                <w:rPr>
                  <w:szCs w:val="24"/>
                  <w:lang w:eastAsia="lt-LT"/>
                </w:rPr>
                <w:t>1</w:t>
              </w:r>
            </w:sdtContent>
          </w:sdt>
          <w:r>
            <w:rPr>
              <w:szCs w:val="24"/>
              <w:lang w:eastAsia="lt-LT"/>
            </w:rPr>
            <w:t xml:space="preserve"> priedas</w:t>
          </w:r>
        </w:p>
        <w:p>
          <w:pPr>
            <w:tabs>
              <w:tab w:val="left" w:pos="5709"/>
              <w:tab w:val="left" w:pos="8767"/>
              <w:tab w:val="left" w:pos="11236"/>
              <w:tab w:val="left" w:pos="13233"/>
              <w:tab w:val="left" w:pos="13509"/>
              <w:tab w:val="left" w:pos="14481"/>
              <w:tab w:val="left" w:pos="15687"/>
              <w:tab w:val="left" w:pos="17087"/>
              <w:tab w:val="left" w:pos="20067"/>
              <w:tab w:val="left" w:pos="21273"/>
              <w:tab w:val="left" w:pos="23190"/>
            </w:tabs>
            <w:suppressAutoHyphens/>
            <w:jc w:val="center"/>
            <w:textAlignment w:val="baseline"/>
            <w:rPr>
              <w:szCs w:val="24"/>
              <w:lang w:eastAsia="lt-LT"/>
            </w:rPr>
          </w:pPr>
        </w:p>
        <w:p>
          <w:pPr>
            <w:suppressAutoHyphens/>
            <w:jc w:val="center"/>
            <w:textAlignment w:val="baseline"/>
            <w:rPr>
              <w:b/>
              <w:bCs/>
              <w:szCs w:val="24"/>
              <w:lang w:eastAsia="lt-LT"/>
            </w:rPr>
          </w:pPr>
          <w:sdt>
            <w:sdtPr>
              <w:alias w:val="Pavadinimas"/>
              <w:tag w:val="title_f6642d999464455c9944cc5734989016"/>
              <w:lock w:val="sdtLocked"/>
              <w:richText/>
            </w:sdtPr>
            <w:sdtContent>
              <w:r>
                <w:rPr>
                  <w:b/>
                  <w:bCs/>
                  <w:szCs w:val="24"/>
                  <w:lang w:eastAsia="lt-LT"/>
                </w:rPr>
                <w:t>(Pinigų srautų ataskaitos forma)</w:t>
              </w:r>
            </w:sdtContent>
          </w:sdt>
        </w:p>
        <w:p>
          <w:pPr>
            <w:suppressAutoHyphens/>
            <w:jc w:val="center"/>
            <w:textAlignment w:val="baseline"/>
            <w:rPr>
              <w:lang w:eastAsia="lt-LT"/>
            </w:rPr>
          </w:pP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pavadinimas)</w:t>
          </w: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parengusio pinigų srautų ataskaitą, kodas, adresas)</w:t>
          </w:r>
        </w:p>
        <w:p>
          <w:pPr>
            <w:suppressAutoHyphens/>
            <w:jc w:val="center"/>
            <w:textAlignment w:val="baseline"/>
            <w:rPr>
              <w:szCs w:val="24"/>
              <w:lang w:eastAsia="lt-LT"/>
            </w:rPr>
          </w:pPr>
        </w:p>
        <w:sdt>
          <w:sdtPr>
            <w:alias w:val="skirsnis"/>
            <w:tag w:val="part_b7129765634b4e9988a835fdc1c729b6"/>
            <w:lock w:val="sdtLocked"/>
            <w:richText/>
          </w:sdtPr>
          <w:sdtContent>
            <w:sdt>
              <w:sdtPr>
                <w:alias w:val="Pavadinimas"/>
                <w:tag w:val="title_b7129765634b4e9988a835fdc1c729b6"/>
                <w:lock w:val="sdtLocked"/>
                <w:richText/>
              </w:sdtPr>
              <w:sdtContent>
                <w:p>
                  <w:pPr>
                    <w:suppressAutoHyphens/>
                    <w:jc w:val="center"/>
                    <w:textAlignment w:val="baseline"/>
                    <w:rPr>
                      <w:b/>
                      <w:bCs/>
                      <w:szCs w:val="24"/>
                      <w:lang w:eastAsia="lt-LT"/>
                    </w:rPr>
                  </w:pPr>
                  <w:r>
                    <w:rPr>
                      <w:b/>
                      <w:bCs/>
                      <w:szCs w:val="24"/>
                      <w:lang w:eastAsia="lt-LT"/>
                    </w:rPr>
                    <w:t>PINIGŲ SRAUTŲ ATASKAITA</w:t>
                  </w:r>
                </w:p>
                <w:p>
                  <w:pPr>
                    <w:suppressAutoHyphens/>
                    <w:jc w:val="center"/>
                    <w:textAlignment w:val="baseline"/>
                    <w:rPr>
                      <w:b/>
                      <w:bCs/>
                      <w:szCs w:val="24"/>
                      <w:lang w:eastAsia="lt-LT"/>
                    </w:rPr>
                  </w:pPr>
                  <w:r>
                    <w:rPr>
                      <w:b/>
                      <w:bCs/>
                      <w:szCs w:val="24"/>
                      <w:lang w:eastAsia="lt-LT"/>
                    </w:rPr>
                    <w:t>PAGAL 20_____M.______D. DUOMENIS</w:t>
                  </w:r>
                </w:p>
              </w:sdtContent>
            </w:sdt>
            <w:p>
              <w:pPr>
                <w:tabs>
                  <w:tab w:val="left" w:pos="5709"/>
                  <w:tab w:val="left" w:pos="8767"/>
                  <w:tab w:val="left" w:pos="11236"/>
                  <w:tab w:val="left" w:pos="13233"/>
                  <w:tab w:val="left" w:pos="13509"/>
                  <w:tab w:val="left" w:pos="14481"/>
                  <w:tab w:val="left" w:pos="15687"/>
                  <w:tab w:val="left" w:pos="17087"/>
                  <w:tab w:val="left" w:pos="20067"/>
                  <w:tab w:val="left" w:pos="21273"/>
                  <w:tab w:val="left" w:pos="23190"/>
                </w:tabs>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_____________________Nr. _____</w:t>
              </w:r>
            </w:p>
            <w:p>
              <w:pPr>
                <w:suppressAutoHyphens/>
                <w:jc w:val="center"/>
                <w:textAlignment w:val="baseline"/>
                <w:rPr>
                  <w:szCs w:val="24"/>
                  <w:lang w:eastAsia="lt-LT"/>
                </w:rPr>
              </w:pPr>
              <w:r>
                <w:rPr>
                  <w:szCs w:val="24"/>
                  <w:lang w:eastAsia="lt-LT"/>
                </w:rPr>
                <w:t>(data)</w:t>
              </w:r>
            </w:p>
            <w:p>
              <w:pPr>
                <w:suppressAutoHyphens/>
                <w:jc w:val="center"/>
                <w:textAlignment w:val="baseline"/>
                <w:rPr>
                  <w:szCs w:val="24"/>
                  <w:lang w:eastAsia="lt-LT"/>
                </w:rPr>
              </w:pPr>
            </w:p>
            <w:p>
              <w:pPr>
                <w:tabs>
                  <w:tab w:val="left" w:pos="5709"/>
                  <w:tab w:val="left" w:pos="8767"/>
                  <w:tab w:val="left" w:pos="11236"/>
                  <w:tab w:val="left" w:pos="13233"/>
                  <w:tab w:val="left" w:pos="13509"/>
                </w:tabs>
                <w:suppressAutoHyphens/>
                <w:ind w:firstLine="5709"/>
                <w:jc w:val="right"/>
                <w:textAlignment w:val="baseline"/>
                <w:rPr>
                  <w:i/>
                  <w:iCs/>
                  <w:szCs w:val="24"/>
                  <w:lang w:eastAsia="lt-LT"/>
                </w:rPr>
              </w:pPr>
              <w:r>
                <w:rPr>
                  <w:i/>
                  <w:iCs/>
                  <w:szCs w:val="24"/>
                  <w:lang w:eastAsia="lt-LT"/>
                </w:rPr>
                <w:t>Pateikimo valiuta ir tikslumas: eurais</w:t>
              </w:r>
            </w:p>
            <w:tbl>
              <w:tblPr>
                <w:tblW w:w="14195" w:type="dxa"/>
                <w:jc w:val="center"/>
                <w:tblLayout w:type="fixed"/>
                <w:tblCellMar>
                  <w:left w:w="10" w:type="dxa"/>
                  <w:right w:w="10" w:type="dxa"/>
                </w:tblCellMar>
                <w:tblLook w:val="0000" w:firstRow="0" w:lastRow="0" w:firstColumn="0" w:lastColumn="0" w:noHBand="0" w:noVBand="0"/>
              </w:tblPr>
              <w:tblGrid>
                <w:gridCol w:w="1003"/>
                <w:gridCol w:w="3829"/>
                <w:gridCol w:w="1265"/>
                <w:gridCol w:w="1685"/>
                <w:gridCol w:w="1479"/>
                <w:gridCol w:w="871"/>
                <w:gridCol w:w="1705"/>
                <w:gridCol w:w="1535"/>
                <w:gridCol w:w="823"/>
              </w:tblGrid>
              <w:tr>
                <w:trPr>
                  <w:trHeight w:val="402"/>
                  <w:jc w:val="center"/>
                </w:trPr>
                <w:tc>
                  <w:tcPr>
                    <w:tcW w:w="100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Eil. Nr.</w:t>
                    </w:r>
                  </w:p>
                </w:tc>
                <w:tc>
                  <w:tcPr>
                    <w:tcW w:w="38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Straipsniai</w:t>
                    </w:r>
                  </w:p>
                </w:tc>
                <w:tc>
                  <w:tcPr>
                    <w:tcW w:w="12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 xml:space="preserve">Pastabos </w:t>
                    </w:r>
                  </w:p>
                  <w:p>
                    <w:pPr>
                      <w:suppressAutoHyphens/>
                      <w:jc w:val="center"/>
                      <w:textAlignment w:val="baseline"/>
                      <w:rPr>
                        <w:b/>
                        <w:bCs/>
                        <w:sz w:val="20"/>
                        <w:lang w:eastAsia="lt-LT"/>
                      </w:rPr>
                    </w:pPr>
                    <w:r>
                      <w:rPr>
                        <w:b/>
                        <w:bCs/>
                        <w:sz w:val="20"/>
                        <w:lang w:eastAsia="lt-LT"/>
                      </w:rPr>
                      <w:t xml:space="preserve">Nr. </w:t>
                    </w:r>
                  </w:p>
                </w:tc>
                <w:tc>
                  <w:tcPr>
                    <w:tcW w:w="4035"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Ataskaitinis laikotarpis</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Praėjęs ataskaitinis laikotarpis</w:t>
                    </w:r>
                  </w:p>
                </w:tc>
              </w:tr>
              <w:tr>
                <w:trPr>
                  <w:trHeight w:val="354"/>
                  <w:jc w:val="center"/>
                </w:trPr>
                <w:tc>
                  <w:tcPr>
                    <w:tcW w:w="100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rPr>
                        <w:b/>
                        <w:bCs/>
                        <w:sz w:val="20"/>
                        <w:lang w:eastAsia="lt-LT"/>
                      </w:rPr>
                    </w:pPr>
                  </w:p>
                </w:tc>
                <w:tc>
                  <w:tcPr>
                    <w:tcW w:w="3829"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p>
                </w:tc>
                <w:tc>
                  <w:tcPr>
                    <w:tcW w:w="126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Tiesioginiai pinigų srautai</w:t>
                    </w: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Netiesioginiai pinigų srautai</w:t>
                    </w: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Iš viso</w:t>
                    </w: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Tiesioginiai pinigų srautai</w:t>
                    </w: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Netiesioginiai pinigų srautai</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Iš viso</w:t>
                    </w:r>
                  </w:p>
                </w:tc>
              </w:tr>
              <w:tr>
                <w:trPr>
                  <w:trHeight w:val="30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w:t>
                    </w:r>
                  </w:p>
                </w:tc>
                <w:tc>
                  <w:tcPr>
                    <w:tcW w:w="3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6</w:t>
                    </w:r>
                  </w:p>
                </w:tc>
                <w:tc>
                  <w:tcPr>
                    <w:tcW w:w="1705"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7</w:t>
                    </w:r>
                  </w:p>
                </w:tc>
                <w:tc>
                  <w:tcPr>
                    <w:tcW w:w="1535"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8</w:t>
                    </w:r>
                  </w:p>
                </w:tc>
                <w:tc>
                  <w:tcPr>
                    <w:tcW w:w="823"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9</w:t>
                    </w:r>
                  </w:p>
                </w:tc>
              </w:tr>
              <w:tr>
                <w:trPr>
                  <w:trHeight w:val="10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PAGRINDINĖS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r>
                      <w:rPr>
                        <w:sz w:val="20"/>
                        <w:lang w:eastAsia="lt-LT"/>
                      </w:rPr>
                      <w:t>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Finansavimo sumos kitoms išlaidoms ir atsargoms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9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valstybės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savivaldybių biudžetų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5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Europos Sąjungos, užsienio valstybių ir tarptautinių organizacijų lėšų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viešojo sektoriaus subjektų pajamų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fizinių ir privačių juridinių asmenų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0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Už suteiktas paslaugas iš pirkėjų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Už suteiktas paslaugas iš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lang w:eastAsia="lt-LT"/>
                      </w:rPr>
                    </w:pPr>
                    <w:r>
                      <w:rPr>
                        <w:sz w:val="20"/>
                        <w:lang w:eastAsia="lt-LT"/>
                      </w:rPr>
                      <w:t>Gautos palūkanos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Kitos 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6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36"/>
                      <w:textAlignment w:val="baseline"/>
                      <w:rPr>
                        <w:sz w:val="20"/>
                        <w:lang w:eastAsia="lt-LT"/>
                      </w:rPr>
                    </w:pPr>
                    <w:r>
                      <w:rPr>
                        <w:sz w:val="20"/>
                        <w:lang w:eastAsia="lt-LT"/>
                      </w:rPr>
                      <w:t>Pervestos lėšos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valstybės biudžetą</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savivaldybių biudžetus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6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Europos Sąjungai, užsienio valstybėms ir tarptautinėms organizacijoms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kitus išteklių fondus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Viešojo sektoriaus subjektams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Fiziniams ir privatiems juridiniams asmenims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Darbo užmokesčio ir socialinio draudimo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Socialinės ir kitos išmokos darbuotojams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9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Prekėms ir paslaugoms veiklai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Mitybai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Medikamentams ir medicininėms prekėms ir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0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Ryšių įrangai ir ryšių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Transporto išlaikymui ir transporto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Aprangai ir patalynei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Komandiruotėms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Materialiojo ir nematerialiojo turto nuomai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1.3.3.8.</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Materialiojo turto paprastajam remontui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1.3.3.9.</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Kvalifikacijos kėlimui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1.3.3.10.</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Ekspertų ir konsultantų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Komunalinėms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Informacinėms technologijoms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Reprezentacijai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Viešinimui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Kitoms prekėms ir paslaugoms veiklai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Prekėms ir paslaugoms viešajam ūkiui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Socialinėms išmokoms, stipendijoms, prizams ir premijoms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Sumokėtos palūkanos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Kitos 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7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INVESTICINĖS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 xml:space="preserve">Išmokos įsigijus ilgalaikį turtą (išskyrus finansinį) ir biologinį turtą </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2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 xml:space="preserve">Įplaukos perleidus ilgalaikį turtą (išskyrus finansinį) ir biologinį turtą </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Išmokos įsigijus ilgalaikį finansinį turtą</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Įplaukos perleidus ilgalaikį finansinį turtą</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41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Terminuotųjų indėlių padidėjimas (sumažėjimas)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Gauti dividendai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lang w:eastAsia="lt-LT"/>
                      </w:rPr>
                    </w:pPr>
                    <w:r>
                      <w:rPr>
                        <w:sz w:val="20"/>
                        <w:lang w:eastAsia="lt-LT"/>
                      </w:rPr>
                      <w:t>2.7.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Kitos investicinės veiklos 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2.8.</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Kitos investicinės veiklos 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9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FINANSINĖS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Įplaukos iš gautų paskolų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Gautų paskolų grąžinimas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3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Finansinės nuomos (lizingo) įsipareigojimų apmokėjimas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2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 xml:space="preserve">3.4. </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Gautos finansavimo sumos ilgalaikiam ir biologiniam turtui įsigyti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4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Iš valstybės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Iš savivaldybių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Iš Europos Sąjungos, užsienio valstybių ir tarptautinių organizacijų lėšų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Iš viešojo sektoriaus subjektų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3.4.5.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Iš fizinių ir juridinių asmenų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4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Grąžintos ir perduotos finansavimo sumos ilgalaikiam ir biologiniam turtui įsigyti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lang w:eastAsia="lt-LT"/>
                      </w:rPr>
                    </w:pPr>
                    <w:r>
                      <w:rPr>
                        <w:sz w:val="20"/>
                        <w:lang w:eastAsia="lt-LT"/>
                      </w:rPr>
                      <w:t>Gauti dalininko įnašai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Kitos finansinės veiklos 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3.8.</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Kitos finansinės veiklos 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3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VALIUTOS KURSŲ PASIKEITIMO ĮTAKA PINIGŲ IR PINIGŲ EKVIVALENTŲ LIKUČIUI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5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Cs/>
                        <w:sz w:val="20"/>
                        <w:lang w:eastAsia="lt-LT"/>
                      </w:rPr>
                    </w:pPr>
                    <w:r>
                      <w:rPr>
                        <w:bCs/>
                        <w:sz w:val="20"/>
                        <w:lang w:eastAsia="lt-LT"/>
                      </w:rPr>
                      <w:t>4.1.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Pinigų ir pinigų ekvivalentų padidėjimas (sumažėjimas)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6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Pinigai ir pinigų ekvivalentai ataskaitinio laikotarpio pradžioje</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Pinigai ir pinigų ekvivalentai ataskaitinio laikotarpio pabaigoje</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bl>
            <w:p>
              <w:pPr>
                <w:suppressAutoHyphens/>
                <w:ind w:left="284"/>
                <w:textAlignment w:val="baseline"/>
                <w:rPr>
                  <w:bCs/>
                  <w:szCs w:val="24"/>
                  <w:lang w:eastAsia="lt-LT"/>
                </w:rPr>
              </w:pPr>
              <w:r>
                <w:rPr>
                  <w:b/>
                  <w:bCs/>
                  <w:szCs w:val="24"/>
                  <w:lang w:eastAsia="lt-LT"/>
                </w:rPr>
                <w:t>Pastaba</w:t>
              </w:r>
              <w:r>
                <w:rPr>
                  <w:szCs w:val="24"/>
                  <w:lang w:eastAsia="lt-LT"/>
                </w:rPr>
                <w:t xml:space="preserve">. </w:t>
              </w:r>
              <w:r>
                <w:rPr>
                  <w:bCs/>
                  <w:szCs w:val="24"/>
                  <w:lang w:eastAsia="lt-LT"/>
                </w:rPr>
                <w:t xml:space="preserve">Forma pildoma rengiant viešojo sektoriaus subjektų, išskyrus išteklių fondus, mokesčių fondus ir fondų fondus, pinigų srautų ataskaitą. </w:t>
              </w:r>
            </w:p>
            <w:p>
              <w:pPr>
                <w:suppressAutoHyphens/>
                <w:textAlignment w:val="baseline"/>
                <w:rPr>
                  <w:szCs w:val="24"/>
                  <w:lang w:eastAsia="lt-LT"/>
                </w:rPr>
              </w:pPr>
            </w:p>
            <w:p>
              <w:pPr>
                <w:jc w:val="center"/>
              </w:pPr>
              <w:r>
                <w:t>_____________________________</w:t>
                <w:br w:type="page"/>
              </w:r>
            </w:p>
          </w:sdtContent>
        </w:sdt>
      </w:sdtContent>
    </w:sdt>
    <w:sdt>
      <w:sdtPr>
        <w:alias w:val="2 pr."/>
        <w:tag w:val="part_df0b9de206984c7f86eabbfe89953acd"/>
        <w:lock w:val="sdtLocked"/>
        <w:richText/>
      </w:sdtPr>
      <w:sdtContent>
        <w:p>
          <w:pPr>
            <w:ind w:left="10773"/>
            <w:jc w:val="both"/>
            <w:rPr>
              <w:szCs w:val="24"/>
              <w:lang w:eastAsia="lt-LT"/>
            </w:rPr>
          </w:pPr>
          <w:r>
            <w:rPr>
              <w:szCs w:val="24"/>
              <w:lang w:eastAsia="lt-LT"/>
            </w:rPr>
            <w:t xml:space="preserve">5-ojo viešojo sektoriaus apskaitos ir </w:t>
          </w:r>
        </w:p>
        <w:p>
          <w:pPr>
            <w:tabs>
              <w:tab w:val="left" w:pos="5709"/>
              <w:tab w:val="left" w:pos="8767"/>
              <w:tab w:val="left" w:pos="11236"/>
              <w:tab w:val="left" w:pos="13233"/>
              <w:tab w:val="left" w:pos="13509"/>
              <w:tab w:val="left" w:pos="14481"/>
              <w:tab w:val="left" w:pos="15687"/>
              <w:tab w:val="left" w:pos="17087"/>
              <w:tab w:val="left" w:pos="20067"/>
              <w:tab w:val="left" w:pos="21273"/>
              <w:tab w:val="left" w:pos="23190"/>
            </w:tabs>
            <w:suppressAutoHyphens/>
            <w:ind w:left="10773"/>
            <w:jc w:val="both"/>
            <w:textAlignment w:val="baseline"/>
            <w:rPr>
              <w:szCs w:val="24"/>
              <w:lang w:eastAsia="lt-LT"/>
            </w:rPr>
          </w:pPr>
          <w:r>
            <w:rPr>
              <w:szCs w:val="24"/>
              <w:lang w:eastAsia="lt-LT"/>
            </w:rPr>
            <w:t>finansinės atskaitomybės standarto „Pinigų srautų ataskaita“</w:t>
          </w:r>
        </w:p>
        <w:p>
          <w:pPr>
            <w:tabs>
              <w:tab w:val="left" w:pos="5709"/>
              <w:tab w:val="left" w:pos="10490"/>
              <w:tab w:val="left" w:pos="10915"/>
              <w:tab w:val="left" w:pos="12758"/>
              <w:tab w:val="left" w:pos="13233"/>
              <w:tab w:val="left" w:pos="13509"/>
              <w:tab w:val="left" w:pos="14481"/>
              <w:tab w:val="left" w:pos="15687"/>
              <w:tab w:val="left" w:pos="17087"/>
              <w:tab w:val="left" w:pos="20067"/>
              <w:tab w:val="left" w:pos="21273"/>
              <w:tab w:val="left" w:pos="23190"/>
            </w:tabs>
            <w:suppressAutoHyphens/>
            <w:ind w:left="10773"/>
            <w:jc w:val="both"/>
            <w:textAlignment w:val="baseline"/>
            <w:rPr>
              <w:lang w:eastAsia="lt-LT"/>
            </w:rPr>
          </w:pPr>
          <w:sdt>
            <w:sdtPr>
              <w:alias w:val="Numeris"/>
              <w:tag w:val="nr_df0b9de206984c7f86eabbfe89953acd"/>
              <w:lock w:val="sdtLocked"/>
              <w:richText/>
            </w:sdtPr>
            <w:sdtContent>
              <w:r>
                <w:rPr>
                  <w:szCs w:val="24"/>
                  <w:lang w:eastAsia="lt-LT"/>
                </w:rPr>
                <w:t>2</w:t>
              </w:r>
            </w:sdtContent>
          </w:sdt>
          <w:r>
            <w:rPr>
              <w:szCs w:val="24"/>
              <w:lang w:eastAsia="lt-LT"/>
            </w:rPr>
            <w:t xml:space="preserve"> priedas</w:t>
          </w:r>
        </w:p>
        <w:p>
          <w:pPr>
            <w:tabs>
              <w:tab w:val="left" w:pos="5709"/>
              <w:tab w:val="left" w:pos="8767"/>
              <w:tab w:val="left" w:pos="11236"/>
              <w:tab w:val="left" w:pos="13233"/>
              <w:tab w:val="left" w:pos="13509"/>
              <w:tab w:val="left" w:pos="14481"/>
              <w:tab w:val="left" w:pos="15687"/>
              <w:tab w:val="left" w:pos="17087"/>
              <w:tab w:val="left" w:pos="20067"/>
              <w:tab w:val="left" w:pos="21273"/>
              <w:tab w:val="left" w:pos="23190"/>
            </w:tabs>
            <w:suppressAutoHyphens/>
            <w:jc w:val="center"/>
            <w:textAlignment w:val="baseline"/>
            <w:rPr>
              <w:szCs w:val="24"/>
              <w:lang w:eastAsia="lt-LT"/>
            </w:rPr>
          </w:pPr>
        </w:p>
        <w:p>
          <w:pPr>
            <w:suppressAutoHyphens/>
            <w:jc w:val="center"/>
            <w:textAlignment w:val="baseline"/>
            <w:rPr>
              <w:b/>
              <w:bCs/>
              <w:szCs w:val="24"/>
              <w:lang w:eastAsia="lt-LT"/>
            </w:rPr>
          </w:pPr>
          <w:sdt>
            <w:sdtPr>
              <w:alias w:val="Pavadinimas"/>
              <w:tag w:val="title_df0b9de206984c7f86eabbfe89953acd"/>
              <w:lock w:val="sdtLocked"/>
              <w:richText/>
            </w:sdtPr>
            <w:sdtContent>
              <w:r>
                <w:rPr>
                  <w:b/>
                  <w:bCs/>
                  <w:szCs w:val="24"/>
                  <w:lang w:eastAsia="lt-LT"/>
                </w:rPr>
                <w:t>(Pinigų srautų ataskaitos forma)</w:t>
              </w:r>
            </w:sdtContent>
          </w:sdt>
        </w:p>
        <w:p>
          <w:pPr>
            <w:suppressAutoHyphens/>
            <w:jc w:val="center"/>
            <w:textAlignment w:val="baseline"/>
            <w:rPr>
              <w:lang w:eastAsia="lt-LT"/>
            </w:rPr>
          </w:pP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subjektų grupės pavadinimas)</w:t>
          </w: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parengusio grupės pinigų srautų ataskaitą, kodas, adresas)</w:t>
          </w:r>
        </w:p>
        <w:p>
          <w:pPr>
            <w:suppressAutoHyphens/>
            <w:jc w:val="center"/>
            <w:textAlignment w:val="baseline"/>
            <w:rPr>
              <w:szCs w:val="24"/>
              <w:lang w:eastAsia="lt-LT"/>
            </w:rPr>
          </w:pPr>
        </w:p>
        <w:sdt>
          <w:sdtPr>
            <w:alias w:val="skirsnis"/>
            <w:tag w:val="part_80c4c37eddb547d38243f55d7feec283"/>
            <w:lock w:val="sdtLocked"/>
            <w:richText/>
          </w:sdtPr>
          <w:sdtContent>
            <w:sdt>
              <w:sdtPr>
                <w:alias w:val="Pavadinimas"/>
                <w:tag w:val="title_80c4c37eddb547d38243f55d7feec283"/>
                <w:lock w:val="sdtLocked"/>
                <w:richText/>
              </w:sdtPr>
              <w:sdtContent>
                <w:p>
                  <w:pPr>
                    <w:suppressAutoHyphens/>
                    <w:jc w:val="center"/>
                    <w:textAlignment w:val="baseline"/>
                    <w:rPr>
                      <w:b/>
                      <w:bCs/>
                      <w:szCs w:val="24"/>
                      <w:lang w:eastAsia="lt-LT"/>
                    </w:rPr>
                  </w:pPr>
                  <w:r>
                    <w:rPr>
                      <w:b/>
                      <w:bCs/>
                      <w:szCs w:val="24"/>
                      <w:lang w:eastAsia="lt-LT"/>
                    </w:rPr>
                    <w:t>PINIGŲ SRAUTŲ ATASKAITA</w:t>
                  </w:r>
                </w:p>
                <w:p>
                  <w:pPr>
                    <w:suppressAutoHyphens/>
                    <w:jc w:val="center"/>
                    <w:textAlignment w:val="baseline"/>
                    <w:rPr>
                      <w:b/>
                      <w:bCs/>
                      <w:szCs w:val="24"/>
                      <w:lang w:eastAsia="lt-LT"/>
                    </w:rPr>
                  </w:pPr>
                  <w:r>
                    <w:rPr>
                      <w:b/>
                      <w:bCs/>
                      <w:szCs w:val="24"/>
                      <w:lang w:eastAsia="lt-LT"/>
                    </w:rPr>
                    <w:t>PAGAL 20_____M.______D. DUOMENIS</w:t>
                  </w:r>
                </w:p>
              </w:sdtContent>
            </w:sdt>
            <w:p>
              <w:pPr>
                <w:tabs>
                  <w:tab w:val="left" w:pos="5709"/>
                  <w:tab w:val="left" w:pos="8767"/>
                  <w:tab w:val="left" w:pos="11236"/>
                  <w:tab w:val="left" w:pos="13233"/>
                  <w:tab w:val="left" w:pos="13509"/>
                  <w:tab w:val="left" w:pos="14481"/>
                  <w:tab w:val="left" w:pos="15687"/>
                  <w:tab w:val="left" w:pos="17087"/>
                  <w:tab w:val="left" w:pos="20067"/>
                  <w:tab w:val="left" w:pos="21273"/>
                  <w:tab w:val="left" w:pos="23190"/>
                </w:tabs>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_____________________Nr. _____</w:t>
              </w:r>
            </w:p>
            <w:p>
              <w:pPr>
                <w:suppressAutoHyphens/>
                <w:jc w:val="center"/>
                <w:textAlignment w:val="baseline"/>
                <w:rPr>
                  <w:szCs w:val="24"/>
                  <w:lang w:eastAsia="lt-LT"/>
                </w:rPr>
              </w:pPr>
              <w:r>
                <w:rPr>
                  <w:szCs w:val="24"/>
                  <w:lang w:eastAsia="lt-LT"/>
                </w:rPr>
                <w:t>(data)</w:t>
              </w:r>
            </w:p>
            <w:p>
              <w:pPr>
                <w:suppressAutoHyphens/>
                <w:jc w:val="center"/>
                <w:textAlignment w:val="baseline"/>
                <w:rPr>
                  <w:szCs w:val="24"/>
                  <w:lang w:eastAsia="lt-LT"/>
                </w:rPr>
              </w:pPr>
            </w:p>
            <w:p>
              <w:pPr>
                <w:tabs>
                  <w:tab w:val="left" w:pos="5709"/>
                  <w:tab w:val="left" w:pos="8767"/>
                  <w:tab w:val="left" w:pos="11236"/>
                  <w:tab w:val="left" w:pos="13233"/>
                  <w:tab w:val="left" w:pos="13509"/>
                </w:tabs>
                <w:suppressAutoHyphens/>
                <w:ind w:firstLine="5709"/>
                <w:jc w:val="right"/>
                <w:textAlignment w:val="baseline"/>
                <w:rPr>
                  <w:i/>
                  <w:iCs/>
                  <w:szCs w:val="24"/>
                  <w:lang w:eastAsia="lt-LT"/>
                </w:rPr>
              </w:pPr>
              <w:r>
                <w:rPr>
                  <w:i/>
                  <w:iCs/>
                  <w:szCs w:val="24"/>
                  <w:lang w:eastAsia="lt-LT"/>
                </w:rPr>
                <w:t>Pateikimo valiuta ir tikslumas: eurais arba tūkstančiais eurų</w:t>
              </w:r>
            </w:p>
            <w:tbl>
              <w:tblPr>
                <w:tblW w:w="14195" w:type="dxa"/>
                <w:jc w:val="center"/>
                <w:tblLayout w:type="fixed"/>
                <w:tblCellMar>
                  <w:left w:w="10" w:type="dxa"/>
                  <w:right w:w="10" w:type="dxa"/>
                </w:tblCellMar>
                <w:tblLook w:val="0000" w:firstRow="0" w:lastRow="0" w:firstColumn="0" w:lastColumn="0" w:noHBand="0" w:noVBand="0"/>
              </w:tblPr>
              <w:tblGrid>
                <w:gridCol w:w="1003"/>
                <w:gridCol w:w="3829"/>
                <w:gridCol w:w="1265"/>
                <w:gridCol w:w="1685"/>
                <w:gridCol w:w="1479"/>
                <w:gridCol w:w="871"/>
                <w:gridCol w:w="1705"/>
                <w:gridCol w:w="1535"/>
                <w:gridCol w:w="823"/>
              </w:tblGrid>
              <w:tr>
                <w:trPr>
                  <w:trHeight w:val="402"/>
                  <w:jc w:val="center"/>
                </w:trPr>
                <w:tc>
                  <w:tcPr>
                    <w:tcW w:w="100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Eil. Nr.</w:t>
                    </w:r>
                  </w:p>
                </w:tc>
                <w:tc>
                  <w:tcPr>
                    <w:tcW w:w="382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Straipsniai</w:t>
                    </w:r>
                  </w:p>
                </w:tc>
                <w:tc>
                  <w:tcPr>
                    <w:tcW w:w="1265"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 xml:space="preserve">Pastabos </w:t>
                    </w:r>
                  </w:p>
                  <w:p>
                    <w:pPr>
                      <w:suppressAutoHyphens/>
                      <w:jc w:val="center"/>
                      <w:textAlignment w:val="baseline"/>
                      <w:rPr>
                        <w:b/>
                        <w:bCs/>
                        <w:sz w:val="20"/>
                        <w:lang w:eastAsia="lt-LT"/>
                      </w:rPr>
                    </w:pPr>
                    <w:r>
                      <w:rPr>
                        <w:b/>
                        <w:bCs/>
                        <w:sz w:val="20"/>
                        <w:lang w:eastAsia="lt-LT"/>
                      </w:rPr>
                      <w:t xml:space="preserve">Nr. </w:t>
                    </w:r>
                  </w:p>
                </w:tc>
                <w:tc>
                  <w:tcPr>
                    <w:tcW w:w="4035"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Ataskaitinis laikotarpis</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Praėjęs ataskaitinis laikotarpis</w:t>
                    </w:r>
                  </w:p>
                </w:tc>
              </w:tr>
              <w:tr>
                <w:trPr>
                  <w:trHeight w:val="354"/>
                  <w:jc w:val="center"/>
                </w:trPr>
                <w:tc>
                  <w:tcPr>
                    <w:tcW w:w="100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textAlignment w:val="baseline"/>
                      <w:rPr>
                        <w:b/>
                        <w:bCs/>
                        <w:sz w:val="20"/>
                        <w:lang w:eastAsia="lt-LT"/>
                      </w:rPr>
                    </w:pPr>
                  </w:p>
                </w:tc>
                <w:tc>
                  <w:tcPr>
                    <w:tcW w:w="3829"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p>
                </w:tc>
                <w:tc>
                  <w:tcPr>
                    <w:tcW w:w="1265" w:type="dxa"/>
                    <w:vMerge/>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Tiesioginiai pinigų srautai</w:t>
                    </w: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Netiesioginiai pinigų srautai</w:t>
                    </w: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Iš viso</w:t>
                    </w: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Tiesioginiai pinigų srautai</w:t>
                    </w: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Netiesioginiai pinigų srautai</w:t>
                    </w: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Iš viso</w:t>
                    </w:r>
                  </w:p>
                </w:tc>
              </w:tr>
              <w:tr>
                <w:trPr>
                  <w:trHeight w:val="30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w:t>
                    </w:r>
                  </w:p>
                </w:tc>
                <w:tc>
                  <w:tcPr>
                    <w:tcW w:w="38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6</w:t>
                    </w:r>
                  </w:p>
                </w:tc>
                <w:tc>
                  <w:tcPr>
                    <w:tcW w:w="1705"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7</w:t>
                    </w:r>
                  </w:p>
                </w:tc>
                <w:tc>
                  <w:tcPr>
                    <w:tcW w:w="1535"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8</w:t>
                    </w:r>
                  </w:p>
                </w:tc>
                <w:tc>
                  <w:tcPr>
                    <w:tcW w:w="823" w:type="dxa"/>
                    <w:tcBorders>
                      <w:top w:val="single" w:sz="4" w:space="0" w:color="000000"/>
                      <w:left w:val="single" w:sz="4" w:space="0" w:color="000000"/>
                      <w:bottom w:val="single" w:sz="4" w:space="0" w:color="000000"/>
                      <w:right w:val="single" w:sz="4" w:space="0" w:color="000000"/>
                    </w:tcBorders>
                    <w:shd w:val="clear" w:color="auto" w:fill="FFFFFF"/>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9</w:t>
                    </w:r>
                  </w:p>
                </w:tc>
              </w:tr>
              <w:tr>
                <w:trPr>
                  <w:trHeight w:val="10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PAGRINDINĖS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50"/>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Finansavimo sumos kitoms išlaidoms ir atsargoms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9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valstybės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savivaldybių biudžetų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5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Europos Sąjungos, užsienio valstybių ir tarptautinių organizacijų lėšų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viešojo sektoriaus subjektų pajamų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19"/>
                      <w:textAlignment w:val="baseline"/>
                      <w:rPr>
                        <w:sz w:val="20"/>
                        <w:lang w:eastAsia="lt-LT"/>
                      </w:rPr>
                    </w:pPr>
                    <w:r>
                      <w:rPr>
                        <w:sz w:val="20"/>
                        <w:lang w:eastAsia="lt-LT"/>
                      </w:rPr>
                      <w:t>Iš fizinių ir privačių juridinių asmenų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67"/>
                      <w:textAlignment w:val="baseline"/>
                      <w:rPr>
                        <w:sz w:val="20"/>
                        <w:lang w:eastAsia="lt-LT"/>
                      </w:rPr>
                    </w:pPr>
                    <w:r>
                      <w:rPr>
                        <w:sz w:val="20"/>
                        <w:lang w:eastAsia="lt-LT"/>
                      </w:rPr>
                      <w:t>Iš socialinių įmokų ir kitų įmokų į fondus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0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Už suteiktas paslaugas iš pirkėjų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Už suteiktas paslaugas iš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lang w:eastAsia="lt-LT"/>
                      </w:rPr>
                    </w:pPr>
                    <w:r>
                      <w:rPr>
                        <w:sz w:val="20"/>
                        <w:lang w:eastAsia="lt-LT"/>
                      </w:rPr>
                      <w:t>Gautos palūkanos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Kitos įplaukos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6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firstLine="36"/>
                      <w:textAlignment w:val="baseline"/>
                      <w:rPr>
                        <w:sz w:val="20"/>
                        <w:lang w:eastAsia="lt-LT"/>
                      </w:rPr>
                    </w:pPr>
                    <w:r>
                      <w:rPr>
                        <w:sz w:val="20"/>
                        <w:lang w:eastAsia="lt-LT"/>
                      </w:rPr>
                      <w:t>Viešojo sektoriaus subjektų pervestos lėšos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valstybės biudžetą</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savivaldybių biudžetus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6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Europos Sąjungai, užsienio valstybėms ir tarptautinėms organizacijoms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Į kitus išteklių fondus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Viešojo sektoriaus subjektams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Fiziniams ir privatiems juridiniams asmenims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1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Viešojo sektoriaus subjektų 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Darbo užmokesčio ir socialinio draudimo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Socialinės ir kitos išmokos darbuotojams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9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Prekėms ir paslaugoms veiklai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Mitybai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Medikamentams ir medicininėms prekėms ir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0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Ryšių įrangai ir ryšių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Transporto išlaikymui ir transporto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Aprangai ir patalynei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Komandiruotėms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Materialiojo ir nematerialiojo turto nuomai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1.3..3.8.</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Materialiojo turto paprastajam remontui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1.3..3.9.</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Kvalifikacijos kėlimui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1.3.3.10.</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Ekspertų ir konsultantų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Komunalinėms paslaugoms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Informacinėms technologijoms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Reprezentacijai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2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Viešinimui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5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09"/>
                      <w:textAlignment w:val="baseline"/>
                      <w:rPr>
                        <w:sz w:val="20"/>
                        <w:lang w:eastAsia="lt-LT"/>
                      </w:rPr>
                    </w:pPr>
                    <w:r>
                      <w:rPr>
                        <w:sz w:val="20"/>
                        <w:lang w:eastAsia="lt-LT"/>
                      </w:rPr>
                      <w:t>Kitoms prekėms ir paslaugoms veiklai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Prekėms ir paslaugoms viešajam ūkiui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Socialinėms išmokoms, stipendijoms, prizams ir premijoms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Sumokėtos palūkanos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77"/>
                      <w:textAlignment w:val="baseline"/>
                      <w:rPr>
                        <w:sz w:val="20"/>
                        <w:lang w:eastAsia="lt-LT"/>
                      </w:rPr>
                    </w:pPr>
                    <w:r>
                      <w:rPr>
                        <w:sz w:val="20"/>
                        <w:lang w:eastAsia="lt-LT"/>
                      </w:rPr>
                      <w:t>Kitos išmokos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 xml:space="preserve">1.4. </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3"/>
                      <w:textAlignment w:val="baseline"/>
                      <w:rPr>
                        <w:sz w:val="20"/>
                        <w:lang w:eastAsia="lt-LT"/>
                      </w:rPr>
                    </w:pPr>
                    <w:r>
                      <w:rPr>
                        <w:sz w:val="20"/>
                        <w:lang w:eastAsia="lt-LT"/>
                      </w:rPr>
                      <w:t>Valdžios sektoriui priskiriamų įmonių pagrindinės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7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INVESTICINĖS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79"/>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investicinės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 xml:space="preserve">Išmokos įsigijus ilgalaikį turtą (išskyrus finansinį) ir biologinį turtą </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2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 xml:space="preserve">Įplaukos perleidus ilgalaikį turtą (išskyrus finansinį) ir biologinį turtą </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Išmokos įsigijus ilgalaikį finansinį turtą</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 xml:space="preserve">Įplaukos perleidus ilgalaikį finansinį turtą </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41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Terminuotųjų indėlių padidėjimas (sumažėjimas)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Gauti dividendai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lang w:eastAsia="lt-LT"/>
                      </w:rPr>
                    </w:pPr>
                    <w:r>
                      <w:rPr>
                        <w:sz w:val="20"/>
                        <w:lang w:eastAsia="lt-LT"/>
                      </w:rPr>
                      <w:t>2.1.7.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Kiti investicinės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Valdžios sektoriui priskiriamų įmonių investicinės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9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FINANSINĖS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98"/>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finansinės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Įplaukos iš gautų paskolų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83"/>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Gautų paskolų grąžinimas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30"/>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Finansinės nuomos (lizingo) įsipareigojimų apmokėjimas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2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Gautos finansavimo sumos ilgalaikiam ir biologiniam turtui įsigyti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241"/>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297"/>
                      <w:textAlignment w:val="baseline"/>
                      <w:rPr>
                        <w:sz w:val="20"/>
                        <w:lang w:eastAsia="lt-LT"/>
                      </w:rPr>
                    </w:pPr>
                    <w:r>
                      <w:rPr>
                        <w:sz w:val="20"/>
                        <w:lang w:eastAsia="lt-LT"/>
                      </w:rPr>
                      <w:t>Iš valstybės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297"/>
                      <w:textAlignment w:val="baseline"/>
                      <w:rPr>
                        <w:sz w:val="20"/>
                        <w:lang w:eastAsia="lt-LT"/>
                      </w:rPr>
                    </w:pPr>
                    <w:r>
                      <w:rPr>
                        <w:sz w:val="20"/>
                        <w:lang w:eastAsia="lt-LT"/>
                      </w:rPr>
                      <w:t>Iš savivaldybių biudžeto</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297"/>
                      <w:textAlignment w:val="baseline"/>
                      <w:rPr>
                        <w:sz w:val="20"/>
                        <w:lang w:eastAsia="lt-LT"/>
                      </w:rPr>
                    </w:pPr>
                    <w:r>
                      <w:rPr>
                        <w:sz w:val="20"/>
                        <w:lang w:eastAsia="lt-LT"/>
                      </w:rPr>
                      <w:t>Iš Europos Sąjungos, užsienio valstybių ir tarptautinių organizacijų lėšų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42"/>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297"/>
                      <w:textAlignment w:val="baseline"/>
                      <w:rPr>
                        <w:sz w:val="20"/>
                        <w:lang w:eastAsia="lt-LT"/>
                      </w:rPr>
                    </w:pPr>
                    <w:r>
                      <w:rPr>
                        <w:sz w:val="20"/>
                        <w:lang w:eastAsia="lt-LT"/>
                      </w:rPr>
                      <w:t>Iš viešojo sektoriaus subjektų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297"/>
                      <w:textAlignment w:val="baseline"/>
                      <w:rPr>
                        <w:sz w:val="20"/>
                        <w:lang w:eastAsia="lt-LT"/>
                      </w:rPr>
                    </w:pPr>
                    <w:r>
                      <w:rPr>
                        <w:sz w:val="20"/>
                        <w:lang w:eastAsia="lt-LT"/>
                      </w:rPr>
                      <w:t>Iš fizinių ir juridinių asmenų</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4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3.1.5.</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Grąžintos ir perduotos finansavimo sumos ilgalaikiam ir biologiniam turtui įsigyti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7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3.1.6.</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lang w:eastAsia="lt-LT"/>
                      </w:rPr>
                    </w:pPr>
                    <w:r>
                      <w:rPr>
                        <w:sz w:val="20"/>
                        <w:lang w:eastAsia="lt-LT"/>
                      </w:rPr>
                      <w:t>Gauti dalininko įnašai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3.1.7.</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155"/>
                      <w:textAlignment w:val="baseline"/>
                      <w:rPr>
                        <w:sz w:val="20"/>
                        <w:lang w:eastAsia="lt-LT"/>
                      </w:rPr>
                    </w:pPr>
                    <w:r>
                      <w:rPr>
                        <w:sz w:val="20"/>
                        <w:lang w:eastAsia="lt-LT"/>
                      </w:rPr>
                      <w:t>Kiti finansinės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85"/>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sz w:val="20"/>
                        <w:lang w:eastAsia="lt-LT"/>
                      </w:rPr>
                    </w:pPr>
                    <w:r>
                      <w:rPr>
                        <w:sz w:val="20"/>
                        <w:lang w:eastAsia="lt-LT"/>
                      </w:rPr>
                      <w:t>Valdžios sektoriui priskiriamų įmonių finansinės veiklos pinigų srautai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34"/>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4.</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VALIUTOS KURSŲ PASIKEITIMO ĮTAKA PINIGŲ IR PINIGŲ EKVIVALENTŲ LIKUČIUI</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35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bCs/>
                        <w:sz w:val="20"/>
                        <w:lang w:eastAsia="lt-LT"/>
                      </w:rPr>
                    </w:pPr>
                    <w:r>
                      <w:rPr>
                        <w:bCs/>
                        <w:sz w:val="20"/>
                        <w:lang w:eastAsia="lt-LT"/>
                      </w:rPr>
                      <w:t>4.1.</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Pinigų ir pinigų ekvivalentų padidėjimas (sumažėjimas)</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66"/>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4.2.</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Pinigai ir pinigų ekvivalentai ataskaitinio laikotarpio pradžioje</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r>
                <w:trPr>
                  <w:trHeight w:val="137"/>
                  <w:jc w:val="center"/>
                </w:trPr>
                <w:tc>
                  <w:tcPr>
                    <w:tcW w:w="100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4.3.</w:t>
                    </w:r>
                  </w:p>
                </w:tc>
                <w:tc>
                  <w:tcPr>
                    <w:tcW w:w="382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ind w:left="36"/>
                      <w:textAlignment w:val="baseline"/>
                      <w:rPr>
                        <w:bCs/>
                        <w:sz w:val="20"/>
                        <w:lang w:eastAsia="lt-LT"/>
                      </w:rPr>
                    </w:pPr>
                    <w:r>
                      <w:rPr>
                        <w:bCs/>
                        <w:sz w:val="20"/>
                        <w:lang w:eastAsia="lt-LT"/>
                      </w:rPr>
                      <w:t>Pinigai ir pinigų ekvivalentai ataskaitinio laikotarpio pabaigoje</w:t>
                    </w:r>
                  </w:p>
                </w:tc>
                <w:tc>
                  <w:tcPr>
                    <w:tcW w:w="126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68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70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15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c>
                  <w:tcPr>
                    <w:tcW w:w="82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suppressAutoHyphens/>
                      <w:textAlignment w:val="baseline"/>
                      <w:rPr>
                        <w:sz w:val="20"/>
                        <w:lang w:eastAsia="lt-LT"/>
                      </w:rPr>
                    </w:pPr>
                  </w:p>
                </w:tc>
              </w:tr>
            </w:tbl>
            <w:p>
              <w:pPr>
                <w:suppressAutoHyphens/>
                <w:ind w:left="284"/>
                <w:textAlignment w:val="baseline"/>
                <w:rPr>
                  <w:bCs/>
                  <w:szCs w:val="24"/>
                  <w:lang w:eastAsia="lt-LT"/>
                </w:rPr>
              </w:pPr>
              <w:r>
                <w:rPr>
                  <w:b/>
                  <w:bCs/>
                  <w:szCs w:val="24"/>
                  <w:lang w:eastAsia="lt-LT"/>
                </w:rPr>
                <w:t>Pastaba</w:t>
              </w:r>
              <w:r>
                <w:rPr>
                  <w:szCs w:val="24"/>
                  <w:lang w:eastAsia="lt-LT"/>
                </w:rPr>
                <w:t xml:space="preserve">. </w:t>
              </w:r>
              <w:r>
                <w:rPr>
                  <w:bCs/>
                  <w:szCs w:val="24"/>
                  <w:lang w:eastAsia="lt-LT"/>
                </w:rPr>
                <w:t xml:space="preserve">Forma pildoma rengiant viešojo sektoriaus subjektų grupės žemesniojo lygio finansinių ataskaitų rinkinio pinigų srautų ataskaitą. </w:t>
              </w:r>
            </w:p>
            <w:p>
              <w:pPr>
                <w:suppressAutoHyphens/>
                <w:textAlignment w:val="baseline"/>
                <w:rPr>
                  <w:szCs w:val="24"/>
                  <w:lang w:eastAsia="lt-LT"/>
                </w:rPr>
              </w:pPr>
            </w:p>
          </w:sdtContent>
        </w:sdt>
        <w:sdt>
          <w:sdtPr>
            <w:alias w:val="pabaiga"/>
            <w:tag w:val="part_0d554798e9fd423bbd73ef157e2e2c18"/>
            <w:lock w:val="sdtLocked"/>
            <w:richText/>
          </w:sdtPr>
          <w:sdtContent>
            <w:p>
              <w:pPr>
                <w:jc w:val="center"/>
              </w:pPr>
              <w:r>
                <w:t>_________________</w:t>
              </w:r>
            </w:p>
            <w:p/>
            <w:p>
              <w:pPr>
                <w:rPr>
                  <w:szCs w:val="24"/>
                  <w:lang w:eastAsia="lt-LT"/>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1134" w:bottom="567" w:left="851" w:header="567" w:footer="567" w:gutter="0"/>
                  <w:cols w:space="1296"/>
                  <w:docGrid w:linePitch="360"/>
                </w:sectPr>
              </w:pPr>
            </w:p>
          </w:sdtContent>
        </w:sdt>
      </w:sdtContent>
    </w:sdt>
    <w:sdt>
      <w:sdtPr>
        <w:alias w:val="3 pr."/>
        <w:tag w:val="part_efda4e9a5e9547a2bb42ebf37b500b07"/>
        <w:lock w:val="sdtLocked"/>
        <w:richText/>
      </w:sdtPr>
      <w:sdtContent>
        <w:p>
          <w:pPr>
            <w:tabs>
              <w:tab w:val="left" w:pos="1033"/>
              <w:tab w:val="left" w:pos="6302"/>
              <w:tab w:val="left" w:pos="10493"/>
              <w:tab w:val="left" w:pos="10759"/>
            </w:tabs>
            <w:suppressAutoHyphens/>
            <w:ind w:left="4535"/>
            <w:textAlignment w:val="baseline"/>
            <w:rPr>
              <w:szCs w:val="24"/>
              <w:lang w:eastAsia="lt-LT"/>
            </w:rPr>
          </w:pPr>
          <w:r>
            <w:rPr>
              <w:szCs w:val="24"/>
              <w:lang w:eastAsia="lt-LT"/>
            </w:rPr>
            <w:t xml:space="preserve">5-ojo </w:t>
          </w:r>
          <w:r>
            <w:rPr>
              <w:szCs w:val="24"/>
            </w:rPr>
            <w:t xml:space="preserve">viešojo sektoriaus apskaitos ir finansinės atskaitomybės standarto </w:t>
          </w:r>
          <w:r>
            <w:rPr>
              <w:szCs w:val="24"/>
              <w:lang w:eastAsia="lt-LT"/>
            </w:rPr>
            <w:t>„Pinigų srautų ataskaita“</w:t>
          </w:r>
        </w:p>
        <w:p>
          <w:pPr>
            <w:tabs>
              <w:tab w:val="left" w:pos="1033"/>
              <w:tab w:val="left" w:pos="6302"/>
              <w:tab w:val="left" w:pos="10493"/>
              <w:tab w:val="left" w:pos="10759"/>
            </w:tabs>
            <w:suppressAutoHyphens/>
            <w:ind w:left="4535"/>
            <w:textAlignment w:val="baseline"/>
            <w:rPr>
              <w:lang w:eastAsia="lt-LT"/>
            </w:rPr>
          </w:pPr>
          <w:sdt>
            <w:sdtPr>
              <w:alias w:val="Numeris"/>
              <w:tag w:val="nr_efda4e9a5e9547a2bb42ebf37b500b07"/>
              <w:lock w:val="sdtLocked"/>
              <w:richText/>
            </w:sdtPr>
            <w:sdtContent>
              <w:r>
                <w:rPr>
                  <w:szCs w:val="24"/>
                  <w:lang w:eastAsia="lt-LT"/>
                </w:rPr>
                <w:t>3</w:t>
              </w:r>
            </w:sdtContent>
          </w:sdt>
          <w:r>
            <w:rPr>
              <w:szCs w:val="24"/>
              <w:lang w:eastAsia="lt-LT"/>
            </w:rPr>
            <w:t xml:space="preserve"> priedas</w:t>
          </w:r>
        </w:p>
        <w:p>
          <w:pPr>
            <w:tabs>
              <w:tab w:val="left" w:pos="1033"/>
              <w:tab w:val="left" w:pos="6302"/>
              <w:tab w:val="left" w:pos="10493"/>
              <w:tab w:val="left" w:pos="10759"/>
              <w:tab w:val="left" w:pos="11731"/>
              <w:tab w:val="left" w:pos="12971"/>
            </w:tabs>
            <w:suppressAutoHyphens/>
            <w:jc w:val="center"/>
            <w:textAlignment w:val="baseline"/>
            <w:rPr>
              <w:szCs w:val="24"/>
              <w:lang w:eastAsia="lt-LT"/>
            </w:rPr>
          </w:pPr>
        </w:p>
        <w:p>
          <w:pPr>
            <w:suppressAutoHyphens/>
            <w:spacing w:line="276" w:lineRule="auto"/>
            <w:jc w:val="center"/>
            <w:textAlignment w:val="baseline"/>
            <w:rPr>
              <w:lang w:eastAsia="lt-LT"/>
            </w:rPr>
          </w:pPr>
          <w:sdt>
            <w:sdtPr>
              <w:alias w:val="Pavadinimas"/>
              <w:tag w:val="title_efda4e9a5e9547a2bb42ebf37b500b07"/>
              <w:lock w:val="sdtLocked"/>
              <w:richText/>
            </w:sdtPr>
            <w:sdtContent>
              <w:r>
                <w:rPr>
                  <w:b/>
                  <w:bCs/>
                  <w:szCs w:val="24"/>
                  <w:lang w:eastAsia="lt-LT"/>
                </w:rPr>
                <w:t>(Valstybės pinigų srautų ataskaitos forma)</w:t>
              </w:r>
            </w:sdtContent>
          </w:sdt>
        </w:p>
        <w:p>
          <w:pPr>
            <w:suppressAutoHyphens/>
            <w:jc w:val="center"/>
            <w:textAlignment w:val="baseline"/>
            <w:rPr>
              <w:b/>
              <w:bCs/>
              <w:szCs w:val="24"/>
              <w:lang w:eastAsia="lt-LT"/>
            </w:rPr>
          </w:pPr>
        </w:p>
        <w:p>
          <w:pPr>
            <w:tabs>
              <w:tab w:val="left" w:leader="underscore" w:pos="8901"/>
            </w:tabs>
            <w:suppressAutoHyphens/>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(valstybės)</w:t>
          </w: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parengusio valstybės pinigų srautų ataskaitą, kodas, adresas)</w:t>
          </w:r>
        </w:p>
        <w:p>
          <w:pPr>
            <w:suppressAutoHyphens/>
            <w:jc w:val="center"/>
            <w:textAlignment w:val="baseline"/>
            <w:rPr>
              <w:szCs w:val="24"/>
              <w:lang w:eastAsia="lt-LT"/>
            </w:rPr>
          </w:pPr>
        </w:p>
        <w:sdt>
          <w:sdtPr>
            <w:alias w:val="skirsnis"/>
            <w:tag w:val="part_33f980943aeb4cf9b5f5b80bfe45d8c8"/>
            <w:lock w:val="sdtLocked"/>
            <w:richText/>
          </w:sdtPr>
          <w:sdtContent>
            <w:sdt>
              <w:sdtPr>
                <w:alias w:val="Pavadinimas"/>
                <w:tag w:val="title_33f980943aeb4cf9b5f5b80bfe45d8c8"/>
                <w:lock w:val="sdtLocked"/>
                <w:richText/>
              </w:sdtPr>
              <w:sdtContent>
                <w:p>
                  <w:pPr>
                    <w:suppressAutoHyphens/>
                    <w:jc w:val="center"/>
                    <w:textAlignment w:val="baseline"/>
                    <w:rPr>
                      <w:b/>
                      <w:bCs/>
                      <w:szCs w:val="24"/>
                      <w:lang w:eastAsia="lt-LT"/>
                    </w:rPr>
                  </w:pPr>
                  <w:r>
                    <w:rPr>
                      <w:b/>
                      <w:bCs/>
                      <w:szCs w:val="24"/>
                      <w:lang w:eastAsia="lt-LT"/>
                    </w:rPr>
                    <w:t>VALSTYBĖS PINIGŲ SRAUTŲ ATASKAITA</w:t>
                  </w:r>
                </w:p>
                <w:p>
                  <w:pPr>
                    <w:suppressAutoHyphens/>
                    <w:jc w:val="center"/>
                    <w:textAlignment w:val="baseline"/>
                    <w:rPr>
                      <w:b/>
                      <w:bCs/>
                      <w:szCs w:val="24"/>
                      <w:lang w:eastAsia="lt-LT"/>
                    </w:rPr>
                  </w:pPr>
                  <w:r>
                    <w:rPr>
                      <w:b/>
                      <w:bCs/>
                      <w:szCs w:val="24"/>
                      <w:lang w:eastAsia="lt-LT"/>
                    </w:rPr>
                    <w:t>PAGAL 20_____M.______D. DUOMENIS</w:t>
                  </w:r>
                </w:p>
              </w:sdtContent>
            </w:sdt>
            <w:p>
              <w:pPr>
                <w:tabs>
                  <w:tab w:val="left" w:pos="1033"/>
                  <w:tab w:val="left" w:pos="6302"/>
                  <w:tab w:val="left" w:pos="10493"/>
                  <w:tab w:val="left" w:pos="10759"/>
                  <w:tab w:val="left" w:pos="11731"/>
                  <w:tab w:val="left" w:pos="12971"/>
                </w:tabs>
                <w:suppressAutoHyphens/>
                <w:jc w:val="center"/>
                <w:textAlignment w:val="baseline"/>
                <w:rPr>
                  <w:rFonts w:ascii="Arial" w:hAnsi="Arial" w:cs="Arial"/>
                  <w:b/>
                  <w:bCs/>
                  <w:szCs w:val="24"/>
                  <w:lang w:eastAsia="lt-LT"/>
                </w:rPr>
              </w:pPr>
            </w:p>
            <w:p>
              <w:pPr>
                <w:suppressAutoHyphens/>
                <w:jc w:val="center"/>
                <w:textAlignment w:val="baseline"/>
                <w:rPr>
                  <w:szCs w:val="24"/>
                  <w:lang w:eastAsia="lt-LT"/>
                </w:rPr>
              </w:pPr>
              <w:r>
                <w:rPr>
                  <w:szCs w:val="24"/>
                  <w:lang w:eastAsia="lt-LT"/>
                </w:rPr>
                <w:t>_____________________Nr. _____</w:t>
              </w:r>
            </w:p>
            <w:p>
              <w:pPr>
                <w:suppressAutoHyphens/>
                <w:jc w:val="center"/>
                <w:textAlignment w:val="baseline"/>
                <w:rPr>
                  <w:szCs w:val="24"/>
                  <w:lang w:eastAsia="lt-LT"/>
                </w:rPr>
              </w:pPr>
              <w:r>
                <w:rPr>
                  <w:szCs w:val="24"/>
                  <w:lang w:eastAsia="lt-LT"/>
                </w:rPr>
                <w:t>(data)</w:t>
              </w:r>
            </w:p>
            <w:p>
              <w:pPr>
                <w:tabs>
                  <w:tab w:val="left" w:pos="1033"/>
                  <w:tab w:val="left" w:pos="6302"/>
                  <w:tab w:val="left" w:pos="10493"/>
                  <w:tab w:val="left" w:pos="10759"/>
                  <w:tab w:val="left" w:pos="11731"/>
                  <w:tab w:val="left" w:pos="12971"/>
                </w:tabs>
                <w:suppressAutoHyphens/>
                <w:jc w:val="center"/>
                <w:textAlignment w:val="baseline"/>
                <w:rPr>
                  <w:rFonts w:ascii="Helv" w:hAnsi="Helv" w:cs="Arial"/>
                  <w:szCs w:val="24"/>
                  <w:lang w:eastAsia="lt-LT"/>
                </w:rPr>
              </w:pPr>
            </w:p>
            <w:p>
              <w:pPr>
                <w:tabs>
                  <w:tab w:val="left" w:pos="1033"/>
                </w:tabs>
                <w:suppressAutoHyphens/>
                <w:jc w:val="right"/>
                <w:textAlignment w:val="baseline"/>
                <w:rPr>
                  <w:i/>
                  <w:iCs/>
                  <w:szCs w:val="24"/>
                  <w:lang w:eastAsia="lt-LT"/>
                </w:rPr>
              </w:pPr>
              <w:r>
                <w:rPr>
                  <w:i/>
                  <w:iCs/>
                  <w:szCs w:val="24"/>
                  <w:lang w:eastAsia="lt-LT"/>
                </w:rPr>
                <w:t>Pateikimo valiuta ir tikslumas: tūkstančiais eurų</w:t>
              </w:r>
            </w:p>
            <w:tbl>
              <w:tblPr>
                <w:tblW w:w="9070" w:type="dxa"/>
                <w:tblCellMar>
                  <w:left w:w="10" w:type="dxa"/>
                  <w:right w:w="10" w:type="dxa"/>
                </w:tblCellMar>
                <w:tblLook w:val="0000" w:firstRow="0" w:lastRow="0" w:firstColumn="0" w:lastColumn="0" w:noHBand="0" w:noVBand="0"/>
              </w:tblPr>
              <w:tblGrid>
                <w:gridCol w:w="819"/>
                <w:gridCol w:w="4298"/>
                <w:gridCol w:w="1113"/>
                <w:gridCol w:w="1420"/>
                <w:gridCol w:w="1420"/>
              </w:tblGrid>
              <w:tr>
                <w:trPr>
                  <w:trHeight w:val="960"/>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Eil. Nr.</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Straipsniai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 xml:space="preserve">Pastabos Nr. </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Ataskaitinis laikotarpis</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PAGRINDINĖS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Viešojo sektoriaus subjektų įplaukos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141"/>
                      <w:textAlignment w:val="baseline"/>
                      <w:rPr>
                        <w:sz w:val="20"/>
                        <w:lang w:eastAsia="lt-LT"/>
                      </w:rPr>
                    </w:pPr>
                    <w:r>
                      <w:rPr>
                        <w:sz w:val="20"/>
                        <w:lang w:eastAsia="lt-LT"/>
                      </w:rPr>
                      <w:t>Finansavimo sumos kitoms išlaidoms ir atsargoms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lang w:eastAsia="lt-LT"/>
                      </w:rPr>
                    </w:pPr>
                    <w:r>
                      <w:rPr>
                        <w:sz w:val="20"/>
                        <w:lang w:eastAsia="lt-LT"/>
                      </w:rPr>
                      <w:t>Iš savivaldybių biudžetų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Europos Sąjungos, užsienio valstybių ir tarptautinių organizacijų lėšų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viešojo sektoriaus subjektų pajamų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fizinių ir privačių juridinių asmenų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Iš mokesčių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Iš socialinių įmokų ir kitų įmokų į fondus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Už suteiktas paslaugas iš pirkėjų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Už suteiktas paslaugas iš biudžeto</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lang w:eastAsia="lt-LT"/>
                      </w:rPr>
                    </w:pPr>
                    <w:r>
                      <w:rPr>
                        <w:sz w:val="20"/>
                        <w:lang w:eastAsia="lt-LT"/>
                      </w:rPr>
                      <w:t xml:space="preserve">Gautos palūkanos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įplaukos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pervestos lėšos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išmokos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bCs/>
                        <w:lang w:eastAsia="lt-LT"/>
                      </w:rPr>
                    </w:pPr>
                    <w:r>
                      <w:rPr>
                        <w:bCs/>
                        <w:sz w:val="20"/>
                        <w:lang w:eastAsia="lt-LT"/>
                      </w:rPr>
                      <w:t>Darbo užmokesčio ir socialinio draudimo</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Socialinės ir kitos išmokos darbuotojams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veiklai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viešajam ūkiui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Socialinėms išmokoms, stipendijoms, prizams ir premijoms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Sumokėtos palūkanos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išmokos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pagrindinės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Išmokos įsigijus ilgalaikį turtą (išskyrus finansinį) ir biologinį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Įplaukos perleidus ilgalaikį turtą (išskyrus finansinį) ir biologinį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Išmokos įsigijus ilgalaikį finansinį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Įplaukos perleidus ilgalaikį finansinį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Terminuotųjų indėlių (padidėjimas) sumažėjimas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Gauti dividendai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Kiti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Įplaukos iš gautų paskolų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Gautų paskolų grąžinimas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Finansinės nuomos (lizingo) įsipareigojimų apmokėjimas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Gautos finansavimo sumos ilgalaikiam ir biologiniam turtui įsigyti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Grąžintos finansavimo sumos ilgalaikiam ir biologiniam turtui įsigyti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Gauti dalininko įnašai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lang w:eastAsia="lt-LT"/>
                      </w:rPr>
                    </w:pPr>
                    <w:r>
                      <w:rPr>
                        <w:sz w:val="20"/>
                        <w:lang w:eastAsia="lt-LT"/>
                      </w:rPr>
                      <w:t>Kiti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Valdžios sektoriui priskiriamų įmonių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
                        <w:bCs/>
                        <w:sz w:val="20"/>
                        <w:lang w:eastAsia="lt-LT"/>
                      </w:rPr>
                    </w:pPr>
                    <w:r>
                      <w:rPr>
                        <w:b/>
                        <w:bCs/>
                        <w:sz w:val="20"/>
                        <w:lang w:eastAsia="lt-LT"/>
                      </w:rPr>
                      <w:t>VALIUTOS KURSŲ PASIKEITIMO ĮTAKA PINIGŲ IR PINIGŲ EKVIVALENTŲ LIKUČIUI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0"/>
                        <w:lang w:eastAsia="lt-LT"/>
                      </w:rPr>
                    </w:pPr>
                    <w:r>
                      <w:rPr>
                        <w:bCs/>
                        <w:sz w:val="20"/>
                        <w:lang w:eastAsia="lt-LT"/>
                      </w:rPr>
                      <w:t>4.1.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Pinigų ir pinigų ekvivalentų padidėjimas (sumažėjimas)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Pinigai ir pinigų ekvivalentai ataskaitinio laikotarpio pradžioje</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Cs/>
                        <w:sz w:val="20"/>
                        <w:lang w:eastAsia="lt-LT"/>
                      </w:rPr>
                    </w:pPr>
                    <w:r>
                      <w:rPr>
                        <w:bCs/>
                        <w:sz w:val="20"/>
                        <w:lang w:eastAsia="lt-LT"/>
                      </w:rPr>
                      <w:t>Pinigai ir pinigų ekvivalentai ataskaitinio laikotarpio pabaigoje</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bl>
            <w:p>
              <w:pPr>
                <w:suppressAutoHyphens/>
                <w:textAlignment w:val="baseline"/>
                <w:rPr>
                  <w:szCs w:val="24"/>
                  <w:lang w:eastAsia="lt-LT"/>
                </w:rPr>
              </w:pPr>
            </w:p>
          </w:sdtContent>
        </w:sdt>
        <w:sdt>
          <w:sdtPr>
            <w:alias w:val="pabaiga"/>
            <w:tag w:val="part_2d19f6eff0a442e5bd747e0c1f8a715b"/>
            <w:lock w:val="sdtLocked"/>
            <w:richText/>
          </w:sdtPr>
          <w:sdtContent>
            <w:p>
              <w:pPr>
                <w:jc w:val="center"/>
              </w:pPr>
              <w:r>
                <w:t>_________________</w:t>
              </w:r>
            </w:p>
            <w:p>
              <w:r>
                <w:br w:type="page"/>
              </w:r>
            </w:p>
          </w:sdtContent>
        </w:sdt>
      </w:sdtContent>
    </w:sdt>
    <w:sdt>
      <w:sdtPr>
        <w:alias w:val="4 pr."/>
        <w:tag w:val="part_6c41ae7484e94746af30f57143404edc"/>
        <w:lock w:val="sdtLocked"/>
        <w:richText/>
      </w:sdtPr>
      <w:sdtContent>
        <w:p>
          <w:pPr>
            <w:tabs>
              <w:tab w:val="left" w:pos="1033"/>
              <w:tab w:val="left" w:pos="6302"/>
              <w:tab w:val="left" w:pos="10493"/>
              <w:tab w:val="left" w:pos="10759"/>
            </w:tabs>
            <w:suppressAutoHyphens/>
            <w:ind w:left="4535"/>
            <w:textAlignment w:val="baseline"/>
            <w:rPr>
              <w:szCs w:val="24"/>
              <w:lang w:eastAsia="lt-LT"/>
            </w:rPr>
          </w:pPr>
          <w:r>
            <w:rPr>
              <w:szCs w:val="24"/>
              <w:lang w:eastAsia="lt-LT"/>
            </w:rPr>
            <w:t xml:space="preserve">5-ojo </w:t>
          </w:r>
          <w:r>
            <w:rPr>
              <w:szCs w:val="24"/>
            </w:rPr>
            <w:t xml:space="preserve">viešojo sektoriaus apskaitos ir finansinės atskaitomybės standarto </w:t>
          </w:r>
          <w:r>
            <w:rPr>
              <w:szCs w:val="24"/>
              <w:lang w:eastAsia="lt-LT"/>
            </w:rPr>
            <w:t>„Pinigų srautų ataskaita“</w:t>
          </w:r>
        </w:p>
        <w:p>
          <w:pPr>
            <w:tabs>
              <w:tab w:val="left" w:pos="1033"/>
              <w:tab w:val="left" w:pos="6302"/>
              <w:tab w:val="left" w:pos="10493"/>
              <w:tab w:val="left" w:pos="10759"/>
            </w:tabs>
            <w:suppressAutoHyphens/>
            <w:ind w:left="4535"/>
            <w:textAlignment w:val="baseline"/>
            <w:rPr>
              <w:lang w:eastAsia="lt-LT"/>
            </w:rPr>
          </w:pPr>
          <w:sdt>
            <w:sdtPr>
              <w:alias w:val="Numeris"/>
              <w:tag w:val="nr_6c41ae7484e94746af30f57143404edc"/>
              <w:lock w:val="sdtLocked"/>
              <w:richText/>
            </w:sdtPr>
            <w:sdtContent>
              <w:r>
                <w:rPr>
                  <w:szCs w:val="24"/>
                  <w:lang w:eastAsia="lt-LT"/>
                </w:rPr>
                <w:t>4</w:t>
              </w:r>
            </w:sdtContent>
          </w:sdt>
          <w:r>
            <w:rPr>
              <w:szCs w:val="24"/>
              <w:lang w:eastAsia="lt-LT"/>
            </w:rPr>
            <w:t xml:space="preserve"> priedas</w:t>
          </w:r>
        </w:p>
        <w:p>
          <w:pPr>
            <w:tabs>
              <w:tab w:val="left" w:pos="1033"/>
              <w:tab w:val="left" w:pos="6302"/>
              <w:tab w:val="left" w:pos="10493"/>
              <w:tab w:val="left" w:pos="10759"/>
              <w:tab w:val="left" w:pos="11731"/>
              <w:tab w:val="left" w:pos="12971"/>
            </w:tabs>
            <w:suppressAutoHyphens/>
            <w:jc w:val="center"/>
            <w:textAlignment w:val="baseline"/>
            <w:rPr>
              <w:szCs w:val="24"/>
              <w:lang w:eastAsia="lt-LT"/>
            </w:rPr>
          </w:pPr>
        </w:p>
        <w:p>
          <w:pPr>
            <w:suppressAutoHyphens/>
            <w:jc w:val="center"/>
            <w:textAlignment w:val="baseline"/>
            <w:rPr>
              <w:lang w:eastAsia="lt-LT"/>
            </w:rPr>
          </w:pPr>
          <w:sdt>
            <w:sdtPr>
              <w:alias w:val="Pavadinimas"/>
              <w:tag w:val="title_6c41ae7484e94746af30f57143404edc"/>
              <w:lock w:val="sdtLocked"/>
              <w:richText/>
            </w:sdtPr>
            <w:sdtContent>
              <w:r>
                <w:rPr>
                  <w:b/>
                  <w:bCs/>
                  <w:szCs w:val="24"/>
                  <w:lang w:eastAsia="lt-LT"/>
                </w:rPr>
                <w:t>(Savivaldybės pinigų srautų ataskaitos forma)</w:t>
              </w:r>
            </w:sdtContent>
          </w:sdt>
        </w:p>
        <w:p>
          <w:pPr>
            <w:suppressAutoHyphens/>
            <w:jc w:val="center"/>
            <w:textAlignment w:val="baseline"/>
            <w:rPr>
              <w:b/>
              <w:bCs/>
              <w:szCs w:val="24"/>
              <w:lang w:eastAsia="lt-LT"/>
            </w:rPr>
          </w:pP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(savivaldybės pavadinimas)</w:t>
          </w: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parengusio savivaldybės pinigų srautų ataskaitą, kodas, adresas)</w:t>
          </w:r>
        </w:p>
        <w:p>
          <w:pPr>
            <w:suppressAutoHyphens/>
            <w:jc w:val="center"/>
            <w:textAlignment w:val="baseline"/>
            <w:rPr>
              <w:szCs w:val="24"/>
              <w:lang w:eastAsia="lt-LT"/>
            </w:rPr>
          </w:pPr>
        </w:p>
        <w:sdt>
          <w:sdtPr>
            <w:alias w:val="skirsnis"/>
            <w:tag w:val="part_3950579fd34a4d4ebaa119b792c011a3"/>
            <w:lock w:val="sdtLocked"/>
            <w:richText/>
          </w:sdtPr>
          <w:sdtContent>
            <w:sdt>
              <w:sdtPr>
                <w:alias w:val="Pavadinimas"/>
                <w:tag w:val="title_3950579fd34a4d4ebaa119b792c011a3"/>
                <w:lock w:val="sdtLocked"/>
                <w:richText/>
              </w:sdtPr>
              <w:sdtContent>
                <w:p>
                  <w:pPr>
                    <w:suppressAutoHyphens/>
                    <w:jc w:val="center"/>
                    <w:textAlignment w:val="baseline"/>
                    <w:rPr>
                      <w:b/>
                      <w:bCs/>
                      <w:szCs w:val="24"/>
                      <w:lang w:eastAsia="lt-LT"/>
                    </w:rPr>
                  </w:pPr>
                  <w:r>
                    <w:rPr>
                      <w:b/>
                      <w:bCs/>
                      <w:szCs w:val="24"/>
                      <w:lang w:eastAsia="lt-LT"/>
                    </w:rPr>
                    <w:t>SAVIVALDYBĖS PINIGŲ SRAUTŲ ATASKAITA</w:t>
                  </w:r>
                </w:p>
                <w:p>
                  <w:pPr>
                    <w:suppressAutoHyphens/>
                    <w:jc w:val="center"/>
                    <w:textAlignment w:val="baseline"/>
                    <w:rPr>
                      <w:b/>
                      <w:bCs/>
                      <w:szCs w:val="24"/>
                      <w:lang w:eastAsia="lt-LT"/>
                    </w:rPr>
                  </w:pPr>
                  <w:r>
                    <w:rPr>
                      <w:b/>
                      <w:bCs/>
                      <w:szCs w:val="24"/>
                      <w:lang w:eastAsia="lt-LT"/>
                    </w:rPr>
                    <w:t>PAGAL 20_____M.______D. DUOMENIS</w:t>
                  </w:r>
                </w:p>
              </w:sdtContent>
            </w:sdt>
            <w:p>
              <w:pPr>
                <w:tabs>
                  <w:tab w:val="left" w:pos="1033"/>
                  <w:tab w:val="left" w:pos="6302"/>
                  <w:tab w:val="left" w:pos="10493"/>
                  <w:tab w:val="left" w:pos="10759"/>
                  <w:tab w:val="left" w:pos="11731"/>
                  <w:tab w:val="left" w:pos="12971"/>
                </w:tabs>
                <w:suppressAutoHyphens/>
                <w:jc w:val="center"/>
                <w:textAlignment w:val="baseline"/>
                <w:rPr>
                  <w:rFonts w:ascii="Arial" w:hAnsi="Arial" w:cs="Arial"/>
                  <w:b/>
                  <w:bCs/>
                  <w:szCs w:val="24"/>
                  <w:lang w:eastAsia="lt-LT"/>
                </w:rPr>
              </w:pPr>
            </w:p>
            <w:p>
              <w:pPr>
                <w:suppressAutoHyphens/>
                <w:jc w:val="center"/>
                <w:textAlignment w:val="baseline"/>
                <w:rPr>
                  <w:szCs w:val="24"/>
                  <w:lang w:eastAsia="lt-LT"/>
                </w:rPr>
              </w:pPr>
              <w:r>
                <w:rPr>
                  <w:szCs w:val="24"/>
                  <w:lang w:eastAsia="lt-LT"/>
                </w:rPr>
                <w:t>_____________________Nr. _____</w:t>
              </w:r>
            </w:p>
            <w:p>
              <w:pPr>
                <w:suppressAutoHyphens/>
                <w:jc w:val="center"/>
                <w:textAlignment w:val="baseline"/>
                <w:rPr>
                  <w:szCs w:val="24"/>
                  <w:lang w:eastAsia="lt-LT"/>
                </w:rPr>
              </w:pPr>
              <w:r>
                <w:rPr>
                  <w:szCs w:val="24"/>
                  <w:lang w:eastAsia="lt-LT"/>
                </w:rPr>
                <w:t>(data)</w:t>
              </w:r>
            </w:p>
            <w:p>
              <w:pPr>
                <w:tabs>
                  <w:tab w:val="left" w:pos="1033"/>
                  <w:tab w:val="left" w:pos="6302"/>
                  <w:tab w:val="left" w:pos="10493"/>
                  <w:tab w:val="left" w:pos="10759"/>
                  <w:tab w:val="left" w:pos="11731"/>
                  <w:tab w:val="left" w:pos="12971"/>
                </w:tabs>
                <w:suppressAutoHyphens/>
                <w:jc w:val="center"/>
                <w:textAlignment w:val="baseline"/>
                <w:rPr>
                  <w:rFonts w:ascii="Helv" w:hAnsi="Helv" w:cs="Arial"/>
                  <w:szCs w:val="24"/>
                  <w:lang w:eastAsia="lt-LT"/>
                </w:rPr>
              </w:pPr>
            </w:p>
            <w:p>
              <w:pPr>
                <w:tabs>
                  <w:tab w:val="left" w:pos="1033"/>
                </w:tabs>
                <w:suppressAutoHyphens/>
                <w:jc w:val="right"/>
                <w:textAlignment w:val="baseline"/>
                <w:rPr>
                  <w:i/>
                  <w:iCs/>
                  <w:szCs w:val="24"/>
                  <w:lang w:eastAsia="lt-LT"/>
                </w:rPr>
              </w:pPr>
              <w:r>
                <w:rPr>
                  <w:i/>
                  <w:iCs/>
                  <w:szCs w:val="24"/>
                  <w:lang w:eastAsia="lt-LT"/>
                </w:rPr>
                <w:t>Pateikimo valiuta ir tikslumas: tūkstančiais eurų</w:t>
              </w:r>
            </w:p>
            <w:tbl>
              <w:tblPr>
                <w:tblW w:w="9070" w:type="dxa"/>
                <w:tblCellMar>
                  <w:left w:w="10" w:type="dxa"/>
                  <w:right w:w="10" w:type="dxa"/>
                </w:tblCellMar>
                <w:tblLook w:val="0000" w:firstRow="0" w:lastRow="0" w:firstColumn="0" w:lastColumn="0" w:noHBand="0" w:noVBand="0"/>
              </w:tblPr>
              <w:tblGrid>
                <w:gridCol w:w="819"/>
                <w:gridCol w:w="4298"/>
                <w:gridCol w:w="1113"/>
                <w:gridCol w:w="1420"/>
                <w:gridCol w:w="1420"/>
              </w:tblGrid>
              <w:tr>
                <w:trPr>
                  <w:trHeight w:val="960"/>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Eil. Nr.</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Straipsniai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 xml:space="preserve">Pastabos Nr. </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Ataskaitinis laikotarpis</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Praėjęs ataskaitinis laikotarpis</w:t>
                    </w: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PAGRINDINĖS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Viešojo sektoriaus subjektų įplaukos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141"/>
                      <w:textAlignment w:val="baseline"/>
                      <w:rPr>
                        <w:sz w:val="20"/>
                        <w:lang w:eastAsia="lt-LT"/>
                      </w:rPr>
                    </w:pPr>
                    <w:r>
                      <w:rPr>
                        <w:sz w:val="20"/>
                        <w:lang w:eastAsia="lt-LT"/>
                      </w:rPr>
                      <w:t>Finansavimo sumos kitoms išlaidoms ir atsargoms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lang w:eastAsia="lt-LT"/>
                      </w:rPr>
                    </w:pPr>
                    <w:r>
                      <w:rPr>
                        <w:sz w:val="20"/>
                        <w:lang w:eastAsia="lt-LT"/>
                      </w:rPr>
                      <w:t>Iš valstybės biudžeto</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Europos Sąjungos, užsienio valstybių ir tarptautinių organizacijų lėšų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viešojo sektoriaus subjektų pajamų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fizinių ir privačių juridinių asmenų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Iš mokesčių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Už suteiktas paslaugas iš pirkėjų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Už suteiktas paslaugas iš biudžeto</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lang w:eastAsia="lt-LT"/>
                      </w:rPr>
                    </w:pPr>
                    <w:r>
                      <w:rPr>
                        <w:sz w:val="20"/>
                        <w:lang w:eastAsia="lt-LT"/>
                      </w:rPr>
                      <w:t xml:space="preserve">Gautos palūkanos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įplaukos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pervestos lėšos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išmokos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bCs/>
                        <w:lang w:eastAsia="lt-LT"/>
                      </w:rPr>
                    </w:pPr>
                    <w:r>
                      <w:rPr>
                        <w:bCs/>
                        <w:sz w:val="20"/>
                        <w:lang w:eastAsia="lt-LT"/>
                      </w:rPr>
                      <w:t>Darbo užmokesčio ir socialinio draudimo</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Socialinės ir kitos išmokos darbuotojams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veiklai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viešajam ūkiui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Socialinėms išmokoms, stipendijoms, prizams ir premijoms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Sumokėtos palūkanos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išmokos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pagrindinės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Išmokos įsigijus ilgalaikį turtą (išskyrus finansinį) ir biologinį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Įplaukos perleidus ilgalaikį turtą (išskyrus finansinį) ir biologinį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Išmokos įsigijus ilgalaikį finansinį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Įplaukos perleidus ilgalaikį finansinį turtą </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Terminuotųjų indėlių (padidėjimas) sumažėjimas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Gauti dividendai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Kiti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investicinės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Įplaukos iš gautų paskolų</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Gautų paskolų grąžinimas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Finansinės nuomos (lizingo) įsipareigojimų apmokėjimas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Gautos finansavimo sumos ilgalaikiam ir biologiniam turtui įsigyti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3.1.5.</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Grąžintos finansavimo sumos ilgalaikiam ir biologiniam turtui įsigyti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3.1.6.</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Gauti dalininko įnašai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3.1.7.</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lang w:eastAsia="lt-LT"/>
                      </w:rPr>
                    </w:pPr>
                    <w:r>
                      <w:rPr>
                        <w:sz w:val="20"/>
                        <w:lang w:eastAsia="lt-LT"/>
                      </w:rPr>
                      <w:t>Kiti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Valdžios sektoriui priskiriamų įmonių finansinės veiklos pinigų srautai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4.</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
                        <w:bCs/>
                        <w:sz w:val="20"/>
                        <w:lang w:eastAsia="lt-LT"/>
                      </w:rPr>
                    </w:pPr>
                    <w:r>
                      <w:rPr>
                        <w:b/>
                        <w:bCs/>
                        <w:sz w:val="20"/>
                        <w:lang w:eastAsia="lt-LT"/>
                      </w:rPr>
                      <w:t>VALIUTOS KURSŲ PASIKEITIMO ĮTAKA PINIGŲ IR PINIGŲ EKVIVALENTŲ LIKUČIUI</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0"/>
                        <w:lang w:eastAsia="lt-LT"/>
                      </w:rPr>
                    </w:pPr>
                    <w:r>
                      <w:rPr>
                        <w:bCs/>
                        <w:sz w:val="20"/>
                        <w:lang w:eastAsia="lt-LT"/>
                      </w:rPr>
                      <w:t>4.1.</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Pinigų ir pinigų ekvivalentų padidėjimas (sumažėjimas)</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4.2.</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Pinigai ir pinigų ekvivalentai ataskaitinio laikotarpio pradžioje</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1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4.3.</w:t>
                    </w:r>
                  </w:p>
                </w:tc>
                <w:tc>
                  <w:tcPr>
                    <w:tcW w:w="4298"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Cs/>
                        <w:sz w:val="20"/>
                        <w:lang w:eastAsia="lt-LT"/>
                      </w:rPr>
                    </w:pPr>
                    <w:r>
                      <w:rPr>
                        <w:bCs/>
                        <w:sz w:val="20"/>
                        <w:lang w:eastAsia="lt-LT"/>
                      </w:rPr>
                      <w:t>Pinigai ir pinigų ekvivalentai ataskaitinio laikotarpio pabaigoje</w:t>
                    </w:r>
                  </w:p>
                </w:tc>
                <w:tc>
                  <w:tcPr>
                    <w:tcW w:w="11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bl>
            <w:p>
              <w:pPr>
                <w:suppressAutoHyphens/>
                <w:textAlignment w:val="baseline"/>
                <w:rPr>
                  <w:szCs w:val="24"/>
                  <w:lang w:eastAsia="lt-LT"/>
                </w:rPr>
              </w:pPr>
            </w:p>
          </w:sdtContent>
        </w:sdt>
        <w:sdt>
          <w:sdtPr>
            <w:alias w:val="pabaiga"/>
            <w:tag w:val="part_69fa559e9bcc4cc7977978da7c804445"/>
            <w:lock w:val="sdtLocked"/>
            <w:richText/>
          </w:sdtPr>
          <w:sdtContent>
            <w:p>
              <w:pPr>
                <w:jc w:val="center"/>
              </w:pPr>
              <w:r>
                <w:t>_________________</w:t>
              </w:r>
            </w:p>
            <w:p>
              <w:pPr>
                <w:widowControl w:val="0"/>
              </w:pPr>
            </w:p>
            <w:p>
              <w:pPr>
                <w:sectPr>
                  <w:pgSz w:w="11906" w:h="16838"/>
                  <w:pgMar w:top="1134" w:right="1134" w:bottom="1134" w:left="1701" w:header="708" w:footer="708" w:gutter="0"/>
                  <w:cols w:space="708"/>
                  <w:docGrid w:linePitch="360"/>
                </w:sectPr>
              </w:pPr>
            </w:p>
          </w:sdtContent>
        </w:sdt>
      </w:sdtContent>
    </w:sdt>
    <w:sdt>
      <w:sdtPr>
        <w:alias w:val="5 pr."/>
        <w:tag w:val="part_78621662deff42cfbc957b219da8aab1"/>
        <w:lock w:val="sdtLocked"/>
        <w:richText/>
      </w:sdtPr>
      <w:sdtContent>
        <w:p>
          <w:pPr>
            <w:tabs>
              <w:tab w:val="left" w:pos="1033"/>
              <w:tab w:val="left" w:pos="6302"/>
              <w:tab w:val="left" w:pos="10493"/>
              <w:tab w:val="left" w:pos="10759"/>
            </w:tabs>
            <w:suppressAutoHyphens/>
            <w:ind w:left="5529"/>
            <w:textAlignment w:val="baseline"/>
            <w:rPr>
              <w:szCs w:val="24"/>
              <w:lang w:eastAsia="lt-LT"/>
            </w:rPr>
          </w:pPr>
          <w:r>
            <w:rPr>
              <w:szCs w:val="24"/>
              <w:lang w:eastAsia="lt-LT"/>
            </w:rPr>
            <w:t xml:space="preserve">5-ojo </w:t>
          </w:r>
          <w:r>
            <w:rPr>
              <w:szCs w:val="24"/>
            </w:rPr>
            <w:t xml:space="preserve">viešojo sektoriaus apskaitos ir finansinės atskaitomybės standarto </w:t>
          </w:r>
          <w:r>
            <w:rPr>
              <w:szCs w:val="24"/>
              <w:lang w:eastAsia="lt-LT"/>
            </w:rPr>
            <w:t>„Pinigų srautų ataskaita“</w:t>
          </w:r>
        </w:p>
        <w:p>
          <w:pPr>
            <w:tabs>
              <w:tab w:val="left" w:pos="1033"/>
              <w:tab w:val="left" w:pos="6302"/>
              <w:tab w:val="left" w:pos="10493"/>
              <w:tab w:val="left" w:pos="10759"/>
            </w:tabs>
            <w:suppressAutoHyphens/>
            <w:ind w:left="5529"/>
            <w:textAlignment w:val="baseline"/>
            <w:rPr>
              <w:lang w:eastAsia="lt-LT"/>
            </w:rPr>
          </w:pPr>
          <w:sdt>
            <w:sdtPr>
              <w:alias w:val="Numeris"/>
              <w:tag w:val="nr_78621662deff42cfbc957b219da8aab1"/>
              <w:lock w:val="sdtLocked"/>
              <w:richText/>
            </w:sdtPr>
            <w:sdtContent>
              <w:r>
                <w:rPr>
                  <w:szCs w:val="24"/>
                  <w:lang w:eastAsia="lt-LT"/>
                </w:rPr>
                <w:t>5</w:t>
              </w:r>
            </w:sdtContent>
          </w:sdt>
          <w:r>
            <w:rPr>
              <w:szCs w:val="24"/>
              <w:lang w:eastAsia="lt-LT"/>
            </w:rPr>
            <w:t xml:space="preserve"> priedas</w:t>
          </w:r>
        </w:p>
        <w:p>
          <w:pPr>
            <w:tabs>
              <w:tab w:val="left" w:pos="1033"/>
              <w:tab w:val="left" w:pos="6302"/>
              <w:tab w:val="left" w:pos="10493"/>
              <w:tab w:val="left" w:pos="10759"/>
              <w:tab w:val="left" w:pos="11731"/>
              <w:tab w:val="left" w:pos="12971"/>
            </w:tabs>
            <w:suppressAutoHyphens/>
            <w:jc w:val="center"/>
            <w:textAlignment w:val="baseline"/>
            <w:rPr>
              <w:szCs w:val="24"/>
              <w:lang w:eastAsia="lt-LT"/>
            </w:rPr>
          </w:pPr>
        </w:p>
        <w:p>
          <w:pPr>
            <w:suppressAutoHyphens/>
            <w:jc w:val="center"/>
            <w:textAlignment w:val="baseline"/>
            <w:rPr>
              <w:lang w:eastAsia="lt-LT"/>
            </w:rPr>
          </w:pPr>
          <w:sdt>
            <w:sdtPr>
              <w:alias w:val="Pavadinimas"/>
              <w:tag w:val="title_78621662deff42cfbc957b219da8aab1"/>
              <w:lock w:val="sdtLocked"/>
              <w:richText/>
            </w:sdtPr>
            <w:sdtContent>
              <w:r>
                <w:rPr>
                  <w:b/>
                  <w:bCs/>
                  <w:szCs w:val="24"/>
                  <w:lang w:eastAsia="lt-LT"/>
                </w:rPr>
                <w:t>(Nacionalinės pinigų srautų ataskaitos forma)</w:t>
              </w:r>
            </w:sdtContent>
          </w:sdt>
        </w:p>
        <w:p>
          <w:pPr>
            <w:suppressAutoHyphens/>
            <w:jc w:val="center"/>
            <w:textAlignment w:val="baseline"/>
            <w:rPr>
              <w:b/>
              <w:bCs/>
              <w:szCs w:val="24"/>
              <w:lang w:eastAsia="lt-LT"/>
            </w:rPr>
          </w:pPr>
        </w:p>
        <w:p>
          <w:pPr>
            <w:tabs>
              <w:tab w:val="left" w:leader="underscore" w:pos="8901"/>
            </w:tabs>
            <w:suppressAutoHyphens/>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(nacionalinė)</w:t>
          </w:r>
        </w:p>
        <w:p>
          <w:pPr>
            <w:tabs>
              <w:tab w:val="left" w:leader="underscore" w:pos="8901"/>
            </w:tabs>
            <w:suppressAutoHyphens/>
            <w:jc w:val="center"/>
            <w:textAlignment w:val="baseline"/>
            <w:rPr>
              <w:szCs w:val="24"/>
              <w:lang w:eastAsia="lt-LT"/>
            </w:rPr>
          </w:pPr>
          <w:r>
            <w:rPr>
              <w:szCs w:val="24"/>
              <w:lang w:eastAsia="lt-LT"/>
            </w:rPr>
            <w:tab/>
          </w:r>
        </w:p>
        <w:p>
          <w:pPr>
            <w:suppressAutoHyphens/>
            <w:jc w:val="center"/>
            <w:textAlignment w:val="baseline"/>
            <w:rPr>
              <w:szCs w:val="24"/>
              <w:lang w:eastAsia="lt-LT"/>
            </w:rPr>
          </w:pPr>
          <w:r>
            <w:rPr>
              <w:szCs w:val="24"/>
              <w:lang w:eastAsia="lt-LT"/>
            </w:rPr>
            <w:t>(viešojo sektoriaus subjekto, parengusio nacionalinę pinigų srautų ataskaitą, kodas, adresas)</w:t>
          </w:r>
        </w:p>
        <w:p>
          <w:pPr>
            <w:suppressAutoHyphens/>
            <w:jc w:val="center"/>
            <w:textAlignment w:val="baseline"/>
            <w:rPr>
              <w:szCs w:val="24"/>
              <w:lang w:eastAsia="lt-LT"/>
            </w:rPr>
          </w:pPr>
        </w:p>
        <w:sdt>
          <w:sdtPr>
            <w:alias w:val="skirsnis"/>
            <w:tag w:val="part_fe0d1e0e373e49048ac623fd6ff52bca"/>
            <w:lock w:val="sdtLocked"/>
            <w:richText/>
          </w:sdtPr>
          <w:sdtContent>
            <w:sdt>
              <w:sdtPr>
                <w:alias w:val="Pavadinimas"/>
                <w:tag w:val="title_fe0d1e0e373e49048ac623fd6ff52bca"/>
                <w:lock w:val="sdtLocked"/>
                <w:richText/>
              </w:sdtPr>
              <w:sdtContent>
                <w:p>
                  <w:pPr>
                    <w:suppressAutoHyphens/>
                    <w:jc w:val="center"/>
                    <w:textAlignment w:val="baseline"/>
                    <w:rPr>
                      <w:b/>
                      <w:bCs/>
                      <w:szCs w:val="24"/>
                      <w:lang w:eastAsia="lt-LT"/>
                    </w:rPr>
                  </w:pPr>
                  <w:r>
                    <w:rPr>
                      <w:b/>
                      <w:bCs/>
                      <w:szCs w:val="24"/>
                      <w:lang w:eastAsia="lt-LT"/>
                    </w:rPr>
                    <w:t xml:space="preserve">NACIONALINĖ PINIGŲ SRAUTŲ ATASKAITA </w:t>
                  </w:r>
                </w:p>
                <w:p>
                  <w:pPr>
                    <w:suppressAutoHyphens/>
                    <w:jc w:val="center"/>
                    <w:textAlignment w:val="baseline"/>
                    <w:rPr>
                      <w:b/>
                      <w:bCs/>
                      <w:szCs w:val="24"/>
                      <w:lang w:eastAsia="lt-LT"/>
                    </w:rPr>
                  </w:pPr>
                  <w:r>
                    <w:rPr>
                      <w:b/>
                      <w:bCs/>
                      <w:szCs w:val="24"/>
                      <w:lang w:eastAsia="lt-LT"/>
                    </w:rPr>
                    <w:t>PAGAL 20_____M.______D. DUOMENIS</w:t>
                  </w:r>
                </w:p>
              </w:sdtContent>
            </w:sdt>
            <w:p>
              <w:pPr>
                <w:tabs>
                  <w:tab w:val="left" w:pos="1033"/>
                  <w:tab w:val="left" w:pos="6302"/>
                  <w:tab w:val="left" w:pos="10493"/>
                  <w:tab w:val="left" w:pos="10759"/>
                  <w:tab w:val="left" w:pos="11731"/>
                  <w:tab w:val="left" w:pos="12971"/>
                </w:tabs>
                <w:suppressAutoHyphens/>
                <w:jc w:val="center"/>
                <w:textAlignment w:val="baseline"/>
                <w:rPr>
                  <w:rFonts w:ascii="Arial" w:hAnsi="Arial" w:cs="Arial"/>
                  <w:b/>
                  <w:bCs/>
                  <w:szCs w:val="24"/>
                  <w:lang w:eastAsia="lt-LT"/>
                </w:rPr>
              </w:pPr>
            </w:p>
            <w:p>
              <w:pPr>
                <w:suppressAutoHyphens/>
                <w:jc w:val="center"/>
                <w:textAlignment w:val="baseline"/>
                <w:rPr>
                  <w:szCs w:val="24"/>
                  <w:lang w:eastAsia="lt-LT"/>
                </w:rPr>
              </w:pPr>
              <w:r>
                <w:rPr>
                  <w:szCs w:val="24"/>
                  <w:lang w:eastAsia="lt-LT"/>
                </w:rPr>
                <w:t>_____________________Nr. _____</w:t>
              </w:r>
            </w:p>
            <w:p>
              <w:pPr>
                <w:suppressAutoHyphens/>
                <w:jc w:val="center"/>
                <w:textAlignment w:val="baseline"/>
                <w:rPr>
                  <w:szCs w:val="24"/>
                  <w:lang w:eastAsia="lt-LT"/>
                </w:rPr>
              </w:pPr>
              <w:r>
                <w:rPr>
                  <w:szCs w:val="24"/>
                  <w:lang w:eastAsia="lt-LT"/>
                </w:rPr>
                <w:t>(data)</w:t>
              </w:r>
            </w:p>
            <w:p>
              <w:pPr>
                <w:tabs>
                  <w:tab w:val="left" w:pos="1033"/>
                  <w:tab w:val="left" w:pos="6302"/>
                  <w:tab w:val="left" w:pos="10493"/>
                  <w:tab w:val="left" w:pos="10759"/>
                  <w:tab w:val="left" w:pos="11731"/>
                  <w:tab w:val="left" w:pos="12971"/>
                </w:tabs>
                <w:suppressAutoHyphens/>
                <w:jc w:val="center"/>
                <w:textAlignment w:val="baseline"/>
                <w:rPr>
                  <w:rFonts w:ascii="Helv" w:hAnsi="Helv" w:cs="Arial"/>
                  <w:szCs w:val="24"/>
                  <w:lang w:eastAsia="lt-LT"/>
                </w:rPr>
              </w:pPr>
            </w:p>
            <w:p>
              <w:pPr>
                <w:tabs>
                  <w:tab w:val="left" w:pos="1033"/>
                </w:tabs>
                <w:suppressAutoHyphens/>
                <w:jc w:val="right"/>
                <w:textAlignment w:val="baseline"/>
                <w:rPr>
                  <w:i/>
                  <w:iCs/>
                  <w:szCs w:val="24"/>
                  <w:lang w:eastAsia="lt-LT"/>
                </w:rPr>
              </w:pPr>
              <w:r>
                <w:rPr>
                  <w:i/>
                  <w:iCs/>
                  <w:szCs w:val="24"/>
                  <w:lang w:eastAsia="lt-LT"/>
                </w:rPr>
                <w:t>Pateikimo valiuta ir tikslumas: tūkstančiais eurų</w:t>
              </w:r>
            </w:p>
            <w:tbl>
              <w:tblPr>
                <w:tblW w:w="9493" w:type="dxa"/>
                <w:tblLayout w:type="fixed"/>
                <w:tblCellMar>
                  <w:left w:w="10" w:type="dxa"/>
                  <w:right w:w="10" w:type="dxa"/>
                </w:tblCellMar>
                <w:tblLook w:val="0000" w:firstRow="0" w:lastRow="0" w:firstColumn="0" w:lastColumn="0" w:noHBand="0" w:noVBand="0"/>
              </w:tblPr>
              <w:tblGrid>
                <w:gridCol w:w="846"/>
                <w:gridCol w:w="4961"/>
                <w:gridCol w:w="992"/>
                <w:gridCol w:w="1418"/>
                <w:gridCol w:w="1276"/>
              </w:tblGrid>
              <w:tr>
                <w:trPr>
                  <w:trHeight w:val="685"/>
                </w:trPr>
                <w:tc>
                  <w:tcPr>
                    <w:tcW w:w="846"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Eil. Nr.</w:t>
                    </w:r>
                  </w:p>
                </w:tc>
                <w:tc>
                  <w:tcPr>
                    <w:tcW w:w="4961" w:type="dxa"/>
                    <w:tcBorders>
                      <w:top w:val="single" w:sz="4" w:space="0" w:color="000000"/>
                      <w:left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Straipsniai</w:t>
                    </w:r>
                  </w:p>
                </w:tc>
                <w:tc>
                  <w:tcPr>
                    <w:tcW w:w="992"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 xml:space="preserve">Pastabos Nr. </w:t>
                    </w:r>
                  </w:p>
                </w:tc>
                <w:tc>
                  <w:tcPr>
                    <w:tcW w:w="1418" w:type="dxa"/>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Ataskaitinis laikotarpis</w:t>
                    </w:r>
                  </w:p>
                </w:tc>
                <w:tc>
                  <w:tcPr>
                    <w:tcW w:w="1276" w:type="dxa"/>
                    <w:tcBorders>
                      <w:top w:val="single" w:sz="4" w:space="0" w:color="000000"/>
                      <w:left w:val="single" w:sz="4" w:space="0" w:color="000000"/>
                      <w:right w:val="single" w:sz="4" w:space="0" w:color="000000"/>
                    </w:tcBorders>
                    <w:shd w:val="clear" w:color="auto" w:fill="auto"/>
                    <w:vAlign w:val="center"/>
                  </w:tcPr>
                  <w:p>
                    <w:pPr>
                      <w:suppressAutoHyphens/>
                      <w:jc w:val="center"/>
                      <w:textAlignment w:val="baseline"/>
                      <w:rPr>
                        <w:b/>
                        <w:bCs/>
                        <w:sz w:val="20"/>
                        <w:lang w:eastAsia="lt-LT"/>
                      </w:rPr>
                    </w:pPr>
                    <w:r>
                      <w:rPr>
                        <w:b/>
                        <w:bCs/>
                        <w:sz w:val="20"/>
                        <w:lang w:eastAsia="lt-LT"/>
                      </w:rPr>
                      <w:t>Praėjęs ataskaitinis laikotarpis</w:t>
                    </w:r>
                  </w:p>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5</w:t>
                    </w: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PAGRINDINĖS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Viešojo sektoriaus subjektų įplaukos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141"/>
                      <w:textAlignment w:val="baseline"/>
                      <w:rPr>
                        <w:sz w:val="20"/>
                        <w:lang w:eastAsia="lt-LT"/>
                      </w:rPr>
                    </w:pPr>
                    <w:r>
                      <w:rPr>
                        <w:sz w:val="20"/>
                        <w:lang w:eastAsia="lt-LT"/>
                      </w:rPr>
                      <w:t>Finansavimo sumos kitoms išlaidoms ir atsargoms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Iš Europos Sąjungos, užsienio valstybių ir tarptautinių organizacijų lėšų</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1.1.1.2.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61"/>
                      <w:textAlignment w:val="baseline"/>
                      <w:rPr>
                        <w:sz w:val="20"/>
                        <w:lang w:eastAsia="lt-LT"/>
                      </w:rPr>
                    </w:pPr>
                    <w:r>
                      <w:rPr>
                        <w:sz w:val="20"/>
                        <w:lang w:eastAsia="lt-LT"/>
                      </w:rPr>
                      <w:t xml:space="preserve">Iš fizinių ir privačių juridinių asmenų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Iš mokesčių</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Iš socialinių įmokų ir kitų įmokų į fondus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Už suteiktas paslaugas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1.1.5.</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lang w:eastAsia="lt-LT"/>
                      </w:rPr>
                    </w:pPr>
                    <w:r>
                      <w:rPr>
                        <w:sz w:val="20"/>
                        <w:lang w:eastAsia="lt-LT"/>
                      </w:rPr>
                      <w:t xml:space="preserve">Gautos palūkanos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1.1.6.</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įplaukos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pervestos lėšos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Viešojo sektoriaus subjektų išmokos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bCs/>
                        <w:lang w:eastAsia="lt-LT"/>
                      </w:rPr>
                    </w:pPr>
                    <w:r>
                      <w:rPr>
                        <w:bCs/>
                        <w:sz w:val="20"/>
                        <w:lang w:eastAsia="lt-LT"/>
                      </w:rPr>
                      <w:t>Darbo užmokesčio ir socialinio draudimo</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Socialinės ir kitos išmokos darbuotojams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veiklai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Prekėms ir paslaugoms viešajam ūkiui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Socialinėms išmokoms, stipendijoms, prizams ir premijoms: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347"/>
                      <w:textAlignment w:val="baseline"/>
                      <w:rPr>
                        <w:sz w:val="20"/>
                        <w:lang w:eastAsia="lt-LT"/>
                      </w:rPr>
                    </w:pPr>
                    <w:r>
                      <w:rPr>
                        <w:sz w:val="20"/>
                        <w:lang w:eastAsia="lt-LT"/>
                      </w:rPr>
                      <w:t>Valstybinio socialinio draudimo fondo socialinėms išmokoms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347"/>
                      <w:textAlignment w:val="baseline"/>
                      <w:rPr>
                        <w:sz w:val="20"/>
                        <w:lang w:eastAsia="lt-LT"/>
                      </w:rPr>
                    </w:pPr>
                    <w:r>
                      <w:rPr>
                        <w:sz w:val="20"/>
                        <w:lang w:eastAsia="lt-LT"/>
                      </w:rPr>
                      <w:t>Privalomojo sveikatos draudimo fondo socialinėms išmokoms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347"/>
                      <w:textAlignment w:val="baseline"/>
                      <w:rPr>
                        <w:sz w:val="20"/>
                        <w:lang w:eastAsia="lt-LT"/>
                      </w:rPr>
                    </w:pPr>
                    <w:r>
                      <w:rPr>
                        <w:sz w:val="20"/>
                        <w:lang w:eastAsia="lt-LT"/>
                      </w:rPr>
                      <w:t>Kitų valstybės socialinių fondų socialinėms išmokoms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347"/>
                      <w:textAlignment w:val="baseline"/>
                      <w:rPr>
                        <w:sz w:val="20"/>
                        <w:lang w:eastAsia="lt-LT"/>
                      </w:rPr>
                    </w:pPr>
                    <w:r>
                      <w:rPr>
                        <w:sz w:val="20"/>
                        <w:lang w:eastAsia="lt-LT"/>
                      </w:rPr>
                      <w:t>Pensijų anuitetų fondo socialinėms išmokoms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1.3.5.5.</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347"/>
                      <w:textAlignment w:val="baseline"/>
                      <w:rPr>
                        <w:sz w:val="20"/>
                        <w:lang w:eastAsia="lt-LT"/>
                      </w:rPr>
                    </w:pPr>
                    <w:r>
                      <w:rPr>
                        <w:sz w:val="20"/>
                        <w:lang w:eastAsia="lt-LT"/>
                      </w:rPr>
                      <w:t>Kitoms socialinėms išmokoms, stipendijoms, prizams ir premijoms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1.3.6.</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Sumokėtos palūkanos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1.3.7</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141"/>
                      <w:textAlignment w:val="baseline"/>
                      <w:rPr>
                        <w:sz w:val="20"/>
                        <w:lang w:eastAsia="lt-LT"/>
                      </w:rPr>
                    </w:pPr>
                    <w:r>
                      <w:rPr>
                        <w:sz w:val="20"/>
                        <w:lang w:eastAsia="lt-LT"/>
                      </w:rPr>
                      <w:t>Kitos išmokos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1.4.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pagrindinės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INVESTICINĖS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investicinės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Išmokos įsigijus ilgalaikį turtą (išskyrus finansinį) ir biologinį turtą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Įplaukos perleidus ilgalaikį turtą (išskyrus finansinį) ir biologinį turtą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 xml:space="preserve">Išmokos įsigijus ilgalaikį finansinį turtą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 xml:space="preserve">Įplaukos perleidus ilgalaikį finansinį turtą </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2.1.5.</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Terminuotųjų indėlių (padidėjimas) sumažėjimas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2.1.6.</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Gauti dividendai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2.1.7.</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Kiti investicinės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2.2.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sz w:val="20"/>
                        <w:lang w:eastAsia="lt-LT"/>
                      </w:rPr>
                    </w:pPr>
                    <w:r>
                      <w:rPr>
                        <w:sz w:val="20"/>
                        <w:lang w:eastAsia="lt-LT"/>
                      </w:rPr>
                      <w:t>Valdžios sektoriui priskiriamų įmonių investicinės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b/>
                        <w:bCs/>
                        <w:sz w:val="20"/>
                        <w:lang w:eastAsia="lt-LT"/>
                      </w:rPr>
                      <w:t>FINANSINĖS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
                        <w:bCs/>
                        <w:sz w:val="20"/>
                        <w:lang w:eastAsia="lt-LT"/>
                      </w:rPr>
                    </w:pPr>
                    <w:r>
                      <w:rPr>
                        <w:sz w:val="20"/>
                        <w:lang w:eastAsia="lt-LT"/>
                      </w:rPr>
                      <w:t>Viešojo sektoriaus subjektų finansinės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Įplaukos iš gautų paskolų</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Gautų paskolų grąžinimas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Finansinės nuomos (lizingo) įsipareigojimų apmokėjimas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Gautos finansavimo sumos ilgalaikiam ir biologiniam turtui įsigyti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3.1.5.</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ind w:left="200"/>
                      <w:textAlignment w:val="baseline"/>
                      <w:rPr>
                        <w:sz w:val="20"/>
                        <w:lang w:eastAsia="lt-LT"/>
                      </w:rPr>
                    </w:pPr>
                    <w:r>
                      <w:rPr>
                        <w:sz w:val="20"/>
                        <w:lang w:eastAsia="lt-LT"/>
                      </w:rPr>
                      <w:t>Grąžintos finansavimo sumos ilgalaikiam ir biologiniam turtui įsigyti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3.1.6.</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sz w:val="20"/>
                        <w:lang w:eastAsia="lt-LT"/>
                      </w:rPr>
                    </w:pPr>
                    <w:r>
                      <w:rPr>
                        <w:sz w:val="20"/>
                        <w:lang w:eastAsia="lt-LT"/>
                      </w:rPr>
                      <w:t>Gauti dalininko įnašai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3.1.7.</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ind w:left="200"/>
                      <w:textAlignment w:val="baseline"/>
                      <w:rPr>
                        <w:lang w:eastAsia="lt-LT"/>
                      </w:rPr>
                    </w:pPr>
                    <w:r>
                      <w:rPr>
                        <w:sz w:val="20"/>
                        <w:lang w:eastAsia="lt-LT"/>
                      </w:rPr>
                      <w:t>Kiti finansinės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3.2.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sz w:val="20"/>
                        <w:lang w:eastAsia="lt-LT"/>
                      </w:rPr>
                    </w:pPr>
                    <w:r>
                      <w:rPr>
                        <w:sz w:val="20"/>
                        <w:lang w:eastAsia="lt-LT"/>
                      </w:rPr>
                      <w:t>Valdžios sektoriui priskiriamų įmonių finansinės veiklos pinigų srautai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r>
                      <w:rPr>
                        <w:b/>
                        <w:bCs/>
                        <w:sz w:val="20"/>
                        <w:lang w:eastAsia="lt-LT"/>
                      </w:rPr>
                      <w:t>4.</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
                        <w:bCs/>
                        <w:sz w:val="20"/>
                        <w:lang w:eastAsia="lt-LT"/>
                      </w:rPr>
                    </w:pPr>
                    <w:r>
                      <w:rPr>
                        <w:b/>
                        <w:bCs/>
                        <w:sz w:val="20"/>
                        <w:lang w:eastAsia="lt-LT"/>
                      </w:rPr>
                      <w:t>VALIUTOS KURSŲ PASIKEITIMO ĮTAKA PINIGŲ IR PINIGŲ EKVIVALENTŲ LIKUČIUI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Cs/>
                        <w:sz w:val="20"/>
                        <w:lang w:eastAsia="lt-LT"/>
                      </w:rPr>
                    </w:pPr>
                    <w:r>
                      <w:rPr>
                        <w:bCs/>
                        <w:sz w:val="20"/>
                        <w:lang w:eastAsia="lt-LT"/>
                      </w:rPr>
                      <w:t>4.1.</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Pinigų ir pinigų ekvivalentų padidėjimas (sumažėjimas)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4.2.</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center"/>
                  </w:tcPr>
                  <w:p>
                    <w:pPr>
                      <w:suppressAutoHyphens/>
                      <w:textAlignment w:val="baseline"/>
                      <w:rPr>
                        <w:bCs/>
                        <w:sz w:val="20"/>
                        <w:lang w:eastAsia="lt-LT"/>
                      </w:rPr>
                    </w:pPr>
                    <w:r>
                      <w:rPr>
                        <w:bCs/>
                        <w:sz w:val="20"/>
                        <w:lang w:eastAsia="lt-LT"/>
                      </w:rPr>
                      <w:t>Pinigai ir pinigų ekvivalentai ataskaitinio laikotarpio pradžioje</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r>
                <w:trPr>
                  <w:trHeight w:val="255"/>
                </w:trPr>
                <w:tc>
                  <w:tcPr>
                    <w:tcW w:w="8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sz w:val="20"/>
                        <w:lang w:eastAsia="lt-LT"/>
                      </w:rPr>
                    </w:pPr>
                    <w:r>
                      <w:rPr>
                        <w:sz w:val="20"/>
                        <w:lang w:eastAsia="lt-LT"/>
                      </w:rPr>
                      <w:t>4.3.</w:t>
                    </w:r>
                  </w:p>
                </w:tc>
                <w:tc>
                  <w:tcPr>
                    <w:tcW w:w="4961" w:type="dxa"/>
                    <w:tcBorders>
                      <w:top w:val="single" w:sz="4" w:space="0" w:color="000000"/>
                      <w:left w:val="single" w:sz="4" w:space="0" w:color="000000"/>
                      <w:bottom w:val="single" w:sz="4" w:space="0" w:color="000000"/>
                      <w:right w:val="single" w:sz="4" w:space="0" w:color="000000"/>
                    </w:tcBorders>
                    <w:shd w:val="clear" w:color="auto" w:fill="auto"/>
                    <w:noWrap/>
                    <w:tcMar>
                      <w:top w:w="0" w:type="dxa"/>
                      <w:left w:w="108" w:type="dxa"/>
                      <w:bottom w:w="0" w:type="dxa"/>
                      <w:right w:w="108" w:type="dxa"/>
                    </w:tcMar>
                    <w:vAlign w:val="bottom"/>
                  </w:tcPr>
                  <w:p>
                    <w:pPr>
                      <w:suppressAutoHyphens/>
                      <w:textAlignment w:val="baseline"/>
                      <w:rPr>
                        <w:bCs/>
                        <w:sz w:val="20"/>
                        <w:lang w:eastAsia="lt-LT"/>
                      </w:rPr>
                    </w:pPr>
                    <w:r>
                      <w:rPr>
                        <w:bCs/>
                        <w:sz w:val="20"/>
                        <w:lang w:eastAsia="lt-LT"/>
                      </w:rPr>
                      <w:t>Pinigai ir pinigų ekvivalentai ataskaitinio laikotarpio pabaigoje</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textAlignment w:val="baseline"/>
                      <w:rPr>
                        <w:b/>
                        <w:bCs/>
                        <w:sz w:val="20"/>
                        <w:lang w:eastAsia="lt-LT"/>
                      </w:rPr>
                    </w:pPr>
                  </w:p>
                </w:tc>
              </w:tr>
            </w:tbl>
            <w:p>
              <w:pPr>
                <w:jc w:val="center"/>
              </w:pPr>
            </w:p>
            <w:p>
              <w:pPr>
                <w:jc w:val="center"/>
              </w:pPr>
              <w:r>
                <w:t>______________________________</w:t>
              </w:r>
            </w:p>
          </w:sdtContent>
        </w:sdt>
      </w:sdtContent>
    </w:sdt>
    <w:sectPr>
      <w:pgSz w:w="11906" w:h="16838"/>
      <w:pgMar w:top="1134" w:right="1134"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F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F8A991-C6F1-4299-A204-047D5DCB7C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621503">
      <w:bodyDiv w:val="1"/>
      <w:marLeft w:val="0"/>
      <w:marRight w:val="0"/>
      <w:marTop w:val="0"/>
      <w:marBottom w:val="0"/>
      <w:divBdr>
        <w:top w:val="none" w:sz="0" w:space="0" w:color="auto"/>
        <w:left w:val="none" w:sz="0" w:space="0" w:color="auto"/>
        <w:bottom w:val="none" w:sz="0" w:space="0" w:color="auto"/>
        <w:right w:val="none" w:sz="0" w:space="0" w:color="auto"/>
      </w:divBdr>
    </w:div>
    <w:div w:id="1403217439">
      <w:bodyDiv w:val="1"/>
      <w:marLeft w:val="0"/>
      <w:marRight w:val="0"/>
      <w:marTop w:val="0"/>
      <w:marBottom w:val="0"/>
      <w:divBdr>
        <w:top w:val="none" w:sz="0" w:space="0" w:color="auto"/>
        <w:left w:val="none" w:sz="0" w:space="0" w:color="auto"/>
        <w:bottom w:val="none" w:sz="0" w:space="0" w:color="auto"/>
        <w:right w:val="none" w:sz="0" w:space="0" w:color="auto"/>
      </w:divBdr>
    </w:div>
    <w:div w:id="1415126223">
      <w:bodyDiv w:val="1"/>
      <w:marLeft w:val="0"/>
      <w:marRight w:val="0"/>
      <w:marTop w:val="0"/>
      <w:marBottom w:val="0"/>
      <w:divBdr>
        <w:top w:val="none" w:sz="0" w:space="0" w:color="auto"/>
        <w:left w:val="none" w:sz="0" w:space="0" w:color="auto"/>
        <w:bottom w:val="none" w:sz="0" w:space="0" w:color="auto"/>
        <w:right w:val="none" w:sz="0" w:space="0" w:color="auto"/>
      </w:divBdr>
    </w:div>
    <w:div w:id="1450397077">
      <w:bodyDiv w:val="1"/>
      <w:marLeft w:val="0"/>
      <w:marRight w:val="0"/>
      <w:marTop w:val="0"/>
      <w:marBottom w:val="0"/>
      <w:divBdr>
        <w:top w:val="none" w:sz="0" w:space="0" w:color="auto"/>
        <w:left w:val="none" w:sz="0" w:space="0" w:color="auto"/>
        <w:bottom w:val="none" w:sz="0" w:space="0" w:color="auto"/>
        <w:right w:val="none" w:sz="0" w:space="0" w:color="auto"/>
      </w:divBdr>
    </w:div>
    <w:div w:id="1457990663">
      <w:bodyDiv w:val="1"/>
      <w:marLeft w:val="0"/>
      <w:marRight w:val="0"/>
      <w:marTop w:val="0"/>
      <w:marBottom w:val="0"/>
      <w:divBdr>
        <w:top w:val="none" w:sz="0" w:space="0" w:color="auto"/>
        <w:left w:val="none" w:sz="0" w:space="0" w:color="auto"/>
        <w:bottom w:val="none" w:sz="0" w:space="0" w:color="auto"/>
        <w:right w:val="none" w:sz="0" w:space="0" w:color="auto"/>
      </w:divBdr>
    </w:div>
    <w:div w:id="1540241119">
      <w:bodyDiv w:val="1"/>
      <w:marLeft w:val="0"/>
      <w:marRight w:val="0"/>
      <w:marTop w:val="0"/>
      <w:marBottom w:val="0"/>
      <w:divBdr>
        <w:top w:val="none" w:sz="0" w:space="0" w:color="auto"/>
        <w:left w:val="none" w:sz="0" w:space="0" w:color="auto"/>
        <w:bottom w:val="none" w:sz="0" w:space="0" w:color="auto"/>
        <w:right w:val="none" w:sz="0" w:space="0" w:color="auto"/>
      </w:divBdr>
    </w:div>
    <w:div w:id="1583562170">
      <w:bodyDiv w:val="1"/>
      <w:marLeft w:val="0"/>
      <w:marRight w:val="0"/>
      <w:marTop w:val="0"/>
      <w:marBottom w:val="0"/>
      <w:divBdr>
        <w:top w:val="none" w:sz="0" w:space="0" w:color="auto"/>
        <w:left w:val="none" w:sz="0" w:space="0" w:color="auto"/>
        <w:bottom w:val="none" w:sz="0" w:space="0" w:color="auto"/>
        <w:right w:val="none" w:sz="0" w:space="0" w:color="auto"/>
      </w:divBdr>
    </w:div>
    <w:div w:id="2053311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0cf1db4881e48da86305bde058c6f88" PartId="ed7da2bf70ac44b98cd5a6b9ae4dd960">
    <Part Type="punktas" Nr="1" Abbr="1 p." DocPartId="878ca65b7a7d4be5ac7be688209af584" PartId="c23283a345e4459a8f8cad7acaf36e47">
      <Part Type="citata" DocPartId="0560d631420a483e9367247fa887882b" PartId="93fd45cc8e87452ba5822289e576b81f">
        <Part Type="pagrindine" DocPartId="e2a5ba44f32846ab80385edf0497fcf2" PartId="90761b8aca8b454594c89f6262323736">
          <Part Type="preambule" DocPartId="d12f6900e46445578b81aada6eefdf92" PartId="c7323994e6bb4ef1bd11a227a68de41c"/>
          <Part Type="pastraipa" DocPartId="03df3d6a94274228bef261319b50a26a" PartId="450f19fe233643289d17c39a4e1fd54e"/>
        </Part>
      </Part>
    </Part>
    <Part Type="punktas" Nr="2" Abbr="2 p." DocPartId="a1c3cc4882a0439a9b4d03c0016f4e84" PartId="75d7537b06fb49ddb4d61f72b5dcd43c"/>
    <Part Type="signatura" DocPartId="070abfb2f07846e5b64710ed5d64d1d8" PartId="8be5dabfca034b10ac803c448e386d47"/>
  </Part>
  <Part Type="patvirtinta" Title="5-ASIS VIEŠOJO SEKTORIAUS APSKAITOS IR FINANSINĖS ATSKAITOMYBĖS STANDARTAS „PINIGŲ SRAUTŲ ATASKAITA“" DocPartId="ea2fcf8a278b4d469ca9dd6ac84fd77b" PartId="12ddf376a3554821933190a41e2f4e45">
    <Part Type="skyrius" Nr="1" Title="BENDROSIOS NUOSTATOS" DocPartId="fdfda83b73464f87b7d8a41a4ae5bf1c" PartId="bae31d9e88a140bb96e2f761669b56be">
      <Part Type="punktas" Nr="1" Abbr="1 p." DocPartId="b29487ad5c15456aa4d4ad8f36b4fa93" PartId="0d5002b235ed4758948b1a7384eea57d"/>
      <Part Type="punktas" Nr="2" Abbr="2 p." DocPartId="c693edc8beb84f01a126a6dfc67d1734" PartId="4896563655144266bac093c7ef3d80e6"/>
      <Part Type="punktas" Nr="3" Abbr="3 p." DocPartId="193dfbeee6d64db497efb205d2b3e0e6" PartId="ec5c98dc3c61467caf014d9f4a1206b6"/>
      <Part Type="punktas" Nr="4" Abbr="4 p." DocPartId="efd78d0dfea0487b8ab18d36c30e3e66" PartId="6c09664bd9da4d0cb010f3e9fce3d3f6">
        <Part Type="papunktis" Nr="4.1" Abbr="4.1 pp." DocPartId="f597ad7ecda64856880f90dd11df12c9" PartId="e89f026f1b5949d284a7541e874d71a4"/>
        <Part Type="papunktis" Nr="4.2" Abbr="4.2 pp." DocPartId="d06a45ac0d63499f8e93603ecb9ccc0e" PartId="93b4197fb560431095cb246374a123db"/>
        <Part Type="papunktis" Nr="4.3" Abbr="4.3 pp." DocPartId="81c46b7d64cb493b877f88467a722f62" PartId="7214b62e08f0441f8a483ab5e91a762e"/>
        <Part Type="papunktis" Nr="4.4" Abbr="4.4 pp." DocPartId="3235664fa3784ed8ae6ca22263c11e7c" PartId="7aefeabcb07a4334ad7215771cd2f134"/>
        <Part Type="papunktis" Nr="4.5" Abbr="4.5 pp." DocPartId="5f7b36f34df741ccac5307d43bfa6e24" PartId="4f21b24b168547d3880fca6952426fbc"/>
        <Part Type="papunktis" Nr="4.6" Abbr="4.6 pp." DocPartId="60a049a8db3e456798a5e372fe2105ba" PartId="67f0cb3a4ea948769bd567305cbd24ce"/>
        <Part Type="papunktis" Nr="4.7" Abbr="4.7 pp." DocPartId="fa8433a5932e401dbcfa828a3581b5ae" PartId="8320d7d74260497885c5c0f8543e1d7b"/>
        <Part Type="papunktis" Nr="4.8" Abbr="4.8 pp." DocPartId="cb0853d70b4946c2ab76b334b8dea2f6" PartId="c823864c553944e7a36cad22fbb98161"/>
      </Part>
    </Part>
    <Part Type="skyrius" Nr="2" Title="INFORMACIJOS PATEIKIMAS ATASKAITOJE IR GRUPAVIMAS" DocPartId="e35267a4974848a9bbafd39639318fe4" PartId="ffadec6bc4db4ea4b1fcc312b038c116">
      <Part Type="punktas" Nr="5" Abbr="5 p." DocPartId="66b48bbcc34f4384aaa2a44e14a8c793" PartId="aa763b5cde604feabecf5e6e4a396a17"/>
      <Part Type="punktas" Nr="6" Abbr="6 p." DocPartId="3f46deb01830498490f69c1b5e658fae" PartId="2d08adf8199e4466b97b8b1e61db6294"/>
      <Part Type="punktas" Nr="7" Abbr="7 p." DocPartId="1c651974a91d48e8869da676f8d2eccf" PartId="3194ec2e525843368d54c6b5eebde0ce"/>
      <Part Type="punktas" Nr="8" Abbr="8 p." DocPartId="b4fb36b36e2b484a958f44595973a174" PartId="1ee7a3b463e34cb88902e089baa77423"/>
      <Part Type="punktas" Nr="9" Abbr="9 p." DocPartId="390b09466b0e4bc2bb3f13d51a6c32c7" PartId="26ba1b18476845cd8dd5b618d8e2caf5"/>
      <Part Type="punktas" Nr="10" Abbr="10 p." DocPartId="d5a4cbe2ab9a4ca9872916b99af643e0" PartId="16145a26498b45318d607a259545e52b"/>
      <Part Type="punktas" Nr="11" Abbr="11 p." DocPartId="e4c228da5bb4439aad1c5720a49809a8" PartId="17c30e07ca5844caab8ae32e477836e4">
        <Part Type="papunktis" Nr="11.1" Abbr="11.1 pp." DocPartId="75dad856ed084afab83b36b036cfda1b" PartId="ed507676202e4936a427304739447cf3"/>
        <Part Type="papunktis" Nr="11.2" Abbr="11.2 pp." DocPartId="16a50cd4644f44c885b914e365420389" PartId="ff4f29b026bf41be89ce22037e847abe"/>
        <Part Type="papunktis" Nr="11.3" Abbr="11.3 pp." DocPartId="5a3f4ff75177445ca7d42929cf698ec3" PartId="f17e9afe13964403887eb0588430498c"/>
        <Part Type="papunktis" Nr="11.4" Abbr="11.4 pp." DocPartId="9771762640e14183aac01f15e92f9ad8" PartId="5626d3de011f487580d83e9552cf8890"/>
        <Part Type="papunktis" Nr="11.5" Abbr="11.5 pp." DocPartId="44b946503d59467f967db01e43543491" PartId="fb5e5e29a9be46b9bdaa6b0057dddecc"/>
      </Part>
      <Part Type="punktas" Nr="12" Abbr="12 p." DocPartId="a2dea877dd994a54b9bb41bb20f5e0ce" PartId="a9362a0338b14dfd8188f8a929d5f72a"/>
      <Part Type="punktas" Nr="13" Abbr="13 p." DocPartId="d6113a36ab6d4a99bced9355da74e9e2" PartId="597e7582403b4fd18188ddccf47c1c3b"/>
    </Part>
    <Part Type="skyrius" Nr="3" Title="PAGRINDINĖ VEIKLA" DocPartId="399a59e0f4574c718aad187660adf297" PartId="0ee925ab3332484ca340503c61f811d4">
      <Part Type="punktas" Nr="14" Abbr="14 p." DocPartId="12816d6d72d548a08a261a650a412968" PartId="1ca234a7614d47dbb4a050b782f7d5aa"/>
      <Part Type="punktas" Nr="15" Abbr="15 p." DocPartId="ffa9056b50b249e580aee9849bcd6df1" PartId="f9c0aaddfdf4401494846c40ffbca0d6"/>
      <Part Type="punktas" Nr="16" Abbr="16 p." DocPartId="021168f921f0432ab0169e12f81d35c4" PartId="7788a696bf324175a1258b67c9ff066e"/>
      <Part Type="punktas" Nr="17" Abbr="17 p." DocPartId="5f0fb03938d54e579dc314e0c04cdd86" PartId="381a8a42316e41449211beb201c83e87">
        <Part Type="papunktis" Nr="17.1" Abbr="17.1 pp." DocPartId="4fe9ce87f1894e718e0ce94eef8a06ea" PartId="3f6aa5e43a3442729bb492eb2e605eab">
          <Part Type="papunktis" Nr="17.1.1" Abbr="17.1.1 pp." DocPartId="aab41021a6d149d3948493221eeb04c2" PartId="b952533c286047fb8bfebe37ae24ed2a"/>
          <Part Type="papunktis" Nr="17.1.2" Abbr="17.1.2 pp." DocPartId="0ad7145cbcb94ccab9db7ec803addcd3" PartId="6c4c4a68add5407bb8908acb4622984c"/>
          <Part Type="papunktis" Nr="17.1.3" Abbr="17.1.3 pp." DocPartId="4df4a33635c145a688b2a7723277c376" PartId="1c72232b3e174f12843e48d8ec51ad60"/>
          <Part Type="papunktis" Nr="17.1.4" Abbr="17.1.4 pp." DocPartId="0e59f4416010421cb510faa02246a3e9" PartId="c35c50e213604a7a948e36eadd95aa10"/>
          <Part Type="papunktis" Nr="17.1.5" Abbr="17.1.5 pp." DocPartId="ebf5a2819d1f44ea923f6fa83b62bd76" PartId="9c6b250dbec54289b06f3e64a5830417"/>
        </Part>
        <Part Type="papunktis" Nr="17.2" Abbr="17.2 pp." DocPartId="bbb545e4ec25482ba9403f12d5c460e7" PartId="0800fdf63dab46e5ab2e2540973cc5c0"/>
        <Part Type="papunktis" Nr="17.3" Abbr="17.3 pp." DocPartId="98b65b963d174886a0d76d053ba9ed8a" PartId="05ac362f99804db4ad9783dd2d303ea7"/>
        <Part Type="papunktis" Nr="17.4" Abbr="17.4 pp." DocPartId="e118a46e516f4539b53ba84fc434a962" PartId="3ccadd98ac124bf5a69f0dd662fa95af">
          <Part Type="papunktis" Nr="17.4.1" Abbr="17.4.1 pp." DocPartId="efac9e682a9149fab3d13aacd055c61b" PartId="573904a93ac541f6bb17caf2bd17aef5"/>
          <Part Type="papunktis" Nr="17.4.2" Abbr="17.4.2 pp." DocPartId="02e25fb04fb04edba0eb4aa307dcbb3d" PartId="0003705805344ba8b522452467ce768c"/>
        </Part>
        <Part Type="papunktis" Nr="17.5" Abbr="17.5 pp." DocPartId="fefbed1664f24be895a69fff98f44b45" PartId="116d2072962f4780811b63dfb19e3b03"/>
        <Part Type="papunktis" Nr="17.6" Abbr="17.6 pp." DocPartId="60399e7e9e534997843e0ed62e9d443c" PartId="1b9d31322b6548fa8fe8a447c922c170"/>
      </Part>
      <Part Type="punktas" Nr="18" Abbr="18 p." DocPartId="4084a6bdfc184b51bebb274548a50cde" PartId="8ac4826483a04329a27ad802479de389">
        <Part Type="papunktis" Nr="18.1" Abbr="18.1 pp." DocPartId="2c4ba8b95f2f43b9a8af4ee5262563b4" PartId="f62db458c13c4dc7ad5d193e565be34f"/>
        <Part Type="papunktis" Nr="18.2" Abbr="18.2 pp." DocPartId="80ab9896dec24707ad68b83b2bc7b870" PartId="f0da1d3d606845b795255ecaf932a814"/>
        <Part Type="papunktis" Nr="18.3" Abbr="18.3 pp." DocPartId="3ae4d7436adf41099ef61e983f70e2fb" PartId="221db8439c56479097605286c5aa5f84"/>
        <Part Type="papunktis" Nr="18.4" Abbr="18.4 pp." DocPartId="6832033f37aa4b6ea0120d149d5bd273" PartId="0eb766dcd88c49899db2120ff452b004"/>
        <Part Type="papunktis" Nr="18.5" Abbr="18.5 pp." DocPartId="0c21ce03278f491086322f292c76b023" PartId="f1152053234e40338fdff81588789d5e"/>
        <Part Type="papunktis" Nr="18.6" Abbr="18.6 pp." DocPartId="74093a484823415f93d583bc2630600a" PartId="21d389589498452aabb6e6ed334d2fc1"/>
      </Part>
      <Part Type="punktas" Nr="16" Abbr="16 p." Notes="Numeris ne iš eilės. Trūksta dalių? [DocDalys]" DocPartId="9de9ba8aac5d47efb536759797891fc1" PartId="843803b103de445a9188e36ba16d6928"/>
      <Part Type="punktas" Nr="18" Abbr="18 p." Notes="Numeris ne iš eilės. Trūksta dalių? [DocDalys]" DocPartId="4f631ac7eea04c5d96f32ad1def2930b" PartId="a56249906eb6443681a58577ea0bc566"/>
      <Part Type="punktas" Nr="19" Abbr="19 p." DocPartId="47dbc296341d405a98ba2ece3b853b33" PartId="1fa74ffe8c5b40048c6b02e499466ce3"/>
    </Part>
    <Part Type="skyrius" Nr="4" Title="INVESTICINĖ VEIKLA" DocPartId="b3a88142cfdc46589ee83322b7bb2f56" PartId="33d187b092e14d7f9b4e84b581d2fc80">
      <Part Type="punktas" Nr="20" Abbr="20 p." DocPartId="27be8390198549b697f7f16564fa54b3" PartId="7bb8d807115248e6a1e58ec4af8cf873"/>
      <Part Type="punktas" Nr="21" Abbr="21 p." DocPartId="2b22d906ecb04906b6e3840e48772bc5" PartId="efc7c21563954c63b560747518bfd9cf">
        <Part Type="papunktis" Nr="21.1" Abbr="21.1 pp." DocPartId="40f4d3580ca14a51855414d58b98fbc0" PartId="abd1b31c98ec48e3a2724d0a4b9bbd42"/>
        <Part Type="papunktis" Nr="21.2" Abbr="21.2 pp." DocPartId="2c7f7b31e19e4b67ada99d552f086c60" PartId="7d5b0035ca51434592325a0ae218ecdb"/>
        <Part Type="papunktis" Nr="21.3" Abbr="21.3 pp." DocPartId="a777cc56f04c4e9bbee85910663964fe" PartId="54f0096e056146de96a2fe7e358e5f75"/>
        <Part Type="papunktis" Nr="21.4" Abbr="21.4 pp." DocPartId="e8e81ce4acd04813abb6ca711ce71f4b" PartId="cafc816b053c406191cf7adb944582da"/>
        <Part Type="papunktis" Nr="21.5" Abbr="21.5 pp." DocPartId="8d48cee87323442ea507770c83cd0a99" PartId="d10e21c715e046bb9e5b6725f23a144d"/>
        <Part Type="papunktis" Nr="21.6" Abbr="21.6 pp." DocPartId="9b2592e0bf334c18b34a90e6cfb945d3" PartId="3cdfcbadfc534c169d421a71fcac6d05"/>
      </Part>
      <Part Type="punktas" Nr="22" Abbr="22 p." DocPartId="6da77289318d4337bef5f41c6b1a556b" PartId="04789406f45e4428879dcfce9ed5951e"/>
    </Part>
    <Part Type="skyrius" Nr="5" Title="FINANSINĖ VEIKLA" DocPartId="19da0fea8dd6495dbb36a82794433fa9" PartId="efdbbfc22d864141b409330b8240dba3">
      <Part Type="punktas" Nr="23" Abbr="23 p." DocPartId="6430c742d3c341cbb279e8af37d2ab39" PartId="481f483e4d9d4442a289d6b0964e69af"/>
      <Part Type="punktas" Nr="24" Abbr="24 p." DocPartId="7426a59c26174d3aba9d9f408ae7988f" PartId="1be1cde1f1d7463ca2d55fbb5f148e85">
        <Part Type="papunktis" Nr="24.1" Abbr="24.1 pp." DocPartId="019aeb35eb614d96bdf08e066a4875e2" PartId="aee8bbddaa3544b9b53c5e57b8bc1efb"/>
        <Part Type="papunktis" Nr="24.2" Abbr="24.2 pp." DocPartId="1650cc2d17df43609621d41a987470b5" PartId="772eb3645b704498bceeaded73e54ee5"/>
        <Part Type="papunktis" Nr="24.3" Abbr="24.3 pp." DocPartId="664b5e6a660d40ed865fd6b3e157c9ab" PartId="c49dbb1edfe84d3bb510001cd3645923"/>
        <Part Type="papunktis" Nr="24.4" Abbr="24.4 pp." DocPartId="89ea98a3e65e4ca7ab64eb08e70d5718" PartId="5098c1825e4f4c41966a6cb65f892f75"/>
        <Part Type="papunktis" Nr="24.5" Abbr="24.5 pp." DocPartId="aa03115611ef42edaa6cca7478f15cd5" PartId="2d4d737d0c0240ee83aeda6f5cf48cba"/>
        <Part Type="papunktis" Nr="24.6" Abbr="24.6 pp." DocPartId="2fb77e077b7e45db8d5fa697066e9b25" PartId="255fe8f5dd8e4ad9aecb00e1f8230639"/>
        <Part Type="papunktis" Nr="24.7" Abbr="24.7 pp." DocPartId="e27796f564464b3bb8c92e5b3902ee11" PartId="25afdb37d9e54f84af9913bcd8f111eb"/>
      </Part>
      <Part Type="punktas" Nr="25" Abbr="25 p." DocPartId="c6fec16b348245838e760011c19c247d" PartId="10909b22fbf1407e96bb6724491fcfa0"/>
    </Part>
    <Part Type="skyrius" Nr="6" Title="DUOMENŲ APIE PINIGŲ SRAUTUS PATEIKIMAS" DocPartId="316dbc57b8ec4433ba5241d98e980a6e" PartId="98c98516e8244520ac4520e66ea85661">
      <Part Type="punktas" Nr="26" Abbr="26 p." DocPartId="c39886265aa4434cafd0bfe509d20b29" PartId="7fbbda57cce5436bbc13f1d391d599c5"/>
      <Part Type="punktas" Nr="27" Abbr="27 p." DocPartId="8313fc1855974a859f7c78f99480dfb0" PartId="5230847a74034f1fb6ce7ed793308190"/>
      <Part Type="punktas" Nr="28" Abbr="28 p." DocPartId="58c85843a7e14850aa5755d03b38700a" PartId="89374b7d1103486f85727543dfd50df7"/>
      <Part Type="punktas" Nr="29" Abbr="29 p." DocPartId="fa08d1ee49134d1babb43fabbd6ece11" PartId="f4b5e8f4a86243a99e9f60f7b69f03f7">
        <Part Type="papunktis" Nr="29.1" Abbr="29.1 pp." DocPartId="236bde1bd4eb40a48f04649812d029f3" PartId="e58bfefbc55a4235b641f9f9b3e12758"/>
        <Part Type="papunktis" Nr="29.2" Abbr="29.2 pp." DocPartId="fdd7d752b6c2488793b79a0b1be6cec5" PartId="b1d32aea282446ab97046f6062e360ea"/>
        <Part Type="papunktis" Nr="29.3" Abbr="29.3 pp." DocPartId="f41ac5d585cc4cd7a568f32112938912" PartId="804309b2898944d6aed83ec60c410c26"/>
      </Part>
    </Part>
    <Part Type="skyrius" Nr="7" Title="NEPINIGINĖS ŪKINĖS OPERACIJOS" DocPartId="9a1455ae21664564ae60967507148ead" PartId="00ec30255bc143489eb648b21a17f89f">
      <Part Type="punktas" Nr="30" Abbr="30 p." DocPartId="4209de02e4aa4dd981d2fddf63560b8c" PartId="8de67e05478f491fa1ec63f5ef087855"/>
    </Part>
    <Part Type="skyrius" Nr="8" Title="VALIUTINIAI STRAIPSNIAI" DocPartId="c9ebe4f27afb42a5a08cdea1e4eaddd1" PartId="3a116b38b1a742c891d5bc6e54a3cc18">
      <Part Type="punktas" Nr="31" Abbr="31 p." DocPartId="9a1f9b7ccb0c4f1ba9f186f3aaa47b4f" PartId="395a9c790cc64f9d8962482dcee6805d"/>
      <Part Type="punktas" Nr="32" Abbr="32 p." DocPartId="d9d659fe9a7843f5a00fd4314c894969" PartId="4a855c3ae3954fb792fe55b4190b78d9"/>
      <Part Type="punktas" Nr="33" Abbr="33 p." DocPartId="9b8daa51d24c430ab727a55e388ac338" PartId="9b34028f909c4abe94f5301f2c1f7d3a"/>
      <Part Type="punktas" Nr="34" Abbr="34 p." DocPartId="a920b4b95d91473cbe70d202de31fae3" PartId="29ac05db31144af5933143911924d6a5"/>
    </Part>
    <Part Type="pabaiga" DocPartId="e40cbc19fa5a437eb4df6b7562c486bb" PartId="eb3f73bedc5d45a3b523a16400791c28"/>
  </Part>
  <Part Type="priedas" Nr="1" Abbr="1 pr." Title="(Pinigų srautų ataskaitos forma)" DocPartId="be8797b209cf4fd5837d8caaeec94bb6" PartId="f6642d999464455c9944cc5734989016">
    <Part Type="skirsnis" Title="PINIGŲ SRAUTŲ ATASKAITA PAGAL 20_____M.______D. DUOMENIS" DocPartId="6dfc8db5b3fd457ca7ebb5e4b1899c24" PartId="b7129765634b4e9988a835fdc1c729b6"/>
  </Part>
  <Part Type="priedas" Nr="2" Abbr="2 pr." Title="(Pinigų srautų ataskaitos forma)" DocPartId="37f00eaebd03436480855e2c99e5a4a8" PartId="df0b9de206984c7f86eabbfe89953acd">
    <Part Type="skirsnis" Title="PINIGŲ SRAUTŲ ATASKAITA PAGAL 20_____M.______D. DUOMENIS" DocPartId="eaeccd56a82c4064bbfa50fbd0df2d13" PartId="80c4c37eddb547d38243f55d7feec283"/>
    <Part Type="pabaiga" DocPartId="ad3c831674be4cfcbc462c4d4a6aa3a4" PartId="0d554798e9fd423bbd73ef157e2e2c18"/>
  </Part>
  <Part Type="priedas" Nr="3" Abbr="3 pr." Title="(Valstybės pinigų srautų ataskaitos forma)" DocPartId="df371f02ed614e2f925af9cc85663099" PartId="efda4e9a5e9547a2bb42ebf37b500b07">
    <Part Type="skirsnis" Title="VALSTYBĖS PINIGŲ SRAUTŲ ATASKAITA PAGAL 20_____M.______D. DUOMENIS" DocPartId="487bd746fbec4a4183e8cb22339111e8" PartId="33f980943aeb4cf9b5f5b80bfe45d8c8"/>
    <Part Type="pabaiga" DocPartId="d2903633cbcc49da9394a9af3201afd7" PartId="2d19f6eff0a442e5bd747e0c1f8a715b"/>
  </Part>
  <Part Type="priedas" Nr="4" Abbr="4 pr." Title="(Savivaldybės pinigų srautų ataskaitos forma)" DocPartId="5d2cafde674240e6b9bb5a4672d6067d" PartId="6c41ae7484e94746af30f57143404edc">
    <Part Type="skirsnis" Title="SAVIVALDYBĖS PINIGŲ SRAUTŲ ATASKAITA PAGAL 20_____M.______D. DUOMENIS" DocPartId="f2685c2658ff47689d3e0c2bb6260354" PartId="3950579fd34a4d4ebaa119b792c011a3"/>
    <Part Type="pabaiga" DocPartId="2b4f1946288045e9b700062020b2ba0c" PartId="69fa559e9bcc4cc7977978da7c804445"/>
  </Part>
  <Part Type="priedas" Nr="5" Abbr="5 pr." Title="(Nacionalinės pinigų srautų ataskaitos forma)" DocPartId="2ff1ac03ff8d43c09f615cfd176a7069" PartId="78621662deff42cfbc957b219da8aab1">
    <Part Type="skirsnis" Title="NACIONALINĖ PINIGŲ SRAUTŲ ATASKAITA PAGAL 20_____M.______D. DUOMENIS" DocPartId="7a2d55b49d7b43cf8f0de58a4d0a9479" PartId="fe0d1e0e373e49048ac623fd6ff52bca"/>
  </Part>
</Parts>
</file>

<file path=customXml/itemProps1.xml><?xml version="1.0" encoding="utf-8"?>
<ds:datastoreItem xmlns:ds="http://schemas.openxmlformats.org/officeDocument/2006/customXml" ds:itemID="{E4EF41F5-DD40-4DC3-BDA0-E46F2B18D30B}">
  <ds:schemaRefs>
    <ds:schemaRef ds:uri="http://schemas.openxmlformats.org/officeDocument/2006/bibliography"/>
  </ds:schemaRefs>
</ds:datastoreItem>
</file>

<file path=customXml/itemProps2.xml><?xml version="1.0" encoding="utf-8"?>
<ds:datastoreItem xmlns:ds="http://schemas.openxmlformats.org/officeDocument/2006/customXml" ds:itemID="{8C4D247C-E021-4626-9742-600865CFD5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5577</Words>
  <Characters>40326</Characters>
  <Application>Microsoft Office Word</Application>
  <DocSecurity>4</DocSecurity>
  <Lines>2880</Lines>
  <Paragraphs>956</Paragraphs>
  <ScaleCrop>false</ScaleCrop>
  <HeadingPairs>
    <vt:vector size="2" baseType="variant">
      <vt:variant>
        <vt:lpstr>Pavadinimas</vt:lpstr>
      </vt:variant>
      <vt:variant>
        <vt:i4>1</vt:i4>
      </vt:variant>
    </vt:vector>
  </HeadingPairs>
  <TitlesOfParts>
    <vt:vector size="1" baseType="lpstr">
      <vt:lpstr>LIETUVOS RESPUBLIKOS FINANSŲ MINISTRO</vt:lpstr>
    </vt:vector>
  </TitlesOfParts>
  <Company>LR Seimas</Company>
  <LinksUpToDate>false</LinksUpToDate>
  <CharactersWithSpaces>44947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2024-11-28T06:40:00Z</dcterms:created>
  <dc:creator>irlauk</dc:creator>
  <lastModifiedBy>adlibuser</lastModifiedBy>
  <lastPrinted>2024-05-14T12:21:00Z</lastPrinted>
  <dcterms:modified xsi:type="dcterms:W3CDTF">2024-11-28T06:40:00Z</dcterms:modified>
  <revision>2</revision>
  <dc:title>LIETUVOS RESPUBLIKOS FINANSŲ MINISTRO</dc:title>
</coreProperties>
</file>