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552F81A" w14:textId="77777777">
      <w:pPr>
        <w:keepNext/>
        <w:widowControl w:val="0"/>
        <w:suppressAutoHyphens/>
        <w:jc w:val="right"/>
        <w:outlineLvl w:val="1"/>
        <w:rPr>
          <w:rFonts w:eastAsia="HG Mincho Light J"/>
          <w:b/>
          <w:color w:val="A6A6A6"/>
          <w:szCs w:val="24"/>
          <w:lang w:eastAsia="lt-LT"/>
        </w:rPr>
      </w:pPr>
      <w:r>
        <w:rPr>
          <w:rFonts w:eastAsia="HG Mincho Light J"/>
          <w:b/>
          <w:color w:val="A6A6A6"/>
          <w:szCs w:val="24"/>
          <w:lang w:eastAsia="lt-LT"/>
        </w:rPr>
        <w:t xml:space="preserve">Projektas </w:t>
      </w:r>
    </w:p>
    <w:p w14:paraId="3552F830" w14:textId="79AD54E7">
      <w:pPr>
        <w:keepNext/>
        <w:widowControl w:val="0"/>
        <w:suppressAutoHyphens/>
        <w:outlineLvl w:val="1"/>
        <w:rPr>
          <w:rFonts w:cs="Calibri"/>
          <w:b/>
          <w:lang w:eastAsia="lt-LT"/>
        </w:rPr>
      </w:pPr>
    </w:p>
    <w:p w14:paraId="3552F831" w14:textId="77777777">
      <w:pPr>
        <w:widowControl w:val="0"/>
        <w:tabs>
          <w:tab w:val="right" w:pos="9570"/>
        </w:tabs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 w14:paraId="0F12D6E2" w14:textId="43B29925">
      <w:pPr>
        <w:keepNext/>
        <w:widowControl w:val="0"/>
        <w:tabs>
          <w:tab w:val="left" w:pos="0"/>
        </w:tabs>
        <w:suppressAutoHyphens/>
        <w:ind w:firstLine="720"/>
        <w:jc w:val="center"/>
        <w:outlineLvl w:val="1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ŠIAULIŲ MIESTO SAVIVALDYBĖS TARYBA</w:t>
      </w:r>
    </w:p>
    <w:p w14:paraId="60CA434A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</w:p>
    <w:p w14:paraId="4A8447A6" w14:textId="77777777">
      <w:pPr>
        <w:widowControl w:val="0"/>
        <w:suppressAutoHyphens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>SPRENDIMAS</w:t>
      </w:r>
    </w:p>
    <w:p w14:paraId="4FBD7602" w14:textId="7885E517">
      <w:pPr>
        <w:keepNext/>
        <w:widowControl w:val="0"/>
        <w:tabs>
          <w:tab w:val="left" w:pos="0"/>
        </w:tabs>
        <w:suppressAutoHyphens/>
        <w:ind w:firstLine="720"/>
        <w:jc w:val="center"/>
        <w:rPr>
          <w:rFonts w:eastAsia="HG Mincho Light J"/>
          <w:b/>
          <w:szCs w:val="24"/>
          <w:lang w:eastAsia="lt-LT"/>
        </w:rPr>
      </w:pPr>
      <w:r>
        <w:rPr>
          <w:rFonts w:eastAsia="HG Mincho Light J"/>
          <w:b/>
          <w:szCs w:val="24"/>
          <w:lang w:eastAsia="lt-LT"/>
        </w:rPr>
        <w:t xml:space="preserve">DĖL ŠIAULIŲ MIESTO SAVIVALDYBĖS NARKOTIKŲ KONTROLĖS KOMISIJOS 2021 METŲ VEIKLOS ATASKAITOS PATVIRTINIMO </w:t>
      </w:r>
    </w:p>
    <w:p w14:paraId="3265083D" w14:textId="77777777"/>
    <w:p w14:paraId="68F9DA02" w14:textId="486B14D0">
      <w:pPr>
        <w:widowControl w:val="0"/>
        <w:suppressAutoHyphens/>
        <w:jc w:val="center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2022 m.</w:t>
      </w:r>
      <w:r>
        <w:rPr>
          <w:rFonts w:eastAsia="HG Mincho Light J"/>
          <w:color w:val="FF0000"/>
          <w:szCs w:val="24"/>
          <w:lang w:eastAsia="lt-LT"/>
        </w:rPr>
        <w:t xml:space="preserve">  </w:t>
      </w:r>
      <w:r>
        <w:rPr>
          <w:rFonts w:eastAsia="HG Mincho Light J"/>
          <w:szCs w:val="24"/>
          <w:lang w:eastAsia="lt-LT"/>
        </w:rPr>
        <w:t xml:space="preserve">                          d. Nr. T-</w:t>
      </w:r>
    </w:p>
    <w:p w14:paraId="542D745D" w14:textId="77777777">
      <w:pPr>
        <w:widowControl w:val="0"/>
        <w:suppressAutoHyphens/>
        <w:jc w:val="center"/>
        <w:rPr>
          <w:rFonts w:eastAsia="HG Mincho Light J"/>
          <w:i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Šiauliai</w:t>
      </w:r>
    </w:p>
    <w:p w14:paraId="6ED5F45D" w14:textId="77777777">
      <w:pPr>
        <w:widowControl w:val="0"/>
        <w:tabs>
          <w:tab w:val="left" w:pos="552"/>
        </w:tabs>
        <w:suppressAutoHyphens/>
        <w:ind w:firstLine="720"/>
        <w:jc w:val="both"/>
        <w:rPr>
          <w:rFonts w:eastAsia="HG Mincho Light J"/>
          <w:color w:val="000000"/>
          <w:szCs w:val="24"/>
          <w:lang w:eastAsia="lt-LT"/>
        </w:rPr>
      </w:pPr>
    </w:p>
    <w:p w14:paraId="787F5C9F" w14:textId="77777777">
      <w:pPr>
        <w:widowControl w:val="0"/>
        <w:suppressAutoHyphens/>
        <w:ind w:firstLine="851"/>
        <w:jc w:val="both"/>
        <w:rPr>
          <w:rFonts w:ascii="Thorndale" w:eastAsia="HG Mincho Light J" w:hAnsi="Thorndale" w:cs="Tahoma"/>
          <w:szCs w:val="24"/>
          <w:lang w:eastAsia="lt-LT"/>
        </w:rPr>
      </w:pPr>
      <w:r>
        <w:rPr>
          <w:rFonts w:ascii="Thorndale" w:eastAsia="HG Mincho Light J" w:hAnsi="Thorndale" w:cs="Tahoma"/>
          <w:szCs w:val="24"/>
          <w:lang w:eastAsia="lt-LT"/>
        </w:rPr>
        <w:t xml:space="preserve">Vadovaudamasi Lietuvos Respublikos vietos savivaldos įstatymo 16 straipsnio 4 dalimi, įgyvendindama Šiaulių miesto savivaldybės narkotikų kontrolės komisijos nuostatų, patvirtintų Šiaulių miesto savivaldybės tarybos 2016 m. gruodžio 1 d. sprendimu Nr. T-419 „Dėl Šiaulių miesto savivaldybės narkotikų kontrolės komisijos nuostatų patvirtinimo“, 5.5 papunktį, </w:t>
      </w:r>
      <w:r>
        <w:rPr>
          <w:rFonts w:eastAsia="HG Mincho Light J" w:cs="Tahoma"/>
          <w:szCs w:val="24"/>
          <w:lang w:eastAsia="lt-LT"/>
        </w:rPr>
        <w:t xml:space="preserve">Šiaulių miesto savivaldybės taryba </w:t>
      </w:r>
      <w:r>
        <w:rPr>
          <w:rFonts w:ascii="Thorndale" w:eastAsia="HG Mincho Light J" w:hAnsi="Thorndale" w:cs="Tahoma"/>
          <w:szCs w:val="24"/>
          <w:lang w:eastAsia="lt-LT"/>
        </w:rPr>
        <w:t>n u s p r e n d ž i a:</w:t>
      </w:r>
    </w:p>
    <w:p w14:paraId="4A3AB3F3" w14:textId="0FF3EC23">
      <w:pPr>
        <w:widowControl w:val="0"/>
        <w:suppressAutoHyphens/>
        <w:ind w:firstLine="851"/>
        <w:jc w:val="both"/>
        <w:rPr>
          <w:rFonts w:ascii="Thorndale" w:eastAsia="HG Mincho Light J" w:hAnsi="Thorndale" w:cs="Tahoma"/>
          <w:szCs w:val="24"/>
          <w:lang w:eastAsia="lt-LT"/>
        </w:rPr>
      </w:pPr>
      <w:r>
        <w:rPr>
          <w:rFonts w:ascii="Thorndale" w:eastAsia="HG Mincho Light J" w:hAnsi="Thorndale" w:cs="Tahoma"/>
          <w:szCs w:val="24"/>
          <w:lang w:eastAsia="lt-LT"/>
        </w:rPr>
        <w:t>Patvirtinti Šiaulių miesto savivaldybės narkotikų kontrolės komisijos 2021 metų veiklos ataskaitą (pridedama).</w:t>
      </w:r>
    </w:p>
    <w:p w14:paraId="082265B0" w14:textId="2B1F5709">
      <w:pPr>
        <w:widowControl w:val="0"/>
        <w:suppressAutoHyphens/>
        <w:ind w:firstLine="851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lt-LT"/>
        </w:rPr>
        <w:t>Šis sprendimas ne v</w:t>
      </w:r>
      <w:r>
        <w:rPr>
          <w:rFonts w:eastAsia="HG Mincho Light J" w:hint="cs"/>
          <w:szCs w:val="24"/>
          <w:lang w:eastAsia="lt-LT"/>
        </w:rPr>
        <w:t>ė</w:t>
      </w:r>
      <w:r>
        <w:rPr>
          <w:rFonts w:eastAsia="HG Mincho Light J"/>
          <w:szCs w:val="24"/>
          <w:lang w:eastAsia="lt-LT"/>
        </w:rPr>
        <w:t>liau kaip per vien</w:t>
      </w:r>
      <w:r>
        <w:rPr>
          <w:rFonts w:eastAsia="HG Mincho Light J" w:hint="cs"/>
          <w:szCs w:val="24"/>
          <w:lang w:eastAsia="lt-LT"/>
        </w:rPr>
        <w:t>ą</w:t>
      </w:r>
      <w:r>
        <w:rPr>
          <w:rFonts w:eastAsia="HG Mincho Light J"/>
          <w:szCs w:val="24"/>
          <w:lang w:eastAsia="lt-LT"/>
        </w:rPr>
        <w:t xml:space="preserve"> m</w:t>
      </w:r>
      <w:r>
        <w:rPr>
          <w:rFonts w:eastAsia="HG Mincho Light J" w:hint="cs"/>
          <w:szCs w:val="24"/>
          <w:lang w:eastAsia="lt-LT"/>
        </w:rPr>
        <w:t>ė</w:t>
      </w:r>
      <w:r>
        <w:rPr>
          <w:rFonts w:eastAsia="HG Mincho Light J"/>
          <w:szCs w:val="24"/>
          <w:lang w:eastAsia="lt-LT"/>
        </w:rPr>
        <w:t>nes</w:t>
      </w:r>
      <w:r>
        <w:rPr>
          <w:rFonts w:eastAsia="HG Mincho Light J" w:hint="cs"/>
          <w:szCs w:val="24"/>
          <w:lang w:eastAsia="lt-LT"/>
        </w:rPr>
        <w:t>į</w:t>
      </w:r>
      <w:r>
        <w:rPr>
          <w:rFonts w:eastAsia="HG Mincho Light J"/>
          <w:szCs w:val="24"/>
          <w:lang w:eastAsia="lt-LT"/>
        </w:rPr>
        <w:t xml:space="preserve"> nuo jo </w:t>
      </w:r>
      <w:r>
        <w:rPr>
          <w:rFonts w:eastAsia="HG Mincho Light J" w:hint="cs"/>
          <w:szCs w:val="24"/>
          <w:lang w:eastAsia="lt-LT"/>
        </w:rPr>
        <w:t>į</w:t>
      </w:r>
      <w:r>
        <w:rPr>
          <w:rFonts w:eastAsia="HG Mincho Light J"/>
          <w:szCs w:val="24"/>
          <w:lang w:eastAsia="lt-LT"/>
        </w:rPr>
        <w:t>teikimo dienos gali b</w:t>
      </w:r>
      <w:r>
        <w:rPr>
          <w:rFonts w:eastAsia="HG Mincho Light J" w:hint="cs"/>
          <w:szCs w:val="24"/>
          <w:lang w:eastAsia="lt-LT"/>
        </w:rPr>
        <w:t>ū</w:t>
      </w:r>
      <w:r>
        <w:rPr>
          <w:rFonts w:eastAsia="HG Mincho Light J"/>
          <w:szCs w:val="24"/>
          <w:lang w:eastAsia="lt-LT"/>
        </w:rPr>
        <w:t>ti skundžiamas paduodant skund</w:t>
      </w:r>
      <w:r>
        <w:rPr>
          <w:rFonts w:eastAsia="HG Mincho Light J" w:hint="cs"/>
          <w:szCs w:val="24"/>
          <w:lang w:eastAsia="lt-LT"/>
        </w:rPr>
        <w:t>ą</w:t>
      </w:r>
      <w:r>
        <w:rPr>
          <w:rFonts w:eastAsia="HG Mincho Light J"/>
          <w:szCs w:val="24"/>
          <w:lang w:eastAsia="lt-LT"/>
        </w:rPr>
        <w:t xml:space="preserve"> Lietuvos administracini</w:t>
      </w:r>
      <w:r>
        <w:rPr>
          <w:rFonts w:eastAsia="HG Mincho Light J" w:hint="cs"/>
          <w:szCs w:val="24"/>
          <w:lang w:eastAsia="lt-LT"/>
        </w:rPr>
        <w:t>ų</w:t>
      </w:r>
      <w:r>
        <w:rPr>
          <w:rFonts w:eastAsia="HG Mincho Light J"/>
          <w:szCs w:val="24"/>
          <w:lang w:eastAsia="lt-LT"/>
        </w:rPr>
        <w:t xml:space="preserve"> gin</w:t>
      </w:r>
      <w:r>
        <w:rPr>
          <w:rFonts w:eastAsia="HG Mincho Light J" w:hint="cs"/>
          <w:szCs w:val="24"/>
          <w:lang w:eastAsia="lt-LT"/>
        </w:rPr>
        <w:t>čų</w:t>
      </w:r>
      <w:r>
        <w:rPr>
          <w:rFonts w:eastAsia="HG Mincho Light J"/>
          <w:szCs w:val="24"/>
          <w:lang w:eastAsia="lt-LT"/>
        </w:rPr>
        <w:t xml:space="preserve"> komisijos Šiauli</w:t>
      </w:r>
      <w:r>
        <w:rPr>
          <w:rFonts w:eastAsia="HG Mincho Light J" w:hint="cs"/>
          <w:szCs w:val="24"/>
          <w:lang w:eastAsia="lt-LT"/>
        </w:rPr>
        <w:t>ų</w:t>
      </w:r>
      <w:r>
        <w:rPr>
          <w:rFonts w:eastAsia="HG Mincho Light J"/>
          <w:szCs w:val="24"/>
          <w:lang w:eastAsia="lt-LT"/>
        </w:rPr>
        <w:t xml:space="preserve"> apygardos skyriui adresu: Dvaro g. 81, Šiauliai, arba Region</w:t>
      </w:r>
      <w:r>
        <w:rPr>
          <w:rFonts w:eastAsia="HG Mincho Light J" w:hint="cs"/>
          <w:szCs w:val="24"/>
          <w:lang w:eastAsia="lt-LT"/>
        </w:rPr>
        <w:t>ų</w:t>
      </w:r>
      <w:r>
        <w:rPr>
          <w:rFonts w:eastAsia="HG Mincho Light J"/>
          <w:szCs w:val="24"/>
          <w:lang w:eastAsia="lt-LT"/>
        </w:rPr>
        <w:t xml:space="preserve"> apygardos administraciniam teismui bet kuriuose šio teismo r</w:t>
      </w:r>
      <w:r>
        <w:rPr>
          <w:rFonts w:eastAsia="HG Mincho Light J" w:hint="cs"/>
          <w:szCs w:val="24"/>
          <w:lang w:eastAsia="lt-LT"/>
        </w:rPr>
        <w:t>ū</w:t>
      </w:r>
      <w:r>
        <w:rPr>
          <w:rFonts w:eastAsia="HG Mincho Light J"/>
          <w:szCs w:val="24"/>
          <w:lang w:eastAsia="lt-LT"/>
        </w:rPr>
        <w:t>muose.</w:t>
      </w:r>
    </w:p>
    <w:p w14:paraId="2AA3B774" w14:textId="77777777">
      <w:pPr>
        <w:widowControl w:val="0"/>
        <w:suppressAutoHyphens/>
        <w:ind w:firstLine="927"/>
        <w:jc w:val="both"/>
        <w:rPr>
          <w:rFonts w:ascii="Thorndale" w:eastAsia="HG Mincho Light J" w:hAnsi="Thorndale" w:cs="Arial Unicode MS"/>
          <w:color w:val="000000"/>
          <w:szCs w:val="24"/>
          <w:lang w:eastAsia="lt-LT"/>
        </w:rPr>
      </w:pPr>
    </w:p>
    <w:p w14:paraId="65C19E8D" w14:textId="77777777">
      <w:pPr>
        <w:widowControl w:val="0"/>
        <w:suppressAutoHyphens/>
        <w:jc w:val="both"/>
        <w:rPr>
          <w:rFonts w:eastAsia="HG Mincho Light J" w:cs="Tahoma"/>
          <w:color w:val="000000"/>
          <w:szCs w:val="24"/>
          <w:lang w:eastAsia="lt-LT"/>
        </w:rPr>
      </w:pPr>
    </w:p>
    <w:p w14:paraId="4FEC7704" w14:textId="77777777">
      <w:pPr>
        <w:widowControl w:val="0"/>
        <w:suppressAutoHyphens/>
        <w:jc w:val="both"/>
        <w:rPr>
          <w:rFonts w:ascii="Thorndale" w:eastAsia="HG Mincho Light J" w:hAnsi="Thorndale" w:cs="Tahoma"/>
          <w:color w:val="000000"/>
          <w:szCs w:val="24"/>
          <w:lang w:eastAsia="lt-LT"/>
        </w:rPr>
      </w:pPr>
    </w:p>
    <w:p w14:paraId="3D9EAE98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ascii="Thorndale" w:eastAsia="HG Mincho Light J" w:hAnsi="Thorndale" w:cs="Tahoma"/>
          <w:color w:val="000000"/>
          <w:szCs w:val="24"/>
          <w:lang w:eastAsia="lt-LT"/>
        </w:rPr>
        <w:t xml:space="preserve">Savivaldybės meras                                                                                                </w:t>
      </w:r>
    </w:p>
    <w:p w14:paraId="0B9CC467" w14:textId="77777777">
      <w:pPr>
        <w:widowControl w:val="0"/>
        <w:suppressAutoHyphens/>
        <w:ind w:firstLine="1122"/>
        <w:jc w:val="both"/>
        <w:rPr>
          <w:rFonts w:eastAsia="HG Mincho Light J"/>
          <w:color w:val="000000"/>
          <w:szCs w:val="24"/>
          <w:lang w:eastAsia="lt-LT"/>
        </w:rPr>
      </w:pPr>
    </w:p>
    <w:p w14:paraId="18276C53" w14:textId="77777777">
      <w:pPr>
        <w:widowControl w:val="0"/>
        <w:suppressAutoHyphens/>
        <w:ind w:firstLine="1122"/>
        <w:jc w:val="both"/>
        <w:rPr>
          <w:rFonts w:eastAsia="HG Mincho Light J"/>
          <w:color w:val="000000"/>
          <w:szCs w:val="24"/>
          <w:lang w:eastAsia="lt-LT"/>
        </w:rPr>
      </w:pPr>
    </w:p>
    <w:p w14:paraId="3552F832" w14:textId="77777777">
      <w:pPr>
        <w:widowControl w:val="0"/>
        <w:suppressAutoHyphens/>
        <w:jc w:val="both"/>
        <w:rPr>
          <w:rFonts w:ascii="Thorndale" w:eastAsia="HG Mincho Light J" w:hAnsi="Thorndale"/>
          <w:color w:val="000000"/>
          <w:szCs w:val="24"/>
          <w:lang w:eastAsia="lt-LT"/>
        </w:rPr>
      </w:pPr>
    </w:p>
    <w:sectPr>
      <w:footerReference w:type="default" r:id="rId6"/>
      <w:footnotePr>
        <w:pos w:val="beneathText"/>
        <w:numRestart w:val="eachPage"/>
      </w:footnotePr>
      <w:endnotePr>
        <w:numFmt w:val="decimal"/>
      </w:endnotePr>
      <w:pgSz w:w="11906" w:h="16838"/>
      <w:pgMar w:top="1008" w:right="567" w:bottom="1135" w:left="1701" w:header="560" w:footer="69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0C8F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endnote>
  <w:endnote w:type="continuationSeparator" w:id="0">
    <w:p w14:paraId="073EA1FA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F837" w14:textId="77777777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A686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separator/>
      </w:r>
    </w:p>
  </w:footnote>
  <w:footnote w:type="continuationSeparator" w:id="0">
    <w:p w14:paraId="47693B2D" w14:textId="77777777">
      <w:pPr>
        <w:widowControl w:val="0"/>
        <w:suppressAutoHyphens/>
        <w:rPr>
          <w:rFonts w:ascii="Thorndale" w:eastAsia="HG Mincho Light J" w:hAnsi="Thorndale"/>
          <w:color w:val="000000"/>
          <w:szCs w:val="24"/>
          <w:lang w:eastAsia="lt-LT"/>
        </w:rPr>
      </w:pPr>
      <w:r>
        <w:rPr>
          <w:rFonts w:ascii="Thorndale" w:eastAsia="HG Mincho Light J" w:hAnsi="Thorndale"/>
          <w:color w:val="000000"/>
          <w:szCs w:val="24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81A"/>
  <w15:docId w15:val="{A8A3F8BA-19DF-41BA-B9F2-84E8DB94782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7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1007</Characters>
  <Application>Microsoft Office Word</Application>
  <DocSecurity>4</DocSecurity>
  <Lines>32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2022-03-31T09:03:00Z</dcterms:created>
  <dc:creator>Violeta Valančienė</dc:creator>
  <lastModifiedBy>adlibuser</lastModifiedBy>
  <lastPrinted>2017-03-27T11:20:00Z</lastPrinted>
  <dcterms:modified xsi:type="dcterms:W3CDTF">2022-03-31T09:03:00Z</dcterms:modified>
  <revision>2</revision>
</coreProperties>
</file>