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6969d9cee27497aba2a47622892590d"/>
        <w:lock w:val="sdtLocked"/>
        <w:richText/>
      </w:sdtPr>
      <w:sdtContent>
        <w:p>
          <w:pPr>
            <w:tabs>
              <w:tab w:val="center" w:pos="4819"/>
              <w:tab w:val="right" w:pos="9638"/>
            </w:tabs>
            <w:rPr>
              <w:rFonts w:eastAsia="Arial Unicode MS"/>
              <w:szCs w:val="24"/>
            </w:rPr>
          </w:pPr>
        </w:p>
        <w:p>
          <w:pPr>
            <w:ind w:left="6480" w:firstLine="2167"/>
            <w:jc w:val="both"/>
            <w:rPr>
              <w:b/>
              <w:szCs w:val="24"/>
            </w:rPr>
          </w:pPr>
          <w:r>
            <w:rPr>
              <w:b/>
              <w:szCs w:val="24"/>
            </w:rPr>
            <w:t>Projektas</w:t>
          </w:r>
        </w:p>
        <w:p>
          <w:pPr>
            <w:ind w:firstLine="720"/>
            <w:jc w:val="both"/>
            <w:rPr>
              <w:b/>
              <w:szCs w:val="24"/>
            </w:rPr>
          </w:pPr>
        </w:p>
        <w:p>
          <w:pPr>
            <w:ind w:firstLine="720"/>
            <w:jc w:val="center"/>
            <w:rPr>
              <w:b/>
              <w:szCs w:val="24"/>
            </w:rPr>
          </w:pPr>
          <w:r>
            <w:rPr>
              <w:b/>
              <w:szCs w:val="24"/>
            </w:rPr>
            <w:t>LIETUVOS RESPUBLIKOS</w:t>
          </w:r>
        </w:p>
        <w:p>
          <w:pPr>
            <w:ind w:firstLine="720"/>
            <w:jc w:val="center"/>
            <w:rPr>
              <w:b/>
              <w:szCs w:val="24"/>
            </w:rPr>
          </w:pPr>
          <w:r>
            <w:rPr>
              <w:b/>
              <w:szCs w:val="24"/>
            </w:rPr>
            <w:t>KRAŠTO APSAUGOS SISTEMOS ORGANIZAVIMO IR KARO TARNYBOS ĮSTATYMO NR.</w:t>
          </w:r>
          <w:r>
            <w:rPr>
              <w:rFonts w:eastAsia="Calibri"/>
              <w:b/>
              <w:color w:val="000000"/>
              <w:szCs w:val="24"/>
              <w:shd w:val="clear" w:color="auto" w:fill="FFFFFF"/>
            </w:rPr>
            <w:t xml:space="preserve"> VIII-723 65, </w:t>
          </w:r>
          <w:r>
            <w:rPr>
              <w:b/>
              <w:szCs w:val="24"/>
            </w:rPr>
            <w:t>66, 67, 68,70 IR 72 STRAIPSNIŲ PAKEITIMO</w:t>
          </w:r>
        </w:p>
        <w:p>
          <w:pPr>
            <w:ind w:firstLine="720"/>
            <w:jc w:val="center"/>
            <w:rPr>
              <w:b/>
              <w:szCs w:val="24"/>
            </w:rPr>
          </w:pPr>
          <w:r>
            <w:rPr>
              <w:b/>
              <w:szCs w:val="24"/>
            </w:rPr>
            <w:t>ĮSTATYMAS</w:t>
          </w:r>
        </w:p>
        <w:p>
          <w:pPr>
            <w:ind w:firstLine="720"/>
            <w:jc w:val="both"/>
            <w:rPr>
              <w:szCs w:val="24"/>
            </w:rPr>
          </w:pPr>
        </w:p>
        <w:p>
          <w:pPr>
            <w:jc w:val="center"/>
            <w:rPr>
              <w:rFonts w:ascii="TimesLT" w:hAnsi="TimesLT"/>
              <w:szCs w:val="24"/>
            </w:rPr>
          </w:pPr>
          <w:r>
            <w:rPr>
              <w:rFonts w:ascii="TimesLT" w:hAnsi="TimesLT"/>
              <w:szCs w:val="24"/>
            </w:rPr>
            <w:t xml:space="preserve">2015 m.                            d. Nr. </w:t>
          </w:r>
        </w:p>
        <w:p>
          <w:pPr>
            <w:ind w:firstLine="709"/>
            <w:jc w:val="center"/>
            <w:rPr>
              <w:rFonts w:ascii="TimesLT" w:hAnsi="TimesLT"/>
              <w:szCs w:val="24"/>
            </w:rPr>
          </w:pPr>
          <w:r>
            <w:rPr>
              <w:rFonts w:ascii="TimesLT" w:hAnsi="TimesLT"/>
              <w:szCs w:val="24"/>
            </w:rPr>
            <w:t>Vilnius</w:t>
          </w:r>
        </w:p>
        <w:p>
          <w:pPr>
            <w:ind w:firstLine="709"/>
            <w:jc w:val="both"/>
            <w:rPr>
              <w:szCs w:val="24"/>
            </w:rPr>
          </w:pPr>
        </w:p>
        <w:p>
          <w:pPr>
            <w:rPr>
              <w:rFonts w:eastAsia="Calibri"/>
              <w:b/>
              <w:szCs w:val="24"/>
            </w:rPr>
          </w:pPr>
        </w:p>
        <w:sdt>
          <w:sdtPr>
            <w:alias w:val="1 str."/>
            <w:tag w:val="part_ded2f075c72b4ed4945452844e187cb2"/>
            <w:lock w:val="sdtLocked"/>
            <w:richText/>
          </w:sdtPr>
          <w:sdtContent>
            <w:p>
              <w:pPr>
                <w:ind w:firstLine="709"/>
                <w:jc w:val="both"/>
                <w:rPr>
                  <w:b/>
                  <w:szCs w:val="24"/>
                </w:rPr>
              </w:pPr>
              <w:sdt>
                <w:sdtPr>
                  <w:alias w:val="Numeris"/>
                  <w:tag w:val="nr_ded2f075c72b4ed4945452844e187cb2"/>
                  <w:lock w:val="sdtLocked"/>
                  <w:richText/>
                </w:sdtPr>
                <w:sdtContent>
                  <w:r>
                    <w:rPr>
                      <w:b/>
                      <w:szCs w:val="24"/>
                    </w:rPr>
                    <w:t>1</w:t>
                  </w:r>
                </w:sdtContent>
              </w:sdt>
              <w:r>
                <w:rPr>
                  <w:b/>
                  <w:szCs w:val="24"/>
                </w:rPr>
                <w:t xml:space="preserve"> straipsnis. </w:t>
              </w:r>
              <w:sdt>
                <w:sdtPr>
                  <w:alias w:val="Pavadinimas"/>
                  <w:tag w:val="title_ded2f075c72b4ed4945452844e187cb2"/>
                  <w:lock w:val="sdtLocked"/>
                  <w:richText/>
                </w:sdtPr>
                <w:sdtContent>
                  <w:r>
                    <w:rPr>
                      <w:b/>
                      <w:szCs w:val="24"/>
                    </w:rPr>
                    <w:t>65 straipsnio pakeitimas</w:t>
                  </w:r>
                </w:sdtContent>
              </w:sdt>
            </w:p>
            <w:sdt>
              <w:sdtPr>
                <w:alias w:val="1 str. 1 d."/>
                <w:tag w:val="part_84e05df4d5d94376a6a3e1cf6532f6ba"/>
                <w:lock w:val="sdtLocked"/>
                <w:richText/>
              </w:sdtPr>
              <w:sdtContent>
                <w:p>
                  <w:pPr>
                    <w:ind w:firstLine="709"/>
                    <w:jc w:val="both"/>
                    <w:rPr>
                      <w:szCs w:val="24"/>
                    </w:rPr>
                  </w:pPr>
                  <w:r>
                    <w:rPr>
                      <w:szCs w:val="24"/>
                    </w:rPr>
                    <w:t>Pakeisti 65 straipsnio 1 dalies 2 punktą ir jį išdėstyti taip:</w:t>
                  </w:r>
                </w:p>
                <w:sdt>
                  <w:sdtPr>
                    <w:alias w:val="citata"/>
                    <w:tag w:val="part_1b095275bd8c462fa7a22c59e71a6373"/>
                    <w:lock w:val="sdtLocked"/>
                    <w:richText/>
                  </w:sdtPr>
                  <w:sdtContent>
                    <w:sdt>
                      <w:sdtPr>
                        <w:alias w:val="2 p."/>
                        <w:tag w:val="part_f9557d9fa4f64efabafc97d3e1fea369"/>
                        <w:lock w:val="sdtLocked"/>
                        <w:richText/>
                      </w:sdtPr>
                      <w:sdtContent>
                        <w:p>
                          <w:pPr>
                            <w:ind w:firstLine="709"/>
                            <w:jc w:val="both"/>
                            <w:rPr>
                              <w:szCs w:val="24"/>
                            </w:rPr>
                          </w:pPr>
                          <w:r>
                            <w:rPr>
                              <w:szCs w:val="24"/>
                            </w:rPr>
                            <w:t>„</w:t>
                          </w:r>
                          <w:sdt>
                            <w:sdtPr>
                              <w:alias w:val="Numeris"/>
                              <w:tag w:val="nr_f9557d9fa4f64efabafc97d3e1fea369"/>
                              <w:lock w:val="sdtLocked"/>
                              <w:richText/>
                            </w:sdtPr>
                            <w:sdtContent>
                              <w:r>
                                <w:rPr>
                                  <w:rFonts w:eastAsia="Arial Unicode MS"/>
                                  <w:szCs w:val="24"/>
                                </w:rPr>
                                <w:t>2</w:t>
                              </w:r>
                            </w:sdtContent>
                          </w:sdt>
                          <w:r>
                            <w:rPr>
                              <w:rFonts w:eastAsia="Arial Unicode MS"/>
                              <w:szCs w:val="24"/>
                            </w:rPr>
                            <w:t>) kariams savanoriams, kitiems aktyviojo rezervo kariams ir parengtojo rezervo kariams po tarnybos, pratybų ar mokymų, privalomosios karo tarnybos kariams, atlikusiems nuolatinę privalomąją pradinę karo tarnybą ar baigusiems bazinius karinius mokymus arba paleistiems iš šių tarnybų, jeigu sveikatos sutrikimas atsirado dėl su kario tarnyba susijusių priežasčių, kurių nustatymo tvarką nustato krašto apsaugos ministras;“.</w:t>
                          </w:r>
                        </w:p>
                        <w:p>
                          <w:pPr>
                            <w:ind w:firstLine="709"/>
                            <w:jc w:val="both"/>
                            <w:rPr>
                              <w:b/>
                              <w:szCs w:val="24"/>
                            </w:rPr>
                          </w:pPr>
                        </w:p>
                      </w:sdtContent>
                    </w:sdt>
                  </w:sdtContent>
                </w:sdt>
              </w:sdtContent>
            </w:sdt>
          </w:sdtContent>
        </w:sdt>
        <w:sdt>
          <w:sdtPr>
            <w:alias w:val="2 str."/>
            <w:tag w:val="part_caa7217de57f4970a21d7b0184383a3b"/>
            <w:lock w:val="sdtLocked"/>
            <w:richText/>
          </w:sdtPr>
          <w:sdtContent>
            <w:p>
              <w:pPr>
                <w:ind w:firstLine="709"/>
                <w:jc w:val="both"/>
                <w:rPr>
                  <w:b/>
                  <w:szCs w:val="24"/>
                </w:rPr>
              </w:pPr>
              <w:sdt>
                <w:sdtPr>
                  <w:alias w:val="Numeris"/>
                  <w:tag w:val="nr_caa7217de57f4970a21d7b0184383a3b"/>
                  <w:lock w:val="sdtLocked"/>
                  <w:richText/>
                </w:sdtPr>
                <w:sdtContent>
                  <w:r>
                    <w:rPr>
                      <w:b/>
                      <w:szCs w:val="24"/>
                    </w:rPr>
                    <w:t>2</w:t>
                  </w:r>
                </w:sdtContent>
              </w:sdt>
              <w:r>
                <w:rPr>
                  <w:b/>
                  <w:szCs w:val="24"/>
                </w:rPr>
                <w:t xml:space="preserve"> straipsnis. </w:t>
              </w:r>
              <w:sdt>
                <w:sdtPr>
                  <w:alias w:val="Pavadinimas"/>
                  <w:tag w:val="title_caa7217de57f4970a21d7b0184383a3b"/>
                  <w:lock w:val="sdtLocked"/>
                  <w:richText/>
                </w:sdtPr>
                <w:sdtContent>
                  <w:r>
                    <w:rPr>
                      <w:b/>
                      <w:szCs w:val="24"/>
                    </w:rPr>
                    <w:t>66 straipsnio pakeitimas</w:t>
                  </w:r>
                </w:sdtContent>
              </w:sdt>
            </w:p>
            <w:sdt>
              <w:sdtPr>
                <w:alias w:val="2 str. 1 d."/>
                <w:tag w:val="part_688d2b05d7a0470ea6139308f27e229d"/>
                <w:lock w:val="sdtLocked"/>
                <w:richText/>
              </w:sdtPr>
              <w:sdtContent>
                <w:p>
                  <w:pPr>
                    <w:ind w:firstLine="709"/>
                    <w:jc w:val="both"/>
                    <w:rPr>
                      <w:szCs w:val="24"/>
                    </w:rPr>
                  </w:pPr>
                  <w:r>
                    <w:rPr>
                      <w:szCs w:val="24"/>
                    </w:rPr>
                    <w:t>Pakeisti 66 straipsnį ir jį išdėstyti taip:</w:t>
                  </w:r>
                </w:p>
                <w:sdt>
                  <w:sdtPr>
                    <w:alias w:val="citata"/>
                    <w:tag w:val="part_45fbdbfa29844664b4cfab75649e8e27"/>
                    <w:lock w:val="sdtLocked"/>
                    <w:richText/>
                  </w:sdtPr>
                  <w:sdtContent>
                    <w:sdt>
                      <w:sdtPr>
                        <w:alias w:val="66 str."/>
                        <w:tag w:val="part_0e9a3f99704249c68346e1d7917f7da5"/>
                        <w:lock w:val="sdtLocked"/>
                        <w:richText/>
                      </w:sdtPr>
                      <w:sdtContent>
                        <w:p>
                          <w:pPr>
                            <w:ind w:firstLine="709"/>
                            <w:jc w:val="both"/>
                            <w:rPr>
                              <w:szCs w:val="24"/>
                            </w:rPr>
                          </w:pPr>
                          <w:r>
                            <w:rPr>
                              <w:szCs w:val="24"/>
                            </w:rPr>
                            <w:t>„</w:t>
                          </w:r>
                          <w:sdt>
                            <w:sdtPr>
                              <w:alias w:val="Numeris"/>
                              <w:tag w:val="nr_0e9a3f99704249c68346e1d7917f7da5"/>
                              <w:lock w:val="sdtLocked"/>
                              <w:richText/>
                            </w:sdtPr>
                            <w:sdtContent>
                              <w:r>
                                <w:rPr>
                                  <w:b/>
                                  <w:szCs w:val="24"/>
                                </w:rPr>
                                <w:t>66</w:t>
                              </w:r>
                            </w:sdtContent>
                          </w:sdt>
                          <w:r>
                            <w:rPr>
                              <w:b/>
                              <w:szCs w:val="24"/>
                            </w:rPr>
                            <w:t xml:space="preserve"> straipsnis. </w:t>
                          </w:r>
                          <w:sdt>
                            <w:sdtPr>
                              <w:alias w:val="Pavadinimas"/>
                              <w:tag w:val="title_0e9a3f99704249c68346e1d7917f7da5"/>
                              <w:lock w:val="sdtLocked"/>
                              <w:richText/>
                            </w:sdtPr>
                            <w:sdtContent>
                              <w:r>
                                <w:rPr>
                                  <w:b/>
                                  <w:szCs w:val="24"/>
                                </w:rPr>
                                <w:t>Karių socialinis draudimas</w:t>
                              </w:r>
                            </w:sdtContent>
                          </w:sdt>
                        </w:p>
                        <w:sdt>
                          <w:sdtPr>
                            <w:alias w:val="66 str. 1 d."/>
                            <w:tag w:val="part_44a2610e6d4046c899c4c2614fd9b8f0"/>
                            <w:lock w:val="sdtLocked"/>
                            <w:richText/>
                          </w:sdtPr>
                          <w:sdtContent>
                            <w:p>
                              <w:pPr>
                                <w:ind w:firstLine="709"/>
                                <w:jc w:val="both"/>
                                <w:rPr>
                                  <w:szCs w:val="24"/>
                                  <w:lang w:eastAsia="lt-LT"/>
                                </w:rPr>
                              </w:pPr>
                              <w:r>
                                <w:rPr>
                                  <w:szCs w:val="24"/>
                                  <w:lang w:eastAsia="lt-LT"/>
                                </w:rPr>
                                <w:t>Kariai draudžiami Lietuvos Respublikos valstybinio socialinio draudimo įstatyme nurodytomis socialinio draudimo rūšimis. Draudimo tvarką ir sąlygas nustato atskiras socialinio draudimo rūšis reglamentuojantys teisės aktai.“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p>
                          </w:sdtContent>
                        </w:sdt>
                      </w:sdtContent>
                    </w:sdt>
                  </w:sdtContent>
                </w:sdt>
              </w:sdtContent>
            </w:sdt>
          </w:sdtContent>
        </w:sdt>
        <w:sdt>
          <w:sdtPr>
            <w:alias w:val="3 str."/>
            <w:tag w:val="part_e9032923c5ae43399e8a8de4186ebe4d"/>
            <w:lock w:val="sdtLocked"/>
            <w:richText/>
          </w:sdtPr>
          <w:sdtContent>
            <w:p>
              <w:pPr>
                <w:ind w:firstLine="709"/>
                <w:jc w:val="both"/>
                <w:rPr>
                  <w:b/>
                  <w:szCs w:val="24"/>
                </w:rPr>
              </w:pPr>
              <w:sdt>
                <w:sdtPr>
                  <w:alias w:val="Numeris"/>
                  <w:tag w:val="nr_e9032923c5ae43399e8a8de4186ebe4d"/>
                  <w:lock w:val="sdtLocked"/>
                  <w:richText/>
                </w:sdtPr>
                <w:sdtContent>
                  <w:r>
                    <w:rPr>
                      <w:b/>
                      <w:szCs w:val="24"/>
                    </w:rPr>
                    <w:t>3</w:t>
                  </w:r>
                </w:sdtContent>
              </w:sdt>
              <w:r>
                <w:rPr>
                  <w:b/>
                  <w:szCs w:val="24"/>
                </w:rPr>
                <w:t xml:space="preserve"> straipsnis. </w:t>
              </w:r>
              <w:sdt>
                <w:sdtPr>
                  <w:alias w:val="Pavadinimas"/>
                  <w:tag w:val="title_e9032923c5ae43399e8a8de4186ebe4d"/>
                  <w:lock w:val="sdtLocked"/>
                  <w:richText/>
                </w:sdtPr>
                <w:sdtContent>
                  <w:r>
                    <w:rPr>
                      <w:b/>
                      <w:szCs w:val="24"/>
                    </w:rPr>
                    <w:t>67 straipsnio pakeitimas</w:t>
                  </w:r>
                </w:sdtContent>
              </w:sdt>
            </w:p>
            <w:sdt>
              <w:sdtPr>
                <w:alias w:val="3 str. 1 d."/>
                <w:tag w:val="part_b6f52fd7534449ea9a4b0b4031c38694"/>
                <w:lock w:val="sdtLocked"/>
                <w:richText/>
              </w:sdtPr>
              <w:sdtContent>
                <w:p>
                  <w:pPr>
                    <w:ind w:firstLine="709"/>
                    <w:jc w:val="both"/>
                    <w:rPr>
                      <w:szCs w:val="24"/>
                    </w:rPr>
                  </w:pPr>
                  <w:r>
                    <w:rPr>
                      <w:szCs w:val="24"/>
                    </w:rPr>
                    <w:t>Pakeisti 67 straipsnio 1 dalį ir ją išdėstyti taip:</w:t>
                  </w:r>
                </w:p>
                <w:sdt>
                  <w:sdtPr>
                    <w:alias w:val="citata"/>
                    <w:tag w:val="part_e7e4492b9df24fbb814853c3a68ff23e"/>
                    <w:lock w:val="sdtLocked"/>
                    <w:richText/>
                  </w:sdtPr>
                  <w:sdtContent>
                    <w:sdt>
                      <w:sdtPr>
                        <w:alias w:val="1 d."/>
                        <w:tag w:val="part_99d48f4b154d4d0ba9e47d99c91611a1"/>
                        <w:lock w:val="sdtLocked"/>
                        <w:richText/>
                      </w:sdtPr>
                      <w:sdtContent>
                        <w:p>
                          <w:pPr>
                            <w:ind w:firstLine="709"/>
                            <w:jc w:val="both"/>
                            <w:rPr>
                              <w:szCs w:val="24"/>
                            </w:rPr>
                          </w:pPr>
                          <w:r>
                            <w:rPr>
                              <w:szCs w:val="24"/>
                            </w:rPr>
                            <w:t>„</w:t>
                          </w:r>
                          <w:sdt>
                            <w:sdtPr>
                              <w:alias w:val="Numeris"/>
                              <w:tag w:val="nr_99d48f4b154d4d0ba9e47d99c91611a1"/>
                              <w:lock w:val="sdtLocked"/>
                              <w:richText/>
                            </w:sdtPr>
                            <w:sdtContent>
                              <w:r>
                                <w:rPr>
                                  <w:rFonts w:eastAsia="Arial Unicode MS"/>
                                  <w:color w:val="000000"/>
                                  <w:szCs w:val="24"/>
                                </w:rPr>
                                <w:t>1</w:t>
                              </w:r>
                            </w:sdtContent>
                          </w:sdt>
                          <w:r>
                            <w:rPr>
                              <w:rFonts w:eastAsia="Arial Unicode MS"/>
                              <w:color w:val="000000"/>
                              <w:szCs w:val="24"/>
                            </w:rPr>
                            <w:t xml:space="preserve">. </w:t>
                          </w:r>
                          <w:r>
                            <w:rPr>
                              <w:rFonts w:eastAsia="Arial Unicode MS"/>
                              <w:szCs w:val="24"/>
                            </w:rPr>
                            <w:t>K</w:t>
                          </w:r>
                          <w:r>
                            <w:rPr>
                              <w:rFonts w:eastAsia="Arial Unicode MS"/>
                              <w:color w:val="000000"/>
                              <w:szCs w:val="24"/>
                            </w:rPr>
                            <w:t>ariui žuvus (mirus) ar sutrikus jo sveikatai d</w:t>
                          </w:r>
                          <w:r>
                            <w:rPr>
                              <w:rFonts w:eastAsia="Arial Unicode MS"/>
                              <w:szCs w:val="24"/>
                            </w:rPr>
                            <w:t xml:space="preserve">ėl priežasčių, susijusių su tarnybinių pareigų vykdymu ar kario statusu, išmokama šio straipsnio nustatytomis sąlygomis ir tvarka šio straipsnio 5, 6, 7, 8, 9, 10, 11 ir 12 dalyse nustatyto dydžio vienkartinė kompensacija iš Krašto apsaugos ministerijai skirtų </w:t>
                          </w:r>
                          <w:r>
                            <w:rPr>
                              <w:rFonts w:eastAsia="Arial Unicode MS"/>
                              <w:color w:val="000000"/>
                              <w:szCs w:val="24"/>
                            </w:rPr>
                            <w:t xml:space="preserve">asignavimų. Šio straipsnio 5, 6, 7, 8, 9, 10, 11 dalyse nustatyta kompensacija mažinama </w:t>
                          </w:r>
                          <w:r>
                            <w:rPr>
                              <w:szCs w:val="24"/>
                            </w:rPr>
                            <w:t>priklausančios išmokėti Lietuvos Respublikos nelaimingų atsitikimų darbe ir profesinių ligų socialinio draudimo įstatyme nustatytos netekto darbingumo vienkartinės kompensacijos ar netekto darbingumo periodinės kompensacijos, mokėtinos ne daugiau kaip 12 mėnesių, dydžiu. Šio straipsnio 12 dalyje nustatyta vienkartinė kompensacija mažinama priklausančios išmokėti Lietuvos Respublikos nelaimingų atsitikimų darbe ir profesinių ligų socialinio draudimo įstatyme nustatytos vienkartinės socialinio draudimo išmokos apdraustajam mirus dydžiu.“</w:t>
                          </w:r>
                        </w:p>
                        <w:p>
                          <w:pPr>
                            <w:ind w:firstLine="709"/>
                            <w:jc w:val="both"/>
                            <w:rPr>
                              <w:szCs w:val="24"/>
                            </w:rPr>
                          </w:pPr>
                        </w:p>
                      </w:sdtContent>
                    </w:sdt>
                  </w:sdtContent>
                </w:sdt>
              </w:sdtContent>
            </w:sdt>
          </w:sdtContent>
        </w:sdt>
        <w:sdt>
          <w:sdtPr>
            <w:alias w:val="4 str."/>
            <w:tag w:val="part_8c50d731579b44cb91af56dea3275880"/>
            <w:lock w:val="sdtLocked"/>
            <w:richText/>
          </w:sdtPr>
          <w:sdtContent>
            <w:p>
              <w:pPr>
                <w:ind w:firstLine="709"/>
                <w:jc w:val="both"/>
                <w:rPr>
                  <w:b/>
                  <w:szCs w:val="24"/>
                </w:rPr>
              </w:pPr>
              <w:sdt>
                <w:sdtPr>
                  <w:alias w:val="Numeris"/>
                  <w:tag w:val="nr_8c50d731579b44cb91af56dea3275880"/>
                  <w:lock w:val="sdtLocked"/>
                  <w:richText/>
                </w:sdtPr>
                <w:sdtContent>
                  <w:r>
                    <w:rPr>
                      <w:b/>
                      <w:szCs w:val="24"/>
                    </w:rPr>
                    <w:t>4</w:t>
                  </w:r>
                </w:sdtContent>
              </w:sdt>
              <w:r>
                <w:rPr>
                  <w:b/>
                  <w:szCs w:val="24"/>
                </w:rPr>
                <w:t xml:space="preserve"> straipsnis. </w:t>
              </w:r>
              <w:sdt>
                <w:sdtPr>
                  <w:alias w:val="Pavadinimas"/>
                  <w:tag w:val="title_8c50d731579b44cb91af56dea3275880"/>
                  <w:lock w:val="sdtLocked"/>
                  <w:richText/>
                </w:sdtPr>
                <w:sdtContent>
                  <w:r>
                    <w:rPr>
                      <w:b/>
                      <w:szCs w:val="24"/>
                    </w:rPr>
                    <w:t>68 straipsnio pakeitimas</w:t>
                  </w:r>
                </w:sdtContent>
              </w:sdt>
            </w:p>
            <w:sdt>
              <w:sdtPr>
                <w:alias w:val="4 str. 1 d."/>
                <w:tag w:val="part_3798f91dcaab4778813b7a8eebd7445c"/>
                <w:lock w:val="sdtLocked"/>
                <w:richText/>
              </w:sdtPr>
              <w:sdtContent>
                <w:p>
                  <w:pPr>
                    <w:ind w:firstLine="709"/>
                    <w:jc w:val="both"/>
                    <w:rPr>
                      <w:szCs w:val="24"/>
                    </w:rPr>
                  </w:pPr>
                  <w:r>
                    <w:rPr>
                      <w:szCs w:val="24"/>
                    </w:rPr>
                    <w:t>Pakeisti 68 straipsnį ir jį išdėstyti taip:</w:t>
                  </w:r>
                </w:p>
                <w:sdt>
                  <w:sdtPr>
                    <w:alias w:val="citata"/>
                    <w:tag w:val="part_c8f97d77b3fc4463853bb30edd188c38"/>
                    <w:lock w:val="sdtLocked"/>
                    <w:richText/>
                  </w:sdtPr>
                  <w:sdtContent>
                    <w:sdt>
                      <w:sdtPr>
                        <w:alias w:val="68 str."/>
                        <w:tag w:val="part_9e5e7219506d41b99b343114dac38a7c"/>
                        <w:lock w:val="sdtLocked"/>
                        <w:richText/>
                      </w:sdtPr>
                      <w:sdtContent>
                        <w:p>
                          <w:pPr>
                            <w:ind w:firstLine="709"/>
                            <w:jc w:val="both"/>
                            <w:rPr>
                              <w:color w:val="000000"/>
                              <w:szCs w:val="24"/>
                            </w:rPr>
                          </w:pPr>
                          <w:r>
                            <w:rPr>
                              <w:szCs w:val="24"/>
                            </w:rPr>
                            <w:t>„</w:t>
                          </w:r>
                          <w:sdt>
                            <w:sdtPr>
                              <w:alias w:val="Numeris"/>
                              <w:tag w:val="nr_9e5e7219506d41b99b343114dac38a7c"/>
                              <w:lock w:val="sdtLocked"/>
                              <w:richText/>
                            </w:sdtPr>
                            <w:sdtContent>
                              <w:r>
                                <w:rPr>
                                  <w:b/>
                                  <w:color w:val="000000"/>
                                  <w:szCs w:val="24"/>
                                </w:rPr>
                                <w:t>68</w:t>
                              </w:r>
                            </w:sdtContent>
                          </w:sdt>
                          <w:r>
                            <w:rPr>
                              <w:b/>
                              <w:color w:val="000000"/>
                              <w:szCs w:val="24"/>
                            </w:rPr>
                            <w:t xml:space="preserve"> straipsnis. </w:t>
                          </w:r>
                          <w:sdt>
                            <w:sdtPr>
                              <w:alias w:val="Pavadinimas"/>
                              <w:tag w:val="title_9e5e7219506d41b99b343114dac38a7c"/>
                              <w:lock w:val="sdtLocked"/>
                              <w:richText/>
                            </w:sdtPr>
                            <w:sdtContent>
                              <w:r>
                                <w:rPr>
                                  <w:b/>
                                  <w:color w:val="000000"/>
                                  <w:szCs w:val="24"/>
                                </w:rPr>
                                <w:t>Socialinės ir kitos su karo tarnyba susijusios garantijos</w:t>
                              </w:r>
                            </w:sdtContent>
                          </w:sdt>
                        </w:p>
                        <w:sdt>
                          <w:sdtPr>
                            <w:alias w:val="68 str. 1 d."/>
                            <w:tag w:val="part_2c8c456310434d499707005b6376999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c8c456310434d499707005b63769990"/>
                                  <w:lock w:val="sdtLocked"/>
                                  <w:richText/>
                                </w:sdtPr>
                                <w:sdtContent>
                                  <w:r>
                                    <w:rPr>
                                      <w:szCs w:val="24"/>
                                      <w:lang w:eastAsia="lt-LT"/>
                                    </w:rPr>
                                    <w:t>1</w:t>
                                  </w:r>
                                </w:sdtContent>
                              </w:sdt>
                              <w:r>
                                <w:rPr>
                                  <w:szCs w:val="24"/>
                                  <w:lang w:eastAsia="lt-LT"/>
                                </w:rPr>
                                <w:t>. Iš Krašto apsaugos ministerijai skiriamų biudžeto asignavimų kariams taikomos šio ir kitų įstatymų nustatytos su karo tarnyba susijusios socialinės ir kitokios garantijos bei jų suteikimo tvarka. Šiuo atveju netaikomi įstatymai, nustatantys socialines garantijas valstybės tarnautojams ir kitiems civiliams darbuotojams. Garantijos kariui taikomos pagal kitus įstatymus, jeigu šis įstatymas nenustato kitaip.</w:t>
                              </w:r>
                            </w:p>
                          </w:sdtContent>
                        </w:sdt>
                        <w:sdt>
                          <w:sdtPr>
                            <w:alias w:val="68 str. 2 d."/>
                            <w:tag w:val="part_c5e11d0d473a46d5baec4b47836c92f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c5e11d0d473a46d5baec4b47836c92f1"/>
                                  <w:lock w:val="sdtLocked"/>
                                  <w:richText/>
                                </w:sdtPr>
                                <w:sdtContent>
                                  <w:r>
                                    <w:rPr>
                                      <w:szCs w:val="24"/>
                                      <w:lang w:eastAsia="lt-LT"/>
                                    </w:rPr>
                                    <w:t>2</w:t>
                                  </w:r>
                                </w:sdtContent>
                              </w:sdt>
                              <w:r>
                                <w:rPr>
                                  <w:szCs w:val="24"/>
                                  <w:lang w:eastAsia="lt-LT"/>
                                </w:rPr>
                                <w:t>. Profesinės karo tarnybos kariams, taip pat kariams savanoriams, kitiems aktyviojo rezervo kariams, parengtojo rezervo kariams, pašauktiems į pratybas, mokymus ar vykdyti tarnybos užduočių, – kai jie tapo laikinai nedarbingi dėl tarnybinių pareigų atlikimo (kai šie kariai tampa laikinai nedarbingas ne dėl nelaimingo atsitikimo tarnyboje, nelaimingo atsitikimo vykstant į tarnybą ar grįžtant iš jos), iš krašto apsaugos sistemos institucijos, kurioje jie tarnauja, lėšų Vyriausybės nustatyta tvarka kompensuojamas vidutinio jų darbo užmokesčio ir gautos ligos išmokos skirtumas.</w:t>
                              </w:r>
                            </w:p>
                          </w:sdtContent>
                        </w:sdt>
                        <w:sdt>
                          <w:sdtPr>
                            <w:alias w:val="68 str. 3 d."/>
                            <w:tag w:val="part_c675958c104e42e2b56ad57eab98a0c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675958c104e42e2b56ad57eab98a0c4"/>
                                  <w:lock w:val="sdtLocked"/>
                                  <w:richText/>
                                </w:sdtPr>
                                <w:sdtContent>
                                  <w:r>
                                    <w:rPr>
                                      <w:szCs w:val="24"/>
                                      <w:lang w:eastAsia="lt-LT"/>
                                    </w:rPr>
                                    <w:t>3</w:t>
                                  </w:r>
                                </w:sdtContent>
                              </w:sdt>
                              <w:r>
                                <w:rPr>
                                  <w:szCs w:val="24"/>
                                  <w:lang w:eastAsia="lt-LT"/>
                                </w:rPr>
                                <w:t>. Karo prievolininkams, nurodytiems šio įstatymo 65 straipsnio 1 dalies 2 punkte, tapusiems laikinai nedarbingiems (išskyrus laikinąjį nedarbingumą dėl nelaimingo atsitikimo darbe (tarnyboje)) pratybų, mokymų arba kitų tarnybos užduočių vykdymo metu ir neįgijusiems teisės į ligos išmoką pagal Lietuvos Respublikos ligos ir motinystės socialinio draudimo įstatymą, laikinojo nedarbingumo laikotarpiu, tačiau ne ilgiau kaip 4 mėnesius, iš Krašto apsaugos ministerijai skirtų lėšų mokama Lietuvos Respublikos ligos ir motinystės socialinio draudimo įstatyme nustatyto dydžio ligos išmoka, taikant šiame įstatyme nustatytą maksimalaus kompensuojamojo uždarbio dydį. Karo prievolininkams, baigusiems nuolatinę privalomąją karo tarnybą ar bazinius karinius mokymus arba paleistiems iš šių tarnybų, ši pašalpa mokama nuo Vyriausybės patvirtintos minimaliosios mėnesinės algos.</w:t>
                              </w:r>
                            </w:p>
                          </w:sdtContent>
                        </w:sdt>
                        <w:sdt>
                          <w:sdtPr>
                            <w:alias w:val="68 str. 4 d."/>
                            <w:tag w:val="part_499ea2f28670416e9f1545cc0140749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99ea2f28670416e9f1545cc01407497"/>
                                  <w:lock w:val="sdtLocked"/>
                                  <w:richText/>
                                </w:sdtPr>
                                <w:sdtContent>
                                  <w:r>
                                    <w:rPr>
                                      <w:szCs w:val="24"/>
                                      <w:lang w:eastAsia="lt-LT"/>
                                    </w:rPr>
                                    <w:t>4</w:t>
                                  </w:r>
                                </w:sdtContent>
                              </w:sdt>
                              <w:r>
                                <w:rPr>
                                  <w:szCs w:val="24"/>
                                  <w:lang w:eastAsia="lt-LT"/>
                                </w:rPr>
                                <w:t>. Tikrosios karo tarnybos metu su tarnyba susijusiomis aplinkybėmis žuvę (mirę) kariai laidojami valstybės lėšomis. Valstybės finansuojamų laidojimo išlaidų aprašą tvirtina Vyriausybė arba jos įgaliota institucija. Tikrosios karo tarnybos metu kariui žuvus (mirus) kitomis aplinkybėmis arba jam mirus dėl ligos, karį laidojančiam asmeniui skiriama pusės Vyriausybės nustatyto laidojimo išlaidų dydžio parama laidojimo išlaidoms iš dalies padengti.</w:t>
                              </w:r>
                            </w:p>
                          </w:sdtContent>
                        </w:sdt>
                        <w:sdt>
                          <w:sdtPr>
                            <w:alias w:val="68 str. 5 d."/>
                            <w:tag w:val="part_fa32249104bd4e2bb88f19ee02c3c7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a32249104bd4e2bb88f19ee02c3c729"/>
                                  <w:lock w:val="sdtLocked"/>
                                  <w:richText/>
                                </w:sdtPr>
                                <w:sdtContent>
                                  <w:r>
                                    <w:rPr>
                                      <w:szCs w:val="24"/>
                                      <w:lang w:eastAsia="lt-LT"/>
                                    </w:rPr>
                                    <w:t>5</w:t>
                                  </w:r>
                                </w:sdtContent>
                              </w:sdt>
                              <w:r>
                                <w:rPr>
                                  <w:szCs w:val="24"/>
                                  <w:lang w:eastAsia="lt-LT"/>
                                </w:rPr>
                                <w:t>. Kario, kuris žuvo (mirė) užsienyje su tarnyba susijusiomis aplinkybėmis, taip pat užsienyje žuvusių (mirusių) kartu su kariu užsienyje gyvenusių asmenų, nurodytų šio įstatymo 61 straipsnio 3 dalyje, palaikų pervežimo į Lietuvą išlaidas apmoka valstybė Vyriausybės nustatytomis sąlygomis ir tvarka. Karių, žuvusių (mirusių) tarnybos tarptautinės operacijos kariniame vienete, tarptautinėje operacijoje ar pasirengimo tarptautinei operacijai už Lietuvos Respublikos teritorijos ribų metu, palaikų pervežimo sąlygas ir tvarką nustato krašto apsaugos ministras.</w:t>
                              </w:r>
                            </w:p>
                          </w:sdtContent>
                        </w:sdt>
                        <w:sdt>
                          <w:sdtPr>
                            <w:alias w:val="68 str. 6 d."/>
                            <w:tag w:val="part_98514286959a4ea4827ad1a544f8e0a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8514286959a4ea4827ad1a544f8e0a1"/>
                                  <w:lock w:val="sdtLocked"/>
                                  <w:richText/>
                                </w:sdtPr>
                                <w:sdtContent>
                                  <w:r>
                                    <w:rPr>
                                      <w:szCs w:val="24"/>
                                      <w:lang w:eastAsia="lt-LT"/>
                                    </w:rPr>
                                    <w:t>6</w:t>
                                  </w:r>
                                </w:sdtContent>
                              </w:sdt>
                              <w:r>
                                <w:rPr>
                                  <w:szCs w:val="24"/>
                                  <w:lang w:eastAsia="lt-LT"/>
                                </w:rPr>
                                <w:t>. Tikrosios karo tarnybos metu dėl susijusių su tarnyba priežasčių žuvusiam arba tikrosios karo tarnybos metu dėl ligos mirusiam kariui, jeigu jo šeima (artimieji) sutinka, Krašto apsaugos ministerijos lėšomis pastatomas krašto apsaugos ministro patvirtinto pavyzdžio antkapinis paminklas. Jeigu kario artimieji palaidoja žuvusį ar mirusį karį šeimos kape ir stato kitokį nei kario paminklą, Krašto apsaugos ministerija apmoka paminklo išlaidų dalį, neviršijančią kario antkapinio paminklo vertės.“</w:t>
                              </w:r>
                            </w:p>
                            <w:p>
                              <w:pPr>
                                <w:ind w:firstLine="709"/>
                                <w:jc w:val="both"/>
                                <w:rPr>
                                  <w:szCs w:val="24"/>
                                </w:rPr>
                              </w:pPr>
                            </w:p>
                          </w:sdtContent>
                        </w:sdt>
                      </w:sdtContent>
                    </w:sdt>
                  </w:sdtContent>
                </w:sdt>
              </w:sdtContent>
            </w:sdt>
          </w:sdtContent>
        </w:sdt>
        <w:sdt>
          <w:sdtPr>
            <w:alias w:val="5 str."/>
            <w:tag w:val="part_31ef788a392645ba81cce0d835c81bf5"/>
            <w:lock w:val="sdtLocked"/>
            <w:richText/>
          </w:sdtPr>
          <w:sdtContent>
            <w:p>
              <w:pPr>
                <w:ind w:firstLine="709"/>
                <w:jc w:val="both"/>
                <w:rPr>
                  <w:b/>
                  <w:szCs w:val="24"/>
                </w:rPr>
              </w:pPr>
              <w:sdt>
                <w:sdtPr>
                  <w:alias w:val="Numeris"/>
                  <w:tag w:val="nr_31ef788a392645ba81cce0d835c81bf5"/>
                  <w:lock w:val="sdtLocked"/>
                  <w:richText/>
                </w:sdtPr>
                <w:sdtContent>
                  <w:r>
                    <w:rPr>
                      <w:b/>
                      <w:szCs w:val="24"/>
                    </w:rPr>
                    <w:t>5</w:t>
                  </w:r>
                </w:sdtContent>
              </w:sdt>
              <w:r>
                <w:rPr>
                  <w:b/>
                  <w:szCs w:val="24"/>
                </w:rPr>
                <w:t xml:space="preserve"> straipsnis. </w:t>
              </w:r>
              <w:sdt>
                <w:sdtPr>
                  <w:alias w:val="Pavadinimas"/>
                  <w:tag w:val="title_31ef788a392645ba81cce0d835c81bf5"/>
                  <w:lock w:val="sdtLocked"/>
                  <w:richText/>
                </w:sdtPr>
                <w:sdtContent>
                  <w:r>
                    <w:rPr>
                      <w:b/>
                      <w:szCs w:val="24"/>
                    </w:rPr>
                    <w:t>70 straipsnio pakeitimas</w:t>
                  </w:r>
                </w:sdtContent>
              </w:sdt>
            </w:p>
            <w:sdt>
              <w:sdtPr>
                <w:alias w:val="5 str. 1 d."/>
                <w:tag w:val="part_ca021765095e4820990c106a4b73a049"/>
                <w:lock w:val="sdtLocked"/>
                <w:richText/>
              </w:sdtPr>
              <w:sdtContent>
                <w:p>
                  <w:pPr>
                    <w:ind w:firstLine="709"/>
                    <w:jc w:val="both"/>
                    <w:rPr>
                      <w:szCs w:val="24"/>
                    </w:rPr>
                  </w:pPr>
                  <w:r>
                    <w:rPr>
                      <w:szCs w:val="24"/>
                    </w:rPr>
                    <w:t>Pakeisti 70 straipsnio 1 dalį ir ją išdėstyti taip:</w:t>
                  </w:r>
                </w:p>
                <w:sdt>
                  <w:sdtPr>
                    <w:alias w:val="citata"/>
                    <w:tag w:val="part_19fb34c271014206a6723abc83a904cc"/>
                    <w:lock w:val="sdtLocked"/>
                    <w:richText/>
                  </w:sdtPr>
                  <w:sdtContent>
                    <w:sdt>
                      <w:sdtPr>
                        <w:alias w:val="1 d."/>
                        <w:tag w:val="part_55ff0d73591f446bb568c7e5de483bda"/>
                        <w:lock w:val="sdtLocked"/>
                        <w:richText/>
                      </w:sdtPr>
                      <w:sdtContent>
                        <w:p>
                          <w:pPr>
                            <w:ind w:firstLine="709"/>
                            <w:jc w:val="both"/>
                            <w:rPr>
                              <w:szCs w:val="24"/>
                            </w:rPr>
                          </w:pPr>
                          <w:r>
                            <w:rPr>
                              <w:szCs w:val="24"/>
                            </w:rPr>
                            <w:t>„</w:t>
                          </w:r>
                          <w:sdt>
                            <w:sdtPr>
                              <w:alias w:val="Numeris"/>
                              <w:tag w:val="nr_55ff0d73591f446bb568c7e5de483bda"/>
                              <w:lock w:val="sdtLocked"/>
                              <w:richText/>
                            </w:sdtPr>
                            <w:sdtContent>
                              <w:r>
                                <w:rPr>
                                  <w:color w:val="000000"/>
                                  <w:szCs w:val="24"/>
                                </w:rPr>
                                <w:t>1</w:t>
                              </w:r>
                            </w:sdtContent>
                          </w:sdt>
                          <w:r>
                            <w:rPr>
                              <w:color w:val="000000"/>
                              <w:szCs w:val="24"/>
                            </w:rPr>
                            <w:t>. Profesinės karo tarnybos kariai, kurie yra ištarnavę įstatymo nustatytą metų skaičių ir išleisti į atsargą, įgyja teisę gauti pareigūnų ir karių valstybinę pensiją.</w:t>
                          </w:r>
                          <w:r>
                            <w:rPr>
                              <w:szCs w:val="24"/>
                            </w:rPr>
                            <w:t>“</w:t>
                          </w:r>
                        </w:p>
                        <w:p>
                          <w:pPr>
                            <w:ind w:firstLine="709"/>
                            <w:jc w:val="both"/>
                            <w:rPr>
                              <w:szCs w:val="24"/>
                            </w:rPr>
                          </w:pPr>
                        </w:p>
                      </w:sdtContent>
                    </w:sdt>
                  </w:sdtContent>
                </w:sdt>
              </w:sdtContent>
            </w:sdt>
          </w:sdtContent>
        </w:sdt>
        <w:sdt>
          <w:sdtPr>
            <w:alias w:val="6 str."/>
            <w:tag w:val="part_a1cf07472a024f36901c4a924f6a19b7"/>
            <w:lock w:val="sdtLocked"/>
            <w:richText/>
          </w:sdtPr>
          <w:sdtContent>
            <w:p>
              <w:pPr>
                <w:ind w:firstLine="709"/>
                <w:jc w:val="both"/>
                <w:rPr>
                  <w:b/>
                  <w:szCs w:val="24"/>
                </w:rPr>
              </w:pPr>
              <w:sdt>
                <w:sdtPr>
                  <w:alias w:val="Numeris"/>
                  <w:tag w:val="nr_a1cf07472a024f36901c4a924f6a19b7"/>
                  <w:lock w:val="sdtLocked"/>
                  <w:richText/>
                </w:sdtPr>
                <w:sdtContent>
                  <w:r>
                    <w:rPr>
                      <w:b/>
                      <w:szCs w:val="24"/>
                    </w:rPr>
                    <w:t>6</w:t>
                  </w:r>
                </w:sdtContent>
              </w:sdt>
              <w:r>
                <w:rPr>
                  <w:b/>
                  <w:szCs w:val="24"/>
                </w:rPr>
                <w:t xml:space="preserve"> straipsnis. </w:t>
              </w:r>
              <w:sdt>
                <w:sdtPr>
                  <w:alias w:val="Pavadinimas"/>
                  <w:tag w:val="title_a1cf07472a024f36901c4a924f6a19b7"/>
                  <w:lock w:val="sdtLocked"/>
                  <w:richText/>
                </w:sdtPr>
                <w:sdtContent>
                  <w:r>
                    <w:rPr>
                      <w:b/>
                      <w:szCs w:val="24"/>
                    </w:rPr>
                    <w:t>72 straipsnio pakeitimas</w:t>
                  </w:r>
                </w:sdtContent>
              </w:sdt>
            </w:p>
            <w:sdt>
              <w:sdtPr>
                <w:alias w:val="6 str. 1 d."/>
                <w:tag w:val="part_48f77a0d47b64dea94ce7cc14de2a11b"/>
                <w:lock w:val="sdtLocked"/>
                <w:richText/>
              </w:sdtPr>
              <w:sdtContent>
                <w:p>
                  <w:pPr>
                    <w:ind w:firstLine="709"/>
                    <w:jc w:val="both"/>
                    <w:rPr>
                      <w:szCs w:val="24"/>
                    </w:rPr>
                  </w:pPr>
                  <w:r>
                    <w:rPr>
                      <w:szCs w:val="24"/>
                    </w:rPr>
                    <w:t>Pakeisti 72 straipsnio 4 dalį ir ją išdėstyti taip:</w:t>
                  </w:r>
                </w:p>
                <w:sdt>
                  <w:sdtPr>
                    <w:alias w:val="citata"/>
                    <w:tag w:val="part_95688fb199e945fabb930172d091fcc0"/>
                    <w:lock w:val="sdtLocked"/>
                    <w:richText/>
                  </w:sdtPr>
                  <w:sdtContent>
                    <w:sdt>
                      <w:sdtPr>
                        <w:alias w:val="4 d."/>
                        <w:tag w:val="part_06954c1162dc481b8db9366613907c79"/>
                        <w:lock w:val="sdtLocked"/>
                        <w:richText/>
                      </w:sdtPr>
                      <w:sdtContent>
                        <w:p>
                          <w:pPr>
                            <w:ind w:firstLine="709"/>
                            <w:jc w:val="both"/>
                            <w:rPr>
                              <w:szCs w:val="24"/>
                            </w:rPr>
                          </w:pPr>
                          <w:r>
                            <w:rPr>
                              <w:szCs w:val="24"/>
                            </w:rPr>
                            <w:t>„</w:t>
                          </w:r>
                          <w:sdt>
                            <w:sdtPr>
                              <w:alias w:val="Numeris"/>
                              <w:tag w:val="nr_06954c1162dc481b8db9366613907c79"/>
                              <w:lock w:val="sdtLocked"/>
                              <w:richText/>
                            </w:sdtPr>
                            <w:sdtContent>
                              <w:r>
                                <w:rPr>
                                  <w:szCs w:val="24"/>
                                </w:rPr>
                                <w:t>4</w:t>
                              </w:r>
                            </w:sdtContent>
                          </w:sdt>
                          <w:r>
                            <w:rPr>
                              <w:szCs w:val="24"/>
                            </w:rPr>
                            <w:t xml:space="preserve">. Asmenis, įstojusius į civilinę krašto apsaugos tarnybą tarptautinių operacijų kariniame vienete, darbdaviai privalo atleisti nuo darbo jų rengimosi tarnybai tarptautinėse operacijose ir tarnybos tarptautinėse operacijose metu. Šiuo laikotarpiu tokius asmenis draudžiama įspėti apie darbo sutarties nutraukimą ir atleisti iš darbo, išskyrus Darbo kodekso </w:t>
                          </w:r>
                          <w:r>
                            <w:rPr>
                              <w:color w:val="000000"/>
                              <w:szCs w:val="24"/>
                            </w:rPr>
                            <w:t xml:space="preserve">57 straipsnyje ir </w:t>
                            <w:br/>
                            <w:t>59 straipsnio 1 dalies 1, 2, 4 ir 7 punktuose</w:t>
                          </w:r>
                          <w:r>
                            <w:rPr>
                              <w:szCs w:val="24"/>
                            </w:rPr>
                            <w:t xml:space="preserve"> nustatytus atvejus.“</w:t>
                          </w:r>
                        </w:p>
                        <w:p>
                          <w:pPr>
                            <w:ind w:firstLine="709"/>
                            <w:jc w:val="both"/>
                            <w:rPr>
                              <w:szCs w:val="24"/>
                            </w:rPr>
                          </w:pPr>
                        </w:p>
                      </w:sdtContent>
                    </w:sdt>
                  </w:sdtContent>
                </w:sdt>
              </w:sdtContent>
            </w:sdt>
          </w:sdtContent>
        </w:sdt>
        <w:sdt>
          <w:sdtPr>
            <w:alias w:val="7 str."/>
            <w:tag w:val="part_66e089c660504b6b873c9b81616405c7"/>
            <w:lock w:val="sdtLocked"/>
            <w:richText/>
          </w:sdtPr>
          <w:sdtContent>
            <w:p>
              <w:pPr>
                <w:tabs>
                  <w:tab w:val="left" w:pos="720"/>
                </w:tabs>
                <w:ind w:firstLine="709"/>
                <w:rPr>
                  <w:rFonts w:ascii="TimesLT" w:hAnsi="TimesLT"/>
                  <w:szCs w:val="24"/>
                </w:rPr>
              </w:pPr>
              <w:sdt>
                <w:sdtPr>
                  <w:alias w:val="Numeris"/>
                  <w:tag w:val="nr_66e089c660504b6b873c9b81616405c7"/>
                  <w:lock w:val="sdtLocked"/>
                  <w:richText/>
                </w:sdtPr>
                <w:sdtContent>
                  <w:r>
                    <w:rPr>
                      <w:rFonts w:ascii="TimesLT" w:hAnsi="TimesLT"/>
                      <w:b/>
                      <w:bCs/>
                      <w:szCs w:val="24"/>
                    </w:rPr>
                    <w:t>7</w:t>
                  </w:r>
                </w:sdtContent>
              </w:sdt>
              <w:r>
                <w:rPr>
                  <w:rFonts w:ascii="TimesLT" w:hAnsi="TimesLT"/>
                  <w:b/>
                  <w:bCs/>
                  <w:szCs w:val="24"/>
                </w:rPr>
                <w:t xml:space="preserve"> straipsnis. </w:t>
              </w:r>
              <w:sdt>
                <w:sdtPr>
                  <w:alias w:val="Pavadinimas"/>
                  <w:tag w:val="title_66e089c660504b6b873c9b81616405c7"/>
                  <w:lock w:val="sdtLocked"/>
                  <w:richText/>
                </w:sdtPr>
                <w:sdtContent>
                  <w:r>
                    <w:rPr>
                      <w:rFonts w:ascii="TimesLT" w:hAnsi="TimesLT"/>
                      <w:b/>
                      <w:bCs/>
                      <w:szCs w:val="24"/>
                    </w:rPr>
                    <w:t>Įstatymo įsigaliojimas ir įgyvendinimas</w:t>
                  </w:r>
                </w:sdtContent>
              </w:sdt>
            </w:p>
            <w:sdt>
              <w:sdtPr>
                <w:alias w:val="7 str. 1 d."/>
                <w:tag w:val="part_ef21424ea2914e5bb95ba5f70c3eeae4"/>
                <w:lock w:val="sdtLocked"/>
                <w:richText/>
              </w:sdtPr>
              <w:sdtContent>
                <w:p>
                  <w:pPr>
                    <w:tabs>
                      <w:tab w:val="left" w:pos="720"/>
                    </w:tabs>
                    <w:ind w:firstLine="709"/>
                    <w:rPr>
                      <w:rFonts w:ascii="TimesLT" w:hAnsi="TimesLT"/>
                      <w:szCs w:val="24"/>
                    </w:rPr>
                  </w:pPr>
                  <w:sdt>
                    <w:sdtPr>
                      <w:alias w:val="Numeris"/>
                      <w:tag w:val="nr_ef21424ea2914e5bb95ba5f70c3eeae4"/>
                      <w:lock w:val="sdtLocked"/>
                      <w:richText/>
                    </w:sdtPr>
                    <w:sdtContent>
                      <w:r>
                        <w:rPr>
                          <w:rFonts w:ascii="TimesLT" w:hAnsi="TimesLT"/>
                          <w:szCs w:val="24"/>
                        </w:rPr>
                        <w:t>1</w:t>
                      </w:r>
                    </w:sdtContent>
                  </w:sdt>
                  <w:r>
                    <w:rPr>
                      <w:rFonts w:ascii="TimesLT" w:hAnsi="TimesLT"/>
                      <w:szCs w:val="24"/>
                    </w:rPr>
                    <w:t xml:space="preserve">. Šis įstatymas, išskyrus šio straipsnio 5 dalį, įsigalioja </w:t>
                  </w:r>
                  <w:r>
                    <w:rPr>
                      <w:color w:val="000000"/>
                      <w:szCs w:val="22"/>
                    </w:rPr>
                    <w:t>2016 m. sausio 1 d.</w:t>
                  </w:r>
                </w:p>
              </w:sdtContent>
            </w:sdt>
            <w:sdt>
              <w:sdtPr>
                <w:alias w:val="7 str. 2 d."/>
                <w:tag w:val="part_3db530d266534f4bb0c99be5d3c96817"/>
                <w:lock w:val="sdtLocked"/>
                <w:richText/>
              </w:sdtPr>
              <w:sdtContent>
                <w:p>
                  <w:pPr>
                    <w:ind w:firstLine="709"/>
                    <w:jc w:val="both"/>
                    <w:rPr>
                      <w:szCs w:val="24"/>
                      <w:lang w:eastAsia="lt-LT"/>
                    </w:rPr>
                  </w:pPr>
                  <w:sdt>
                    <w:sdtPr>
                      <w:alias w:val="Numeris"/>
                      <w:tag w:val="nr_3db530d266534f4bb0c99be5d3c96817"/>
                      <w:lock w:val="sdtLocked"/>
                      <w:richText/>
                    </w:sdtPr>
                    <w:sdtContent>
                      <w:r>
                        <w:rPr>
                          <w:szCs w:val="24"/>
                          <w:lang w:eastAsia="lt-LT"/>
                        </w:rPr>
                        <w:t>2</w:t>
                      </w:r>
                    </w:sdtContent>
                  </w:sdt>
                  <w:r>
                    <w:rPr>
                      <w:szCs w:val="24"/>
                      <w:lang w:eastAsia="lt-LT"/>
                    </w:rPr>
                    <w:t>. Iki 2015 m. gruodžio 31 d. kariams paskirtas išmokas dėl ligos, motinystės, tėvystės, motinystės (tėvystės) ir dėl nelaimingų atsitikimų darbe toliau moka jas paskyrusios krašto apsaugos sistemos institucijos iš joms skirtų valstybės biudžeto asignavimų.</w:t>
                  </w:r>
                </w:p>
              </w:sdtContent>
            </w:sdt>
            <w:sdt>
              <w:sdtPr>
                <w:alias w:val="7 str. 3 d."/>
                <w:tag w:val="part_77fb24b5f2454d9fbcd80ac2888c314e"/>
                <w:lock w:val="sdtLocked"/>
                <w:richText/>
              </w:sdtPr>
              <w:sdtContent>
                <w:p>
                  <w:pPr>
                    <w:ind w:firstLine="709"/>
                    <w:jc w:val="both"/>
                    <w:rPr>
                      <w:szCs w:val="24"/>
                      <w:lang w:eastAsia="lt-LT"/>
                    </w:rPr>
                  </w:pPr>
                  <w:sdt>
                    <w:sdtPr>
                      <w:alias w:val="Numeris"/>
                      <w:tag w:val="nr_77fb24b5f2454d9fbcd80ac2888c314e"/>
                      <w:lock w:val="sdtLocked"/>
                      <w:richText/>
                    </w:sdtPr>
                    <w:sdtContent>
                      <w:r>
                        <w:rPr>
                          <w:szCs w:val="24"/>
                          <w:lang w:eastAsia="lt-LT"/>
                        </w:rPr>
                        <w:t>3</w:t>
                      </w:r>
                    </w:sdtContent>
                  </w:sdt>
                  <w:r>
                    <w:rPr>
                      <w:szCs w:val="24"/>
                      <w:lang w:eastAsia="lt-LT"/>
                    </w:rPr>
                    <w:t>. Jeigu nuo 2016 m. sausio 1 d. kariams, tapusiems apdraustaisiais pagal Valstybinio socialinio draudimo įstatymo 4 straipsnio 4 dalį ir 6 straipsnio 4 dalį, apskaičiuojant kompensuojamąjį uždarbį, pagal kurį mokamos ligos (įskaitant profesinės ligos ir ligos pagal Lietuvos Respublikos nelaimingų atsitikimų darbe ir profesinių ligų socialinio draudimo įstatymą), motinystės, tėvystės, vaiko priežiūros socialinio draudimo išmokos, patenka laikotarpiai, kuriais jie nebuvo apdrausti ligos ir motinystės socialiniu draudimu ir nelaimingų atsitikimų darbe socialiniu draudimu, šios socialinio draudimo išmokos apskaičiuojamos pagal šių karių draudžiamąsias pajamas. Šiais atvejais krašto apsaugos sistemos institucija kariui iš jai skirtų valstybės biudžeto asignavimų socialinio draudimo išmokos gavimo laikotarpiu skiria ir moka jo kompensuojamojo uždarbio dalį. Ši dalis apskaičiuojama kaip mokėtinos ir išmokėtos ligos (įskaitant profesinės ligos ir ligos pagal Lietuvos Respublikos nelaimingų atsitikimų darbe ir profesinių ligų socialinio draudimo įstatymą išmokas), motinystės, tėvystės, vaiko priežiūros socialinio draudimo išmokų skirtumas.</w:t>
                  </w:r>
                </w:p>
              </w:sdtContent>
            </w:sdt>
            <w:sdt>
              <w:sdtPr>
                <w:alias w:val="7 str. 4 d."/>
                <w:tag w:val="part_eec57fdf16c746d694f9fd79572f7b0c"/>
                <w:lock w:val="sdtLocked"/>
                <w:richText/>
              </w:sdtPr>
              <w:sdtContent>
                <w:p>
                  <w:pPr>
                    <w:ind w:firstLine="709"/>
                    <w:jc w:val="both"/>
                    <w:rPr>
                      <w:szCs w:val="24"/>
                      <w:lang w:eastAsia="lt-LT"/>
                    </w:rPr>
                  </w:pPr>
                  <w:sdt>
                    <w:sdtPr>
                      <w:alias w:val="Numeris"/>
                      <w:tag w:val="nr_eec57fdf16c746d694f9fd79572f7b0c"/>
                      <w:lock w:val="sdtLocked"/>
                      <w:richText/>
                    </w:sdtPr>
                    <w:sdtContent>
                      <w:r>
                        <w:rPr>
                          <w:szCs w:val="24"/>
                          <w:lang w:eastAsia="lt-LT"/>
                        </w:rPr>
                        <w:t>4</w:t>
                      </w:r>
                    </w:sdtContent>
                  </w:sdt>
                  <w:r>
                    <w:rPr>
                      <w:szCs w:val="24"/>
                      <w:lang w:eastAsia="lt-LT"/>
                    </w:rPr>
                    <w:t>. Šio straipsnio 2 dalyje nurodytos išmokos, mokamos nuo 2016 m. sausio 1 d., ir 3 dalyje nurodyta kompensuojamojo uždarbio dalis, krašto apsaugos sistemos institucijos mokama iš jai skirtų valstybės biudžeto asignavimų, prilyginamos socialinio draudimo išmokoms, nustatytoms Lietuvos Respublikos ligos ir motinystės socialinio draudimo įstatyme arba Lietuvos Respublikos nelaimingų atsitikimų darbe ir profesinių ligų socialinio draudimo įstatyme.</w:t>
                  </w:r>
                </w:p>
              </w:sdtContent>
            </w:sdt>
            <w:sdt>
              <w:sdtPr>
                <w:alias w:val="7 str. 5 d."/>
                <w:tag w:val="part_9f038144d63e4a08947e1bb04ce6d325"/>
                <w:lock w:val="sdtLocked"/>
                <w:richText/>
              </w:sdtPr>
              <w:sdtContent>
                <w:p>
                  <w:pPr>
                    <w:ind w:firstLine="709"/>
                    <w:jc w:val="both"/>
                    <w:rPr>
                      <w:szCs w:val="24"/>
                      <w:lang w:eastAsia="lt-LT"/>
                    </w:rPr>
                  </w:pPr>
                  <w:sdt>
                    <w:sdtPr>
                      <w:alias w:val="Numeris"/>
                      <w:tag w:val="nr_9f038144d63e4a08947e1bb04ce6d325"/>
                      <w:lock w:val="sdtLocked"/>
                      <w:richText/>
                    </w:sdtPr>
                    <w:sdtContent>
                      <w:r>
                        <w:rPr>
                          <w:szCs w:val="24"/>
                          <w:lang w:eastAsia="lt-LT"/>
                        </w:rPr>
                        <w:t>5</w:t>
                      </w:r>
                    </w:sdtContent>
                  </w:sdt>
                  <w:r>
                    <w:rPr>
                      <w:szCs w:val="24"/>
                      <w:lang w:eastAsia="lt-LT"/>
                    </w:rPr>
                    <w:t xml:space="preserve">. Šio straipsnio 3 dalyje nurodytų išmokų apskaičiavimo ir mokėjimo tvarką </w:t>
                  </w:r>
                  <w:r>
                    <w:rPr>
                      <w:rFonts w:eastAsia="Arial Unicode MS"/>
                      <w:szCs w:val="24"/>
                    </w:rPr>
                    <w:t xml:space="preserve">iki 2015 m. gruodžio 31 d. </w:t>
                  </w:r>
                  <w:r>
                    <w:rPr>
                      <w:szCs w:val="24"/>
                      <w:lang w:eastAsia="lt-LT"/>
                    </w:rPr>
                    <w:t>nustato Lietuvos Respublikos Vyriausybė ar jos įgaliota institucija.</w:t>
                  </w:r>
                </w:p>
                <w:p>
                  <w:pPr>
                    <w:ind w:firstLine="720"/>
                    <w:jc w:val="both"/>
                    <w:rPr>
                      <w:szCs w:val="24"/>
                    </w:rPr>
                  </w:pPr>
                </w:p>
                <w:p>
                  <w:pPr>
                    <w:ind w:firstLine="720"/>
                    <w:jc w:val="both"/>
                    <w:rPr>
                      <w:szCs w:val="24"/>
                    </w:rPr>
                  </w:pPr>
                </w:p>
                <w:p>
                  <w:pPr>
                    <w:ind w:firstLine="720"/>
                    <w:jc w:val="both"/>
                    <w:rPr>
                      <w:szCs w:val="24"/>
                    </w:rPr>
                  </w:pPr>
                </w:p>
              </w:sdtContent>
            </w:sdt>
          </w:sdtContent>
        </w:sdt>
        <w:sdt>
          <w:sdtPr>
            <w:alias w:val="signatura"/>
            <w:tag w:val="part_95f975cb392d4ea59a2e8e86be59ff33"/>
            <w:lock w:val="sdtLocked"/>
            <w:richText/>
          </w:sdtPr>
          <w:sdtContent>
            <w:p>
              <w:pPr>
                <w:jc w:val="both"/>
                <w:rPr>
                  <w:i/>
                  <w:szCs w:val="24"/>
                </w:rPr>
              </w:pPr>
              <w:r>
                <w:rPr>
                  <w:i/>
                  <w:szCs w:val="24"/>
                </w:rPr>
                <w:t>Skelbiu šį Lietuvos Respublikos Seimo priimtą įstatymą.</w:t>
              </w:r>
            </w:p>
            <w:p>
              <w:pPr>
                <w:jc w:val="both"/>
                <w:rPr>
                  <w:szCs w:val="24"/>
                </w:rPr>
              </w:pPr>
            </w:p>
            <w:p>
              <w:pPr>
                <w:jc w:val="both"/>
                <w:rPr>
                  <w:szCs w:val="24"/>
                </w:rPr>
              </w:pPr>
              <w:r>
                <w:rPr>
                  <w:szCs w:val="24"/>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85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eastAsia="Arial Unicode MS"/>
          <w:szCs w:val="24"/>
        </w:rPr>
      </w:pPr>
      <w:r>
        <w:rPr>
          <w:rFonts w:eastAsia="Arial Unicode MS"/>
          <w:szCs w:val="24"/>
        </w:rPr>
        <w:separator/>
      </w:r>
    </w:p>
  </w:endnote>
  <w:endnote w:type="continuationSeparator" w:id="0">
    <w:p>
      <w:pPr>
        <w:rPr>
          <w:rFonts w:eastAsia="Arial Unicode MS"/>
          <w:szCs w:val="24"/>
        </w:rPr>
      </w:pPr>
      <w:r>
        <w:rPr>
          <w:rFonts w:eastAsia="Arial Unicode MS"/>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eastAsia="Arial Unicode MS"/>
        <w:szCs w:val="24"/>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eastAsia="Arial Unicode MS"/>
        <w:szCs w:val="24"/>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eastAsia="Arial Unicode MS"/>
        <w:szCs w:val="24"/>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eastAsia="Arial Unicode MS"/>
          <w:szCs w:val="24"/>
        </w:rPr>
      </w:pPr>
      <w:r>
        <w:rPr>
          <w:rFonts w:eastAsia="Arial Unicode MS"/>
          <w:szCs w:val="24"/>
        </w:rPr>
        <w:separator/>
      </w:r>
    </w:p>
  </w:footnote>
  <w:footnote w:type="continuationSeparator" w:id="0">
    <w:p>
      <w:pPr>
        <w:rPr>
          <w:rFonts w:eastAsia="Arial Unicode MS"/>
          <w:szCs w:val="24"/>
        </w:rPr>
      </w:pPr>
      <w:r>
        <w:rPr>
          <w:rFonts w:eastAsia="Arial Unicode MS"/>
          <w:szCs w:val="24"/>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eastAsia="Arial Unicode MS"/>
        <w:szCs w:val="24"/>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rFonts w:eastAsia="Arial Unicode MS"/>
        <w:szCs w:val="24"/>
      </w:rPr>
    </w:pPr>
    <w:r>
      <w:rPr>
        <w:rFonts w:eastAsia="Arial Unicode MS"/>
        <w:szCs w:val="24"/>
      </w:rPr>
      <w:fldChar w:fldCharType="begin"/>
    </w:r>
    <w:r>
      <w:rPr>
        <w:rFonts w:eastAsia="Arial Unicode MS"/>
        <w:szCs w:val="24"/>
      </w:rPr>
      <w:instrText>PAGE   \* MERGEFORMAT</w:instrText>
    </w:r>
    <w:r>
      <w:rPr>
        <w:rFonts w:eastAsia="Arial Unicode MS"/>
        <w:szCs w:val="24"/>
      </w:rPr>
      <w:fldChar w:fldCharType="separate"/>
    </w:r>
    <w:r>
      <w:rPr>
        <w:rFonts w:eastAsia="Arial Unicode MS"/>
        <w:szCs w:val="24"/>
      </w:rPr>
      <w:t>3</w:t>
    </w:r>
    <w:r>
      <w:rPr>
        <w:rFonts w:eastAsia="Arial Unicode MS"/>
        <w:szCs w:val="24"/>
      </w:rPr>
      <w:fldChar w:fldCharType="end"/>
    </w:r>
  </w:p>
  <w:p>
    <w:pPr>
      <w:tabs>
        <w:tab w:val="center" w:pos="4819"/>
        <w:tab w:val="right" w:pos="9638"/>
      </w:tabs>
      <w:rPr>
        <w:rFonts w:eastAsia="Arial Unicode MS"/>
        <w:szCs w:val="24"/>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eastAsia="Arial Unicode MS"/>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608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560598699">
      <w:bodyDiv w:val="1"/>
      <w:marLeft w:val="0"/>
      <w:marRight w:val="0"/>
      <w:marTop w:val="0"/>
      <w:marBottom w:val="0"/>
      <w:divBdr>
        <w:top w:val="none" w:sz="0" w:space="0" w:color="auto"/>
        <w:left w:val="none" w:sz="0" w:space="0" w:color="auto"/>
        <w:bottom w:val="none" w:sz="0" w:space="0" w:color="auto"/>
        <w:right w:val="none" w:sz="0" w:space="0" w:color="auto"/>
      </w:divBdr>
    </w:div>
    <w:div w:id="582185679">
      <w:bodyDiv w:val="1"/>
      <w:marLeft w:val="0"/>
      <w:marRight w:val="0"/>
      <w:marTop w:val="0"/>
      <w:marBottom w:val="0"/>
      <w:divBdr>
        <w:top w:val="none" w:sz="0" w:space="0" w:color="auto"/>
        <w:left w:val="none" w:sz="0" w:space="0" w:color="auto"/>
        <w:bottom w:val="none" w:sz="0" w:space="0" w:color="auto"/>
        <w:right w:val="none" w:sz="0" w:space="0" w:color="auto"/>
      </w:divBdr>
    </w:div>
    <w:div w:id="710227905">
      <w:bodyDiv w:val="1"/>
      <w:marLeft w:val="0"/>
      <w:marRight w:val="0"/>
      <w:marTop w:val="0"/>
      <w:marBottom w:val="0"/>
      <w:divBdr>
        <w:top w:val="none" w:sz="0" w:space="0" w:color="auto"/>
        <w:left w:val="none" w:sz="0" w:space="0" w:color="auto"/>
        <w:bottom w:val="none" w:sz="0" w:space="0" w:color="auto"/>
        <w:right w:val="none" w:sz="0" w:space="0" w:color="auto"/>
      </w:divBdr>
    </w:div>
    <w:div w:id="726998556">
      <w:bodyDiv w:val="1"/>
      <w:marLeft w:val="0"/>
      <w:marRight w:val="0"/>
      <w:marTop w:val="0"/>
      <w:marBottom w:val="0"/>
      <w:divBdr>
        <w:top w:val="none" w:sz="0" w:space="0" w:color="auto"/>
        <w:left w:val="none" w:sz="0" w:space="0" w:color="auto"/>
        <w:bottom w:val="none" w:sz="0" w:space="0" w:color="auto"/>
        <w:right w:val="none" w:sz="0" w:space="0" w:color="auto"/>
      </w:divBdr>
    </w:div>
    <w:div w:id="796340050">
      <w:bodyDiv w:val="1"/>
      <w:marLeft w:val="125"/>
      <w:marRight w:val="125"/>
      <w:marTop w:val="0"/>
      <w:marBottom w:val="0"/>
      <w:divBdr>
        <w:top w:val="none" w:sz="0" w:space="0" w:color="auto"/>
        <w:left w:val="none" w:sz="0" w:space="0" w:color="auto"/>
        <w:bottom w:val="none" w:sz="0" w:space="0" w:color="auto"/>
        <w:right w:val="none" w:sz="0" w:space="0" w:color="auto"/>
      </w:divBdr>
      <w:divsChild>
        <w:div w:id="961421409">
          <w:marLeft w:val="0"/>
          <w:marRight w:val="0"/>
          <w:marTop w:val="0"/>
          <w:marBottom w:val="0"/>
          <w:divBdr>
            <w:top w:val="none" w:sz="0" w:space="0" w:color="auto"/>
            <w:left w:val="none" w:sz="0" w:space="0" w:color="auto"/>
            <w:bottom w:val="none" w:sz="0" w:space="0" w:color="auto"/>
            <w:right w:val="none" w:sz="0" w:space="0" w:color="auto"/>
          </w:divBdr>
        </w:div>
      </w:divsChild>
    </w:div>
    <w:div w:id="891230410">
      <w:bodyDiv w:val="1"/>
      <w:marLeft w:val="0"/>
      <w:marRight w:val="0"/>
      <w:marTop w:val="0"/>
      <w:marBottom w:val="0"/>
      <w:divBdr>
        <w:top w:val="none" w:sz="0" w:space="0" w:color="auto"/>
        <w:left w:val="none" w:sz="0" w:space="0" w:color="auto"/>
        <w:bottom w:val="none" w:sz="0" w:space="0" w:color="auto"/>
        <w:right w:val="none" w:sz="0" w:space="0" w:color="auto"/>
      </w:divBdr>
    </w:div>
    <w:div w:id="1542933315">
      <w:bodyDiv w:val="1"/>
      <w:marLeft w:val="0"/>
      <w:marRight w:val="0"/>
      <w:marTop w:val="0"/>
      <w:marBottom w:val="0"/>
      <w:divBdr>
        <w:top w:val="none" w:sz="0" w:space="0" w:color="auto"/>
        <w:left w:val="none" w:sz="0" w:space="0" w:color="auto"/>
        <w:bottom w:val="none" w:sz="0" w:space="0" w:color="auto"/>
        <w:right w:val="none" w:sz="0" w:space="0" w:color="auto"/>
      </w:divBdr>
    </w:div>
    <w:div w:id="1859659649">
      <w:bodyDiv w:val="1"/>
      <w:marLeft w:val="125"/>
      <w:marRight w:val="125"/>
      <w:marTop w:val="0"/>
      <w:marBottom w:val="0"/>
      <w:divBdr>
        <w:top w:val="none" w:sz="0" w:space="0" w:color="auto"/>
        <w:left w:val="none" w:sz="0" w:space="0" w:color="auto"/>
        <w:bottom w:val="none" w:sz="0" w:space="0" w:color="auto"/>
        <w:right w:val="none" w:sz="0" w:space="0" w:color="auto"/>
      </w:divBdr>
      <w:divsChild>
        <w:div w:id="16235381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ea486dc60054e309f02bb5a51b59e91" PartId="46969d9cee27497aba2a47622892590d">
    <Part Type="straipsnis" Nr="1" Abbr="1 str." Title="65 straipsnio pakeitimas" DocPartId="407c7598c9a54d01b06fdbe057e54e81" PartId="ded2f075c72b4ed4945452844e187cb2">
      <Part Type="strDalis" Nr="1" Abbr="1 str. 1 d." DocPartId="9f53e8dc6ebf499ea0daff47a26db497" PartId="84e05df4d5d94376a6a3e1cf6532f6ba">
        <Part Type="citata" DocPartId="9dc9c69e4f28409da2727a892cb70cc5" PartId="1b095275bd8c462fa7a22c59e71a6373">
          <Part Type="strPunktas" Nr="2" Abbr="2 p." DocPartId="4c22ae57776c45218c3314b02328e758" PartId="f9557d9fa4f64efabafc97d3e1fea369"/>
        </Part>
      </Part>
    </Part>
    <Part Type="straipsnis" Nr="2" Abbr="2 str." Title="66 straipsnio pakeitimas" DocPartId="79f09d7a9a1f40fd8bdfb0133afb2840" PartId="caa7217de57f4970a21d7b0184383a3b">
      <Part Type="strDalis" Nr="1" Abbr="2 str. 1 d." DocPartId="ac2e8488b139404594b68970bf159d62" PartId="688d2b05d7a0470ea6139308f27e229d">
        <Part Type="citata" DocPartId="68b19e7f4bbe4ef38ab7809367d94f23" PartId="45fbdbfa29844664b4cfab75649e8e27">
          <Part Type="straipsnis" Nr="66" Abbr="66 str." Title="Karių socialinis draudimas" DocPartId="6573e478a5ee439a80783d16ad12a19a" PartId="0e9a3f99704249c68346e1d7917f7da5">
            <Part Type="strDalis" Nr="1" Abbr="66 str. 1 d." DocPartId="6cdd6cd2de5f4a7e9d5e37fd546bdfc9" PartId="44a2610e6d4046c899c4c2614fd9b8f0"/>
          </Part>
        </Part>
      </Part>
    </Part>
    <Part Type="straipsnis" Nr="3" Abbr="3 str." Title="67 straipsnio pakeitimas" DocPartId="bb6ec1018f624c55855ca4bb58aca8f6" PartId="e9032923c5ae43399e8a8de4186ebe4d">
      <Part Type="strDalis" Nr="1" Abbr="3 str. 1 d." DocPartId="04e98bcafe004bc7a092e269e3d6fc96" PartId="b6f52fd7534449ea9a4b0b4031c38694">
        <Part Type="citata" DocPartId="7203e5971fab43958efa45f736fc3950" PartId="e7e4492b9df24fbb814853c3a68ff23e">
          <Part Type="strDalis" Nr="1" Abbr="1 d." DocPartId="419cdb58ea5e48e6a1888a49e52a6d63" PartId="99d48f4b154d4d0ba9e47d99c91611a1"/>
        </Part>
      </Part>
    </Part>
    <Part Type="straipsnis" Nr="4" Abbr="4 str." Title="68 straipsnio pakeitimas" DocPartId="ef5bca33eae54dd489ee7ed70d5e5ed6" PartId="8c50d731579b44cb91af56dea3275880">
      <Part Type="strDalis" Nr="1" Abbr="4 str. 1 d." DocPartId="1c658f3defd0455e91b8d0862f5608f1" PartId="3798f91dcaab4778813b7a8eebd7445c">
        <Part Type="citata" DocPartId="c55d5e840a4e4cd582c88a82dc110804" PartId="c8f97d77b3fc4463853bb30edd188c38">
          <Part Type="straipsnis" Nr="68" Abbr="68 str." Title="Socialinės ir kitos su karo tarnyba susijusios garantijos" DocPartId="1455fff5801b4ab7b533ad8eb2b14f22" PartId="9e5e7219506d41b99b343114dac38a7c">
            <Part Type="strDalis" Nr="1" Abbr="68 str. 1 d." DocPartId="0bf1a653437b4d469f99b7ff1b75f107" PartId="2c8c456310434d499707005b63769990"/>
            <Part Type="strDalis" Nr="2" Abbr="68 str. 2 d." DocPartId="5062bb5dd6424c1593aa717180100d73" PartId="c5e11d0d473a46d5baec4b47836c92f1"/>
            <Part Type="strDalis" Nr="3" Abbr="68 str. 3 d." DocPartId="56bd204b5ca14701bbedd6cc050f1d25" PartId="c675958c104e42e2b56ad57eab98a0c4"/>
            <Part Type="strDalis" Nr="4" Abbr="68 str. 4 d." DocPartId="8007c05f747d433085dc57fe735f7c55" PartId="499ea2f28670416e9f1545cc01407497"/>
            <Part Type="strDalis" Nr="5" Abbr="68 str. 5 d." DocPartId="691f4310e524434b820c880743982c1d" PartId="fa32249104bd4e2bb88f19ee02c3c729"/>
            <Part Type="strDalis" Nr="6" Abbr="68 str. 6 d." DocPartId="124180a0038c433da2b6bb9273825622" PartId="98514286959a4ea4827ad1a544f8e0a1"/>
          </Part>
        </Part>
      </Part>
    </Part>
    <Part Type="straipsnis" Nr="5" Abbr="5 str." Title="70 straipsnio pakeitimas" DocPartId="c593a130799b4f81b8c9f4b7d67196a7" PartId="31ef788a392645ba81cce0d835c81bf5">
      <Part Type="strDalis" Nr="1" Abbr="5 str. 1 d." DocPartId="987c9cb5804e407e908581b1c060f465" PartId="ca021765095e4820990c106a4b73a049">
        <Part Type="citata" DocPartId="acd01f49d53f4e608679127ae03d8900" PartId="19fb34c271014206a6723abc83a904cc">
          <Part Type="strDalis" Nr="1" Abbr="1 d." DocPartId="796d303a91fb4c189b01497d3d10b3fc" PartId="55ff0d73591f446bb568c7e5de483bda"/>
        </Part>
      </Part>
    </Part>
    <Part Type="straipsnis" Nr="6" Abbr="6 str." Title="72 straipsnio pakeitimas" DocPartId="b7dfafb55c5c4d2fa9da7c52d7234c5a" PartId="a1cf07472a024f36901c4a924f6a19b7">
      <Part Type="strDalis" Nr="1" Abbr="6 str. 1 d." DocPartId="6be7f8eaabc14e2cb9b46dffa28c250d" PartId="48f77a0d47b64dea94ce7cc14de2a11b">
        <Part Type="citata" DocPartId="3d1da5dad55749a0a6957a0996588da8" PartId="95688fb199e945fabb930172d091fcc0">
          <Part Type="strDalis" Nr="4" Abbr="4 d." DocPartId="03f6439a337646eb96394b8087db182e" PartId="06954c1162dc481b8db9366613907c79"/>
        </Part>
      </Part>
    </Part>
    <Part Type="straipsnis" Nr="7" Abbr="7 str." Title="Įstatymo įsigaliojimas ir įgyvendinimas" DocPartId="b89875df0f324e1db5733f4ad1061fe7" PartId="66e089c660504b6b873c9b81616405c7">
      <Part Type="strDalis" Nr="1" Abbr="7 str. 1 d." DocPartId="dd046f73f3734f80a77dae8ea8e98384" PartId="ef21424ea2914e5bb95ba5f70c3eeae4"/>
      <Part Type="strDalis" Nr="2" Abbr="7 str. 2 d." DocPartId="58a0dd1a98d64125bee0055cbd5dc335" PartId="3db530d266534f4bb0c99be5d3c96817"/>
      <Part Type="strDalis" Nr="3" Abbr="7 str. 3 d." DocPartId="7e5cee8a230b4c258cc536cb875cff58" PartId="77fb24b5f2454d9fbcd80ac2888c314e"/>
      <Part Type="strDalis" Nr="4" Abbr="7 str. 4 d." DocPartId="193950f5fc2349b7b6bb7d578c872019" PartId="eec57fdf16c746d694f9fd79572f7b0c"/>
      <Part Type="strDalis" Nr="5" Abbr="7 str. 5 d." DocPartId="8fecf832349e4a9ea347508e4d889551" PartId="9f038144d63e4a08947e1bb04ce6d325"/>
    </Part>
    <Part Type="signatura" DocPartId="53cdc4319c6746cd816d099c2189c9b2" PartId="95f975cb392d4ea59a2e8e86be59ff33"/>
  </Part>
</Parts>
</file>

<file path=customXml/itemProps1.xml><?xml version="1.0" encoding="utf-8"?>
<ds:datastoreItem xmlns:ds="http://schemas.openxmlformats.org/officeDocument/2006/customXml" ds:itemID="{1074EB70-54BC-4A73-88F4-C0EE2AA7554B}">
  <ds:schemaRefs>
    <ds:schemaRef ds:uri="http://schemas.openxmlformats.org/officeDocument/2006/bibliography"/>
  </ds:schemaRefs>
</ds:datastoreItem>
</file>

<file path=customXml/itemProps2.xml><?xml version="1.0" encoding="utf-8"?>
<ds:datastoreItem xmlns:ds="http://schemas.openxmlformats.org/officeDocument/2006/customXml" ds:itemID="{9F5233EE-A695-4600-B295-E570C5E69B6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1266</Words>
  <Characters>8587</Characters>
  <Application>Microsoft Office Word</Application>
  <DocSecurity>4</DocSecurity>
  <Lines>145</Lines>
  <Paragraphs>50</Paragraphs>
  <ScaleCrop>false</ScaleCrop>
  <HeadingPairs>
    <vt:vector size="2" baseType="variant">
      <vt:variant>
        <vt:lpstr>Pavadinimas</vt:lpstr>
      </vt:variant>
      <vt:variant>
        <vt:i4>1</vt:i4>
      </vt:variant>
    </vt:vector>
  </HeadingPairs>
  <TitlesOfParts>
    <vt:vector size="1" baseType="lpstr">
      <vt:lpstr/>
    </vt:vector>
  </TitlesOfParts>
  <Company>Hewlett-Packard Company</Company>
  <LinksUpToDate>false</LinksUpToDate>
  <CharactersWithSpaces>9803</CharactersWithSpaces>
  <SharedDoc>false</SharedDoc>
  <HyperlinkBase/>
  <HLinks>
    <vt:vector size="24" baseType="variant">
      <vt:variant>
        <vt:i4>1179736</vt:i4>
      </vt:variant>
      <vt:variant>
        <vt:i4>9</vt:i4>
      </vt:variant>
      <vt:variant>
        <vt:i4>0</vt:i4>
      </vt:variant>
      <vt:variant>
        <vt:i4>5</vt:i4>
      </vt:variant>
      <vt:variant>
        <vt:lpwstr>http://printsr3/Litlex/ll.dll?Tekstas=1&amp;Id=37415&amp;BF=1</vt:lpwstr>
      </vt:variant>
      <vt:variant>
        <vt:lpwstr/>
      </vt:variant>
      <vt:variant>
        <vt:i4>4128858</vt:i4>
      </vt:variant>
      <vt:variant>
        <vt:i4>3</vt:i4>
      </vt:variant>
      <vt:variant>
        <vt:i4>0</vt:i4>
      </vt:variant>
      <vt:variant>
        <vt:i4>5</vt:i4>
      </vt:variant>
      <vt:variant>
        <vt:lpwstr>http://printsr3/Litlex/LL.DLL?Tekstas=1?Id=28447&amp;Zd=kra%F0to%2Bapsaugos%2Bsistemos&amp;BF=4</vt:lpwstr>
      </vt:variant>
      <vt:variant>
        <vt:lpwstr>P44333_2</vt:lpwstr>
      </vt:variant>
      <vt:variant>
        <vt:i4>1310809</vt:i4>
      </vt:variant>
      <vt:variant>
        <vt:i4>0</vt:i4>
      </vt:variant>
      <vt:variant>
        <vt:i4>0</vt:i4>
      </vt:variant>
      <vt:variant>
        <vt:i4>5</vt:i4>
      </vt:variant>
      <vt:variant>
        <vt:lpwstr>http://printsr3/Litlex/ll.dll?Tekstas=1&amp;Id=44333&amp;BF=1</vt:lpwstr>
      </vt:variant>
      <vt:variant>
        <vt:lpwstr/>
      </vt:variant>
      <vt:variant>
        <vt:i4>4128858</vt:i4>
      </vt:variant>
      <vt:variant>
        <vt:i4>14812</vt:i4>
      </vt:variant>
      <vt:variant>
        <vt:i4>1025</vt:i4>
      </vt:variant>
      <vt:variant>
        <vt:i4>4</vt:i4>
      </vt:variant>
      <vt:variant>
        <vt:lpwstr>http://printsr3/Litlex/LL.DLL?Tekstas=1?Id=28447&amp;Zd=kra%F0to%2Bapsaugos%2Bsistemos&amp;BF=4</vt:lpwstr>
      </vt:variant>
      <vt:variant>
        <vt:lpwstr>P44333_2</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2015-06-12T14:58:00Z</dcterms:created>
  <dc:creator>vilmav</dc:creator>
  <lastModifiedBy>CLUSadmin</lastModifiedBy>
  <lastPrinted>2015-06-08T05:21:00Z</lastPrinted>
  <dcterms:modified xsi:type="dcterms:W3CDTF">2015-06-12T14:58:00Z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-2103559862</vt:i4>
  </property>
  <property fmtid="{D5CDD505-2E9C-101B-9397-08002B2CF9AE}" pid="3" name="_NewReviewCycle">
    <vt:lpwstr/>
  </property>
  <property fmtid="{D5CDD505-2E9C-101B-9397-08002B2CF9AE}" pid="4" name="_EmailSubject">
    <vt:lpwstr>VSD projektas ir ji lydintys istatymu projektai</vt:lpwstr>
  </property>
  <property fmtid="{D5CDD505-2E9C-101B-9397-08002B2CF9AE}" pid="5" name="_AuthorEmail">
    <vt:lpwstr>Vaidotas.Kalinauskas@socmin.lt</vt:lpwstr>
  </property>
  <property fmtid="{D5CDD505-2E9C-101B-9397-08002B2CF9AE}" pid="6" name="_AuthorEmailDisplayName">
    <vt:lpwstr>Vaidotas Kalinauskas</vt:lpwstr>
  </property>
  <property fmtid="{D5CDD505-2E9C-101B-9397-08002B2CF9AE}" pid="7" name="_PreviousAdHocReviewCycleID">
    <vt:i4>-1483931149</vt:i4>
  </property>
  <property fmtid="{D5CDD505-2E9C-101B-9397-08002B2CF9AE}" pid="8" name="_ReviewingToolsShownOnce">
    <vt:lpwstr/>
  </property>
</Properties>
</file>