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bbb3bc5786740d28fad186b32a6b5bc"/>
        <w:lock w:val="sdtLocked"/>
        <w:richText/>
      </w:sdtPr>
      <w:sdtContent>
        <w:p>
          <w:pPr>
            <w:suppressAutoHyphens/>
            <w:jc w:val="right"/>
            <w:rPr>
              <w:b/>
              <w:szCs w:val="24"/>
            </w:rPr>
          </w:pPr>
          <w:r>
            <w:rPr>
              <w:b/>
              <w:szCs w:val="24"/>
              <w:lang w:val="en-US"/>
            </w:rPr>
            <w:t>Projektas</w:t>
          </w:r>
        </w:p>
        <w:p>
          <w:pPr>
            <w:suppressAutoHyphens/>
            <w:jc w:val="center"/>
            <w:rPr>
              <w:b/>
              <w:szCs w:val="24"/>
            </w:rPr>
          </w:pPr>
          <w:r>
            <w:rPr>
              <w:b/>
              <w:szCs w:val="24"/>
            </w:rPr>
            <w:t>UTENOS RAJONO SAVIVALDYBĖS TARYBA</w:t>
          </w:r>
        </w:p>
        <w:p>
          <w:pPr>
            <w:suppressAutoHyphens/>
            <w:jc w:val="both"/>
            <w:rPr>
              <w:szCs w:val="24"/>
            </w:rPr>
          </w:pPr>
        </w:p>
        <w:p>
          <w:pPr>
            <w:suppressAutoHyphens/>
            <w:jc w:val="center"/>
            <w:rPr>
              <w:b/>
              <w:szCs w:val="24"/>
            </w:rPr>
          </w:pPr>
          <w:r>
            <w:rPr>
              <w:b/>
              <w:szCs w:val="24"/>
            </w:rPr>
            <w:t>SPRENDIMAS</w:t>
          </w:r>
        </w:p>
        <w:p>
          <w:pPr>
            <w:suppressAutoHyphens/>
            <w:jc w:val="center"/>
            <w:rPr>
              <w:szCs w:val="24"/>
            </w:rPr>
          </w:pPr>
          <w:r>
            <w:rPr>
              <w:b/>
              <w:szCs w:val="24"/>
            </w:rPr>
            <w:t xml:space="preserve">DĖL </w:t>
          </w:r>
          <w:r>
            <w:rPr>
              <w:b/>
              <w:bCs/>
              <w:caps/>
              <w:color w:val="000000"/>
              <w:szCs w:val="24"/>
              <w:lang w:eastAsia="zh-CN"/>
            </w:rPr>
            <w:t>UTENOS RAJONO SAVIVALDYBĖS APSKAITOJE REGISTRUOTO IR VALDOMO VALSTYBĖS TURTO PERĖMIMO</w:t>
          </w:r>
          <w:r>
            <w:rPr>
              <w:b/>
              <w:szCs w:val="24"/>
            </w:rPr>
            <w:t xml:space="preserve"> SAVIVALDYBĖS NUOSAVYBĖN</w:t>
          </w:r>
        </w:p>
        <w:p>
          <w:pPr>
            <w:suppressAutoHyphens/>
            <w:jc w:val="center"/>
            <w:rPr>
              <w:szCs w:val="24"/>
            </w:rPr>
          </w:pPr>
        </w:p>
        <w:p>
          <w:pPr>
            <w:suppressAutoHyphens/>
            <w:jc w:val="center"/>
            <w:rPr>
              <w:szCs w:val="24"/>
            </w:rPr>
          </w:pPr>
          <w:r>
            <w:rPr>
              <w:szCs w:val="24"/>
            </w:rPr>
            <w:t>2022 m. lapkričio</w:t>
            <w:tab/>
            <w:t>d. Nr. TS-</w:t>
          </w:r>
        </w:p>
        <w:p>
          <w:pPr>
            <w:suppressAutoHyphens/>
            <w:jc w:val="center"/>
            <w:rPr>
              <w:szCs w:val="24"/>
            </w:rPr>
          </w:pPr>
          <w:r>
            <w:rPr>
              <w:szCs w:val="24"/>
            </w:rPr>
            <w:t>Utena</w:t>
          </w:r>
        </w:p>
        <w:p>
          <w:pPr>
            <w:suppressAutoHyphens/>
            <w:jc w:val="both"/>
            <w:rPr>
              <w:szCs w:val="24"/>
            </w:rPr>
          </w:pPr>
        </w:p>
        <w:sdt>
          <w:sdtPr>
            <w:alias w:val="preambule"/>
            <w:tag w:val="part_43da6879192e472cbd5ebe374aa16d74"/>
            <w:lock w:val="sdtLocked"/>
            <w:richText/>
          </w:sdtPr>
          <w:sdtContent>
            <w:p>
              <w:pPr>
                <w:suppressAutoHyphens/>
                <w:ind w:firstLine="851"/>
                <w:jc w:val="both"/>
                <w:rPr>
                  <w:spacing w:val="40"/>
                  <w:szCs w:val="24"/>
                </w:rPr>
              </w:pPr>
              <w:r>
                <w:rPr>
                  <w:szCs w:val="24"/>
                  <w:lang w:eastAsia="zh-CN"/>
                </w:rPr>
                <w:t>Vadovaudamasi Lietuvos Respublikos vietos savivaldos įstatymo 6 straipsnio 32 punktu,</w:t>
              </w:r>
              <w:r>
                <w:rPr>
                  <w:szCs w:val="24"/>
                </w:rPr>
                <w:t xml:space="preserve"> 16 straipsnio 4 dalimi, </w:t>
              </w:r>
              <w:r>
                <w:rPr>
                  <w:szCs w:val="24"/>
                  <w:lang w:eastAsia="zh-CN"/>
                </w:rPr>
                <w:t>Lietuvos Respublikos valstybės ir savivaldybių turto valdymo, naudojimo ir disponavimo juo įstatymo 6 straipsnio 1 punktu, Lietuvos Respublikos kelių įstatymo 6 straipsnio 1 ir 4 dalimis</w:t>
              </w:r>
              <w:r>
                <w:rPr>
                  <w:szCs w:val="24"/>
                </w:rPr>
                <w:t xml:space="preserve">, Lietuvos Respublikos valstybės turto perdavimo savivaldybių nuosavybėn įstatymo 3 straipsnio 1 dalies 2 punktu, 2 dalimi ir 4 straipsnio 1 dalimi, Utenos rajono savivaldybės taryba </w:t>
              </w:r>
              <w:r>
                <w:rPr>
                  <w:spacing w:val="60"/>
                  <w:szCs w:val="24"/>
                </w:rPr>
                <w:t>nusprendži</w:t>
              </w:r>
              <w:r>
                <w:rPr>
                  <w:szCs w:val="24"/>
                </w:rPr>
                <w:t>a:</w:t>
              </w:r>
            </w:p>
          </w:sdtContent>
        </w:sdt>
        <w:sdt>
          <w:sdtPr>
            <w:alias w:val="1 p."/>
            <w:tag w:val="part_90e2dfdafe2e40b1960c4eed6a58b14d"/>
            <w:lock w:val="sdtLocked"/>
            <w:richText/>
          </w:sdtPr>
          <w:sdtContent>
            <w:p>
              <w:pPr>
                <w:tabs>
                  <w:tab w:val="left" w:pos="990"/>
                </w:tabs>
                <w:suppressAutoHyphens/>
                <w:ind w:firstLine="720"/>
                <w:jc w:val="both"/>
                <w:rPr>
                  <w:szCs w:val="24"/>
                </w:rPr>
              </w:pPr>
              <w:sdt>
                <w:sdtPr>
                  <w:alias w:val="Numeris"/>
                  <w:tag w:val="nr_90e2dfdafe2e40b1960c4eed6a58b14d"/>
                  <w:lock w:val="sdtLocked"/>
                  <w:richText/>
                </w:sdtPr>
                <w:sdtContent>
                  <w:r>
                    <w:rPr>
                      <w:szCs w:val="24"/>
                    </w:rPr>
                    <w:t>1</w:t>
                  </w:r>
                </w:sdtContent>
              </w:sdt>
              <w:r>
                <w:rPr>
                  <w:szCs w:val="24"/>
                </w:rPr>
                <w:t>.</w:t>
                <w:tab/>
                <w:t xml:space="preserve">Perimti Utenos rajono savivaldybės nuosavybėn </w:t>
              </w:r>
              <w:r>
                <w:rPr>
                  <w:szCs w:val="24"/>
                  <w:lang w:eastAsia="zh-CN"/>
                </w:rPr>
                <w:t xml:space="preserve">Utenos rajono savivaldybės apskaitoje registruotą ir valdomą valstybės turtą </w:t>
              </w:r>
              <w:r>
                <w:rPr>
                  <w:szCs w:val="24"/>
                </w:rPr>
                <w:t>pagal priedą.</w:t>
              </w:r>
            </w:p>
          </w:sdtContent>
        </w:sdt>
        <w:sdt>
          <w:sdtPr>
            <w:alias w:val="2 p."/>
            <w:tag w:val="part_55abe8dd14dc4b2bab44d7ddfbd6ea8b"/>
            <w:lock w:val="sdtLocked"/>
            <w:richText/>
          </w:sdtPr>
          <w:sdtContent>
            <w:p>
              <w:pPr>
                <w:tabs>
                  <w:tab w:val="left" w:pos="990"/>
                </w:tabs>
                <w:suppressAutoHyphens/>
                <w:ind w:firstLine="720"/>
                <w:jc w:val="both"/>
                <w:rPr>
                  <w:szCs w:val="24"/>
                </w:rPr>
              </w:pPr>
              <w:sdt>
                <w:sdtPr>
                  <w:alias w:val="Numeris"/>
                  <w:tag w:val="nr_55abe8dd14dc4b2bab44d7ddfbd6ea8b"/>
                  <w:lock w:val="sdtLocked"/>
                  <w:richText/>
                </w:sdtPr>
                <w:sdtContent>
                  <w:r>
                    <w:rPr>
                      <w:szCs w:val="24"/>
                    </w:rPr>
                    <w:t>2</w:t>
                  </w:r>
                </w:sdtContent>
              </w:sdt>
              <w:r>
                <w:rPr>
                  <w:szCs w:val="24"/>
                </w:rPr>
                <w:t>.</w:t>
                <w:tab/>
              </w:r>
              <w:r>
                <w:rPr>
                  <w:color w:val="000000"/>
                  <w:szCs w:val="24"/>
                  <w:shd w:val="clear" w:color="auto" w:fill="FFFFFF"/>
                </w:rPr>
                <w:t>Nurodyti, kad šis sprendimas gali būti skundžiamas Utenos rajono savivaldybės tarybai (Utenio a. 4, 28503 Utena)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arba Regionų apygardos administracinio teismo Panevėžio rūmams (Respublikos g. 62, 35158 Panevėžys) Lietuvos Respublikos administracinių bylų teisenos įstatymo nustatyta tvarka per vieną mėnesį nuo jo paskelbimo arba įteikimo suinteresuotai šaliai dienos.</w:t>
              </w:r>
            </w:p>
            <w:p>
              <w:pPr>
                <w:suppressAutoHyphens/>
                <w:jc w:val="both"/>
                <w:rPr>
                  <w:szCs w:val="24"/>
                </w:rPr>
              </w:pPr>
            </w:p>
            <w:p>
              <w:pPr>
                <w:suppressAutoHyphens/>
                <w:jc w:val="both"/>
                <w:rPr>
                  <w:szCs w:val="24"/>
                </w:rPr>
              </w:pPr>
            </w:p>
          </w:sdtContent>
        </w:sdt>
        <w:sdt>
          <w:sdtPr>
            <w:alias w:val="signatura"/>
            <w:tag w:val="part_3b147b08b43041b2976419da01aee607"/>
            <w:lock w:val="sdtLocked"/>
            <w:richText/>
          </w:sdtPr>
          <w:sdtContent>
            <w:p>
              <w:pPr>
                <w:suppressAutoHyphens/>
                <w:jc w:val="both"/>
                <w:textAlignment w:val="baseline"/>
                <w:rPr>
                  <w:lang w:eastAsia="ar-SA"/>
                </w:rPr>
              </w:pPr>
              <w:r>
                <w:rPr>
                  <w:lang w:eastAsia="ar-SA"/>
                </w:rPr>
                <w:t>Savivaldybės meras</w:t>
                <w:tab/>
                <w:tab/>
                <w:tab/>
              </w:r>
            </w:p>
            <w:p>
              <w:pPr>
                <w:suppressAutoHyphens/>
                <w:jc w:val="both"/>
                <w:textAlignment w:val="baseline"/>
                <w:rPr>
                  <w:lang w:eastAsia="ar-SA"/>
                </w:rPr>
              </w:pPr>
            </w:p>
            <w:p>
              <w:pPr>
                <w:tabs>
                  <w:tab w:val="center" w:pos="4819"/>
                </w:tabs>
                <w:suppressAutoHyphens/>
                <w:jc w:val="both"/>
                <w:textAlignment w:val="baseline"/>
                <w:rPr>
                  <w:lang w:eastAsia="ar-SA"/>
                </w:rPr>
              </w:pPr>
              <w:r>
                <w:rPr>
                  <w:lang w:eastAsia="ar-SA"/>
                </w:rPr>
                <w:t>Administracijos direktorius</w:t>
                <w:tab/>
                <w:tab/>
                <w:tab/>
                <w:t>Mero patarėjas</w:t>
              </w:r>
            </w:p>
            <w:p>
              <w:pPr>
                <w:suppressAutoHyphens/>
                <w:jc w:val="both"/>
                <w:textAlignment w:val="baseline"/>
                <w:rPr>
                  <w:lang w:eastAsia="ar-SA"/>
                </w:rPr>
              </w:pPr>
              <w:r>
                <w:rPr>
                  <w:lang w:eastAsia="ar-SA"/>
                </w:rPr>
                <w:t>Vidas Žvinys</w:t>
                <w:tab/>
                <w:tab/>
                <w:tab/>
                <w:tab/>
                <w:tab/>
                <w:tab/>
                <w:tab/>
                <w:t>Henrikas Zabiela</w:t>
              </w:r>
            </w:p>
            <w:p>
              <w:pPr>
                <w:suppressAutoHyphens/>
                <w:jc w:val="both"/>
                <w:textAlignment w:val="baseline"/>
                <w:rPr>
                  <w:lang w:eastAsia="ar-SA"/>
                </w:rPr>
              </w:pPr>
            </w:p>
            <w:p>
              <w:pPr>
                <w:suppressAutoHyphens/>
                <w:jc w:val="both"/>
                <w:textAlignment w:val="baseline"/>
                <w:rPr>
                  <w:lang w:eastAsia="ar-SA"/>
                </w:rPr>
              </w:pPr>
              <w:r>
                <w:rPr>
                  <w:lang w:eastAsia="ar-SA"/>
                </w:rPr>
                <w:t>Administracijos direktoriaus pavaduotoja</w:t>
              </w:r>
            </w:p>
            <w:p>
              <w:pPr>
                <w:suppressAutoHyphens/>
                <w:jc w:val="both"/>
                <w:textAlignment w:val="baseline"/>
                <w:rPr>
                  <w:lang w:eastAsia="ar-SA"/>
                </w:rPr>
              </w:pPr>
              <w:r>
                <w:rPr>
                  <w:lang w:eastAsia="ar-SA"/>
                </w:rPr>
                <w:t>Zita Ringelevičienė</w:t>
              </w:r>
            </w:p>
            <w:p>
              <w:pPr>
                <w:suppressAutoHyphens/>
                <w:jc w:val="both"/>
                <w:textAlignment w:val="baseline"/>
                <w:rPr>
                  <w:lang w:eastAsia="ar-SA"/>
                </w:rPr>
              </w:pPr>
            </w:p>
            <w:p>
              <w:pPr>
                <w:suppressAutoHyphens/>
                <w:jc w:val="both"/>
                <w:textAlignment w:val="baseline"/>
                <w:rPr>
                  <w:lang w:eastAsia="ar-SA"/>
                </w:rPr>
              </w:pPr>
              <w:r>
                <w:rPr>
                  <w:lang w:eastAsia="ar-SA"/>
                </w:rPr>
                <w:t>Teisės ir civilinės metrikacijos skyriaus</w:t>
              </w:r>
            </w:p>
            <w:p>
              <w:pPr>
                <w:suppressAutoHyphens/>
                <w:jc w:val="both"/>
                <w:textAlignment w:val="baseline"/>
                <w:rPr>
                  <w:lang w:eastAsia="ar-SA"/>
                </w:rPr>
              </w:pPr>
              <w:r>
                <w:rPr>
                  <w:lang w:eastAsia="ar-SA"/>
                </w:rPr>
                <w:t>vedėjo pavaduotoja</w:t>
              </w:r>
            </w:p>
            <w:p>
              <w:pPr>
                <w:suppressAutoHyphens/>
                <w:jc w:val="both"/>
                <w:textAlignment w:val="baseline"/>
                <w:rPr>
                  <w:lang w:eastAsia="ar-SA"/>
                </w:rPr>
              </w:pPr>
              <w:r>
                <w:rPr>
                  <w:lang w:eastAsia="ar-SA"/>
                </w:rPr>
                <w:t>Asta Vainiūtė-Misiukevičė</w:t>
              </w:r>
            </w:p>
            <w:p>
              <w:pPr>
                <w:suppressAutoHyphens/>
                <w:jc w:val="both"/>
                <w:textAlignment w:val="baseline"/>
                <w:rPr>
                  <w:lang w:eastAsia="ar-SA"/>
                </w:rPr>
              </w:pPr>
            </w:p>
            <w:p>
              <w:pPr>
                <w:suppressAutoHyphens/>
                <w:jc w:val="both"/>
                <w:textAlignment w:val="baseline"/>
                <w:rPr>
                  <w:lang w:eastAsia="ar-SA"/>
                </w:rPr>
              </w:pPr>
              <w:r>
                <w:rPr>
                  <w:lang w:eastAsia="ar-SA"/>
                </w:rPr>
                <w:t>Dokumentų valdymo ir bendrųjų reikalų skyriaus</w:t>
                <w:tab/>
              </w:r>
            </w:p>
            <w:p>
              <w:pPr>
                <w:suppressAutoHyphens/>
                <w:jc w:val="both"/>
                <w:textAlignment w:val="baseline"/>
                <w:rPr>
                  <w:lang w:eastAsia="ar-SA"/>
                </w:rPr>
              </w:pPr>
              <w:r>
                <w:rPr>
                  <w:lang w:eastAsia="ar-SA"/>
                </w:rPr>
                <w:t xml:space="preserve">kalbos tvarkytoja </w:t>
                <w:tab/>
                <w:tab/>
                <w:tab/>
                <w:tab/>
                <w:tab/>
                <w:tab/>
                <w:t>Turto valdymo skyriaus vedėja, GirdaNarbutienė</w:t>
                <w:tab/>
                <w:tab/>
                <w:tab/>
                <w:tab/>
                <w:t>`</w:t>
                <w:tab/>
                <w:tab/>
                <w:t>Danutė Šimonėlienė</w:t>
              </w:r>
            </w:p>
            <w:p>
              <w:pPr>
                <w:suppressAutoHyphens/>
                <w:ind w:firstLine="5760"/>
                <w:jc w:val="both"/>
                <w:textAlignment w:val="baseline"/>
                <w:rPr>
                  <w:lang w:eastAsia="ar-SA"/>
                </w:rPr>
              </w:pPr>
            </w:p>
            <w:p>
              <w:pPr>
                <w:suppressAutoHyphens/>
                <w:jc w:val="both"/>
                <w:textAlignment w:val="baseline"/>
                <w:rPr>
                  <w:lang w:eastAsia="ar-SA"/>
                </w:rPr>
              </w:pPr>
              <w:r>
                <w:rPr>
                  <w:lang w:eastAsia="ar-SA"/>
                </w:rPr>
                <w:t>Buhalterinės apskaitos skyriaus vedėja</w:t>
              </w:r>
            </w:p>
            <w:p>
              <w:pPr>
                <w:suppressAutoHyphens/>
                <w:jc w:val="both"/>
                <w:textAlignment w:val="baseline"/>
                <w:rPr>
                  <w:lang w:eastAsia="ar-SA"/>
                </w:rPr>
              </w:pPr>
              <w:r>
                <w:rPr>
                  <w:lang w:eastAsia="ar-SA"/>
                </w:rPr>
                <w:t>Irena Tumonienė</w:t>
              </w:r>
            </w:p>
            <w:p>
              <w:pPr>
                <w:suppressAutoHyphens/>
                <w:jc w:val="both"/>
                <w:textAlignment w:val="baseline"/>
                <w:rPr>
                  <w:lang w:eastAsia="ar-SA"/>
                </w:rPr>
              </w:pPr>
            </w:p>
            <w:p>
              <w:pPr>
                <w:suppressAutoHyphens/>
                <w:jc w:val="both"/>
                <w:textAlignment w:val="baseline"/>
                <w:rPr>
                  <w:lang w:eastAsia="ar-SA"/>
                </w:rPr>
              </w:pPr>
            </w:p>
            <w:p>
              <w:pPr>
                <w:suppressAutoHyphens/>
                <w:jc w:val="both"/>
                <w:textAlignment w:val="baseline"/>
                <w:rPr>
                  <w:szCs w:val="24"/>
                  <w:shd w:val="clear" w:color="auto" w:fill="FFFFFF"/>
                </w:rPr>
              </w:pPr>
              <w:r>
                <w:rPr>
                  <w:lang w:eastAsia="ar-SA"/>
                </w:rPr>
                <w:t>Parengė</w:t>
              </w:r>
              <w:r>
                <w:rPr>
                  <w:szCs w:val="24"/>
                  <w:shd w:val="clear" w:color="auto" w:fill="FFFFFF"/>
                </w:rPr>
                <w:t>:</w:t>
              </w:r>
            </w:p>
            <w:p>
              <w:pPr>
                <w:suppressAutoHyphens/>
                <w:jc w:val="both"/>
                <w:textAlignment w:val="baseline"/>
                <w:rPr>
                  <w:lang w:eastAsia="ar-SA"/>
                </w:rPr>
              </w:pPr>
              <w:r>
                <w:rPr>
                  <w:lang w:eastAsia="ar-SA"/>
                </w:rPr>
                <w:t>Turto valdymo skyriaus vyr. specialistė</w:t>
              </w:r>
            </w:p>
            <w:p>
              <w:pPr>
                <w:suppressAutoHyphens/>
                <w:jc w:val="both"/>
                <w:textAlignment w:val="baseline"/>
              </w:pPr>
              <w:r>
                <w:t>Laura Gimžauskienė</w:t>
              </w:r>
            </w:p>
            <w:p>
              <w:pPr>
                <w:suppressAutoHyphens/>
                <w:jc w:val="both"/>
                <w:textAlignment w:val="baseline"/>
                <w:sectPr>
                  <w:footerReference w:type="default" r:id="rId7"/>
                  <w:pgSz w:w="11906" w:h="16838"/>
                  <w:pgMar w:top="1134" w:right="567" w:bottom="1134" w:left="1701" w:header="567" w:footer="567" w:gutter="0"/>
                  <w:cols w:space="1296"/>
                  <w:docGrid w:linePitch="299"/>
                </w:sectPr>
              </w:pPr>
            </w:p>
          </w:sdtContent>
        </w:sdt>
      </w:sdtContent>
    </w:sdt>
    <w:sdt>
      <w:sdtPr>
        <w:alias w:val="pr."/>
        <w:tag w:val="part_d9f73b4bc22b4fbabc5152610711b0cb"/>
        <w:lock w:val="sdtLocked"/>
        <w:richText/>
      </w:sdtPr>
      <w:sdtContent>
        <w:p>
          <w:pPr>
            <w:suppressAutoHyphens/>
            <w:ind w:left="9923"/>
            <w:jc w:val="both"/>
            <w:rPr>
              <w:szCs w:val="24"/>
            </w:rPr>
          </w:pPr>
          <w:r>
            <w:rPr>
              <w:szCs w:val="24"/>
            </w:rPr>
            <w:t>Utenos rajono savivaldybės tarybos</w:t>
          </w:r>
        </w:p>
        <w:p>
          <w:pPr>
            <w:suppressAutoHyphens/>
            <w:ind w:left="9923"/>
            <w:jc w:val="both"/>
            <w:rPr>
              <w:szCs w:val="24"/>
            </w:rPr>
          </w:pPr>
          <w:r>
            <w:rPr>
              <w:szCs w:val="24"/>
            </w:rPr>
            <w:t>2022 m. lapkričio</w:t>
            <w:tab/>
            <w:t>d. sprendimo Nr. TS-</w:t>
          </w:r>
        </w:p>
        <w:p>
          <w:pPr>
            <w:suppressAutoHyphens/>
            <w:ind w:left="9923"/>
            <w:jc w:val="both"/>
            <w:rPr>
              <w:szCs w:val="24"/>
            </w:rPr>
          </w:pPr>
          <w:r>
            <w:rPr>
              <w:szCs w:val="24"/>
            </w:rPr>
            <w:t>priedas</w:t>
          </w:r>
        </w:p>
        <w:p>
          <w:pPr>
            <w:suppressAutoHyphens/>
            <w:ind w:left="9923"/>
            <w:jc w:val="both"/>
            <w:rPr>
              <w:szCs w:val="24"/>
            </w:rPr>
          </w:pPr>
        </w:p>
        <w:p>
          <w:pPr>
            <w:suppressAutoHyphens/>
            <w:ind w:left="142" w:firstLine="851"/>
            <w:jc w:val="center"/>
            <w:textAlignment w:val="baseline"/>
            <w:rPr>
              <w:rFonts w:eastAsia="Calibri"/>
              <w:b/>
              <w:bCs/>
              <w:caps/>
              <w:color w:val="000000"/>
              <w:szCs w:val="24"/>
            </w:rPr>
          </w:pPr>
          <w:sdt>
            <w:sdtPr>
              <w:alias w:val="Pavadinimas"/>
              <w:tag w:val="title_d9f73b4bc22b4fbabc5152610711b0cb"/>
              <w:lock w:val="sdtLocked"/>
              <w:richText/>
            </w:sdtPr>
            <w:sdtContent>
              <w:r>
                <w:rPr>
                  <w:rFonts w:eastAsia="Calibri"/>
                  <w:b/>
                  <w:bCs/>
                  <w:caps/>
                  <w:color w:val="000000"/>
                  <w:szCs w:val="24"/>
                </w:rPr>
                <w:t>UTENOS RAJONO SAVIVALDYBĖS APSKAITOJE REGISTRUOTO IR VALDOMO VALSTYBĖS TURTO, PERĖMIMO SAVIVALDYBĖS NUOSAVYBĖN, SĄRAŠAS</w:t>
              </w:r>
            </w:sdtContent>
          </w:sdt>
        </w:p>
        <w:p>
          <w:pPr>
            <w:rPr>
              <w:sz w:val="20"/>
            </w:rPr>
          </w:pPr>
        </w:p>
        <w:tbl>
          <w:tblPr>
            <w:tblW w:w="14565" w:type="dxa"/>
            <w:tblInd w:w="-5" w:type="dxa"/>
            <w:tblLayout w:type="fixed"/>
            <w:tblCellMar>
              <w:left w:w="10" w:type="dxa"/>
              <w:right w:w="10" w:type="dxa"/>
            </w:tblCellMar>
            <w:tblLook w:val="04A0" w:firstRow="1" w:lastRow="0" w:firstColumn="1" w:lastColumn="0" w:noHBand="0" w:noVBand="1"/>
          </w:tblPr>
          <w:tblGrid>
            <w:gridCol w:w="1956"/>
            <w:gridCol w:w="4987"/>
            <w:gridCol w:w="1558"/>
            <w:gridCol w:w="1417"/>
            <w:gridCol w:w="1842"/>
            <w:gridCol w:w="963"/>
            <w:gridCol w:w="1842"/>
          </w:tblGrid>
          <w:tr>
            <w:trPr>
              <w:trHeight w:val="1474"/>
            </w:trPr>
            <w:tc>
              <w:tcPr>
                <w:tcW w:w="19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76" w:lineRule="auto"/>
                  <w:jc w:val="center"/>
                  <w:textAlignment w:val="baseline"/>
                  <w:rPr>
                    <w:rFonts w:eastAsia="Calibri"/>
                    <w:color w:val="000000"/>
                    <w:szCs w:val="24"/>
                  </w:rPr>
                </w:pPr>
                <w:r>
                  <w:rPr>
                    <w:rFonts w:eastAsia="Calibri"/>
                    <w:color w:val="000000"/>
                    <w:szCs w:val="24"/>
                  </w:rPr>
                  <w:t>Įstaigos, kurios apskaitoje yra perduodamas objektas, pavadinimas</w:t>
                </w:r>
              </w:p>
            </w:tc>
            <w:tc>
              <w:tcPr>
                <w:tcW w:w="4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76" w:lineRule="auto"/>
                  <w:jc w:val="center"/>
                  <w:textAlignment w:val="baseline"/>
                  <w:rPr>
                    <w:rFonts w:eastAsia="Calibri"/>
                    <w:color w:val="000000"/>
                    <w:szCs w:val="24"/>
                  </w:rPr>
                </w:pPr>
                <w:r>
                  <w:rPr>
                    <w:rFonts w:eastAsia="Calibri"/>
                    <w:color w:val="000000"/>
                    <w:szCs w:val="24"/>
                  </w:rPr>
                  <w:t>Objekto pavadinimas ir adresas (vieta)</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76" w:lineRule="auto"/>
                  <w:jc w:val="center"/>
                  <w:textAlignment w:val="baseline"/>
                  <w:rPr>
                    <w:rFonts w:eastAsia="Calibri"/>
                    <w:color w:val="000000"/>
                    <w:szCs w:val="24"/>
                  </w:rPr>
                </w:pPr>
                <w:r>
                  <w:rPr>
                    <w:rFonts w:eastAsia="Calibri"/>
                    <w:color w:val="000000"/>
                    <w:szCs w:val="24"/>
                  </w:rPr>
                  <w:t>Įsigijimo vertė (Eur)</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76" w:lineRule="auto"/>
                  <w:jc w:val="center"/>
                  <w:textAlignment w:val="baseline"/>
                  <w:rPr>
                    <w:rFonts w:eastAsia="Calibri"/>
                    <w:color w:val="000000"/>
                    <w:szCs w:val="24"/>
                  </w:rPr>
                </w:pPr>
                <w:r>
                  <w:rPr>
                    <w:rFonts w:eastAsia="Calibri"/>
                    <w:color w:val="000000"/>
                    <w:szCs w:val="24"/>
                  </w:rPr>
                  <w:t>Likutinė vertė (Eur)</w:t>
                </w:r>
              </w:p>
              <w:p>
                <w:pPr>
                  <w:suppressAutoHyphens/>
                  <w:spacing w:line="276" w:lineRule="auto"/>
                  <w:jc w:val="center"/>
                  <w:textAlignment w:val="baseline"/>
                  <w:rPr>
                    <w:rFonts w:eastAsia="Calibri"/>
                    <w:color w:val="000000"/>
                    <w:szCs w:val="24"/>
                  </w:rPr>
                </w:pPr>
                <w:r>
                  <w:rPr>
                    <w:rFonts w:eastAsia="Calibri"/>
                    <w:szCs w:val="24"/>
                  </w:rPr>
                  <w:t>2022-10-31</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76" w:lineRule="auto"/>
                  <w:jc w:val="center"/>
                  <w:textAlignment w:val="baseline"/>
                  <w:rPr>
                    <w:rFonts w:eastAsia="Calibri"/>
                    <w:color w:val="000000"/>
                    <w:szCs w:val="24"/>
                  </w:rPr>
                </w:pPr>
                <w:r>
                  <w:rPr>
                    <w:rFonts w:eastAsia="Calibri"/>
                    <w:color w:val="000000"/>
                    <w:szCs w:val="24"/>
                  </w:rPr>
                  <w:t>Unikalus numeris</w:t>
                </w:r>
              </w:p>
            </w:tc>
            <w:tc>
              <w:tcPr>
                <w:tcW w:w="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76" w:lineRule="auto"/>
                  <w:jc w:val="center"/>
                  <w:textAlignment w:val="baseline"/>
                  <w:rPr>
                    <w:rFonts w:eastAsia="Calibri"/>
                    <w:color w:val="000000"/>
                    <w:szCs w:val="24"/>
                  </w:rPr>
                </w:pPr>
                <w:r>
                  <w:rPr>
                    <w:rFonts w:eastAsia="Calibri"/>
                    <w:color w:val="000000"/>
                    <w:szCs w:val="24"/>
                  </w:rPr>
                  <w:t>Ilgis (km)</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76" w:lineRule="auto"/>
                  <w:jc w:val="center"/>
                  <w:textAlignment w:val="baseline"/>
                  <w:rPr>
                    <w:rFonts w:eastAsia="Calibri"/>
                    <w:color w:val="000000"/>
                    <w:szCs w:val="24"/>
                  </w:rPr>
                </w:pPr>
                <w:r>
                  <w:rPr>
                    <w:rFonts w:eastAsia="Calibri"/>
                    <w:color w:val="000000"/>
                    <w:szCs w:val="24"/>
                  </w:rPr>
                  <w:t>Registro Nr., inventorizavimo data</w:t>
                </w:r>
              </w:p>
            </w:tc>
          </w:tr>
          <w:tr>
            <w:trPr>
              <w:trHeight w:val="449"/>
            </w:trPr>
            <w:tc>
              <w:tcPr>
                <w:tcW w:w="195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Kelias Tauragnai – Taurapilis</w:t>
                </w:r>
              </w:p>
              <w:p>
                <w:pPr>
                  <w:suppressAutoHyphens/>
                  <w:jc w:val="center"/>
                  <w:textAlignment w:val="baseline"/>
                  <w:rPr>
                    <w:rFonts w:eastAsia="Calibri"/>
                    <w:color w:val="000000"/>
                    <w:szCs w:val="24"/>
                  </w:rPr>
                </w:pPr>
                <w:r>
                  <w:rPr>
                    <w:rFonts w:eastAsia="Calibri"/>
                    <w:color w:val="000000"/>
                    <w:szCs w:val="24"/>
                  </w:rPr>
                  <w:t>(Utenos r. sav. Tauragnų k.)</w:t>
                </w:r>
              </w:p>
            </w:tc>
            <w:tc>
              <w:tcPr>
                <w:tcW w:w="1559"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30610,00</w:t>
                </w:r>
              </w:p>
            </w:tc>
            <w:tc>
              <w:tcPr>
                <w:tcW w:w="14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24372,84</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4400-5941-4607</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0,441</w:t>
                </w:r>
              </w:p>
            </w:tc>
            <w:tc>
              <w:tcPr>
                <w:tcW w:w="184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44/2778808</w:t>
                </w:r>
              </w:p>
              <w:p>
                <w:pPr>
                  <w:suppressAutoHyphens/>
                  <w:jc w:val="center"/>
                  <w:textAlignment w:val="baseline"/>
                  <w:rPr>
                    <w:rFonts w:eastAsia="Calibri"/>
                    <w:color w:val="000000"/>
                    <w:szCs w:val="24"/>
                  </w:rPr>
                </w:pPr>
                <w:r>
                  <w:rPr>
                    <w:rFonts w:eastAsia="Calibri"/>
                    <w:color w:val="000000"/>
                    <w:szCs w:val="24"/>
                  </w:rPr>
                  <w:t>2022-09-02</w:t>
                </w:r>
              </w:p>
            </w:tc>
          </w:tr>
          <w:tr>
            <w:trPr>
              <w:trHeight w:val="381"/>
            </w:trPr>
            <w:tc>
              <w:tcPr>
                <w:tcW w:w="1956"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ascii="Calibri" w:eastAsia="Calibri" w:hAnsi="Calibri"/>
                    <w:sz w:val="22"/>
                    <w:szCs w:val="22"/>
                  </w:rPr>
                </w:pPr>
              </w:p>
            </w:tc>
            <w:tc>
              <w:tcPr>
                <w:tcW w:w="4990"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4400-5941-4594</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0,751</w:t>
                </w: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r>
          <w:tr>
            <w:trPr>
              <w:trHeight w:val="196"/>
            </w:trPr>
            <w:tc>
              <w:tcPr>
                <w:tcW w:w="1956"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ascii="Calibri" w:eastAsia="Calibri" w:hAnsi="Calibri"/>
                    <w:sz w:val="22"/>
                    <w:szCs w:val="22"/>
                  </w:rPr>
                </w:pPr>
              </w:p>
            </w:tc>
            <w:tc>
              <w:tcPr>
                <w:tcW w:w="4990"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4400-5941-4618</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0,301</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44/2778809</w:t>
                </w:r>
              </w:p>
              <w:p>
                <w:pPr>
                  <w:suppressAutoHyphens/>
                  <w:jc w:val="center"/>
                  <w:textAlignment w:val="baseline"/>
                  <w:rPr>
                    <w:rFonts w:eastAsia="Calibri"/>
                    <w:color w:val="000000"/>
                    <w:szCs w:val="24"/>
                  </w:rPr>
                </w:pPr>
                <w:r>
                  <w:rPr>
                    <w:rFonts w:eastAsia="Calibri"/>
                    <w:color w:val="000000"/>
                    <w:szCs w:val="24"/>
                  </w:rPr>
                  <w:t>2022-09-02</w:t>
                </w:r>
              </w:p>
            </w:tc>
          </w:tr>
          <w:tr>
            <w:trPr>
              <w:trHeight w:val="416"/>
            </w:trPr>
            <w:tc>
              <w:tcPr>
                <w:tcW w:w="195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Kelias Grašiai – Maleckažemis</w:t>
                </w:r>
              </w:p>
              <w:p>
                <w:pPr>
                  <w:suppressAutoHyphens/>
                  <w:jc w:val="center"/>
                  <w:textAlignment w:val="baseline"/>
                  <w:rPr>
                    <w:rFonts w:eastAsia="Calibri"/>
                    <w:color w:val="000000"/>
                    <w:szCs w:val="24"/>
                  </w:rPr>
                </w:pPr>
                <w:r>
                  <w:rPr>
                    <w:rFonts w:eastAsia="Calibri"/>
                    <w:color w:val="000000"/>
                    <w:szCs w:val="24"/>
                  </w:rPr>
                  <w:t>(Utenos r. sav. Kamšos k.)</w:t>
                </w:r>
              </w:p>
            </w:tc>
            <w:tc>
              <w:tcPr>
                <w:tcW w:w="1559"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95500,00</w:t>
                </w:r>
              </w:p>
            </w:tc>
            <w:tc>
              <w:tcPr>
                <w:tcW w:w="14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83866,02</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4400-5943-9840</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1,165</w:t>
                </w:r>
              </w:p>
            </w:tc>
            <w:tc>
              <w:tcPr>
                <w:tcW w:w="184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44/2780043</w:t>
                </w:r>
              </w:p>
              <w:p>
                <w:pPr>
                  <w:suppressAutoHyphens/>
                  <w:jc w:val="center"/>
                  <w:textAlignment w:val="baseline"/>
                  <w:rPr>
                    <w:rFonts w:eastAsia="Calibri"/>
                    <w:color w:val="000000"/>
                    <w:szCs w:val="24"/>
                  </w:rPr>
                </w:pPr>
                <w:r>
                  <w:rPr>
                    <w:rFonts w:eastAsia="Calibri"/>
                    <w:color w:val="000000"/>
                    <w:szCs w:val="24"/>
                  </w:rPr>
                  <w:t>2022-09-06</w:t>
                </w:r>
              </w:p>
            </w:tc>
          </w:tr>
          <w:tr>
            <w:trPr>
              <w:trHeight w:val="421"/>
            </w:trPr>
            <w:tc>
              <w:tcPr>
                <w:tcW w:w="1956"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ascii="Calibri" w:eastAsia="Calibri" w:hAnsi="Calibri"/>
                    <w:sz w:val="22"/>
                    <w:szCs w:val="22"/>
                  </w:rPr>
                </w:pPr>
              </w:p>
            </w:tc>
            <w:tc>
              <w:tcPr>
                <w:tcW w:w="4990"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4400-5943-9862</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3,092</w:t>
                </w: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r>
          <w:tr>
            <w:trPr>
              <w:trHeight w:val="838"/>
            </w:trPr>
            <w:tc>
              <w:tcPr>
                <w:tcW w:w="19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Kelias Vidžiūnai – Kalviai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30500,00</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26549,30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4400-5940-1919</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1,486</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44/2778091</w:t>
                </w:r>
              </w:p>
              <w:p>
                <w:pPr>
                  <w:suppressAutoHyphens/>
                  <w:jc w:val="center"/>
                  <w:textAlignment w:val="baseline"/>
                  <w:rPr>
                    <w:rFonts w:eastAsia="Calibri"/>
                    <w:color w:val="000000"/>
                    <w:szCs w:val="24"/>
                  </w:rPr>
                </w:pPr>
                <w:r>
                  <w:rPr>
                    <w:rFonts w:eastAsia="Calibri"/>
                    <w:color w:val="000000"/>
                    <w:szCs w:val="24"/>
                  </w:rPr>
                  <w:t>2022-09-02</w:t>
                </w:r>
              </w:p>
            </w:tc>
          </w:tr>
          <w:tr>
            <w:trPr>
              <w:trHeight w:val="853"/>
            </w:trPr>
            <w:tc>
              <w:tcPr>
                <w:tcW w:w="19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Kelias Vilkablauzdė – Ruzgiškės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88500,00</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77278,48</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4400-5941-2912</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4,186</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44/2778126</w:t>
                </w:r>
              </w:p>
              <w:p>
                <w:pPr>
                  <w:suppressAutoHyphens/>
                  <w:jc w:val="center"/>
                  <w:textAlignment w:val="baseline"/>
                  <w:rPr>
                    <w:rFonts w:eastAsia="Calibri"/>
                    <w:color w:val="000000"/>
                    <w:szCs w:val="24"/>
                  </w:rPr>
                </w:pPr>
                <w:r>
                  <w:rPr>
                    <w:rFonts w:eastAsia="Calibri"/>
                    <w:color w:val="000000"/>
                    <w:szCs w:val="24"/>
                  </w:rPr>
                  <w:t>2022-09-02</w:t>
                </w:r>
              </w:p>
            </w:tc>
          </w:tr>
          <w:tr>
            <w:trPr>
              <w:trHeight w:val="395"/>
            </w:trPr>
            <w:tc>
              <w:tcPr>
                <w:tcW w:w="195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Kelias Avižieniškis – Pišilinio miškas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15310,00</w:t>
                </w:r>
              </w:p>
            </w:tc>
            <w:tc>
              <w:tcPr>
                <w:tcW w:w="14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13018,75</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4400-5940-7702</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0,108</w:t>
                </w:r>
              </w:p>
            </w:tc>
            <w:tc>
              <w:tcPr>
                <w:tcW w:w="184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44/2778482</w:t>
                </w:r>
              </w:p>
              <w:p>
                <w:pPr>
                  <w:suppressAutoHyphens/>
                  <w:jc w:val="center"/>
                  <w:textAlignment w:val="baseline"/>
                  <w:rPr>
                    <w:rFonts w:eastAsia="Calibri"/>
                    <w:color w:val="000000"/>
                    <w:szCs w:val="24"/>
                  </w:rPr>
                </w:pPr>
                <w:r>
                  <w:rPr>
                    <w:rFonts w:eastAsia="Calibri"/>
                    <w:color w:val="000000"/>
                    <w:szCs w:val="24"/>
                  </w:rPr>
                  <w:t>2022-09-02</w:t>
                </w:r>
              </w:p>
            </w:tc>
          </w:tr>
          <w:tr>
            <w:trPr>
              <w:trHeight w:val="417"/>
            </w:trPr>
            <w:tc>
              <w:tcPr>
                <w:tcW w:w="1956"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ascii="Calibri" w:eastAsia="Calibri" w:hAnsi="Calibri"/>
                    <w:sz w:val="22"/>
                    <w:szCs w:val="22"/>
                  </w:rPr>
                </w:pPr>
              </w:p>
            </w:tc>
            <w:tc>
              <w:tcPr>
                <w:tcW w:w="4990"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4400-5941-4942</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0,639</w:t>
                </w: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textAlignment w:val="baseline"/>
                  <w:rPr>
                    <w:rFonts w:eastAsia="Calibri"/>
                    <w:color w:val="000000"/>
                    <w:szCs w:val="24"/>
                  </w:rPr>
                </w:pPr>
              </w:p>
            </w:tc>
          </w:tr>
          <w:tr>
            <w:trPr>
              <w:trHeight w:val="838"/>
            </w:trPr>
            <w:tc>
              <w:tcPr>
                <w:tcW w:w="19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Kelias Musteikiai – Bajorai</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68100,00</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61043,97</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4400-5941-2767</w:t>
                </w:r>
              </w:p>
            </w:tc>
            <w:tc>
              <w:tcPr>
                <w:tcW w:w="9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2,545</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44/2778120</w:t>
                </w:r>
              </w:p>
              <w:p>
                <w:pPr>
                  <w:suppressAutoHyphens/>
                  <w:jc w:val="center"/>
                  <w:textAlignment w:val="baseline"/>
                  <w:rPr>
                    <w:rFonts w:eastAsia="Calibri"/>
                    <w:color w:val="000000"/>
                    <w:szCs w:val="24"/>
                  </w:rPr>
                </w:pPr>
                <w:r>
                  <w:rPr>
                    <w:rFonts w:eastAsia="Calibri"/>
                    <w:color w:val="000000"/>
                    <w:szCs w:val="24"/>
                  </w:rPr>
                  <w:t>2022-09-02</w:t>
                </w:r>
              </w:p>
            </w:tc>
          </w:tr>
          <w:tr>
            <w:trPr>
              <w:trHeight w:val="852"/>
            </w:trPr>
            <w:tc>
              <w:tcPr>
                <w:tcW w:w="1956"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vAlign w:val="center"/>
                <w:hideMark/>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Kelias Šimkūnai – Taurapilis</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50100,00</w:t>
                </w:r>
              </w:p>
            </w:tc>
            <w:tc>
              <w:tcPr>
                <w:tcW w:w="1418"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43581,70</w:t>
                </w:r>
              </w:p>
            </w:tc>
            <w:tc>
              <w:tcPr>
                <w:tcW w:w="1843"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4400-5940-8165</w:t>
                </w:r>
              </w:p>
            </w:tc>
            <w:tc>
              <w:tcPr>
                <w:tcW w:w="963"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2,433</w:t>
                </w:r>
              </w:p>
            </w:tc>
            <w:tc>
              <w:tcPr>
                <w:tcW w:w="1843" w:type="dxa"/>
                <w:tcBorders>
                  <w:top w:val="single" w:sz="4" w:space="0" w:color="auto"/>
                  <w:left w:val="single" w:sz="4" w:space="0" w:color="000000"/>
                  <w:bottom w:val="single" w:sz="4" w:space="0" w:color="auto"/>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44/2778504</w:t>
                </w:r>
              </w:p>
              <w:p>
                <w:pPr>
                  <w:suppressAutoHyphens/>
                  <w:jc w:val="center"/>
                  <w:textAlignment w:val="baseline"/>
                  <w:rPr>
                    <w:rFonts w:eastAsia="Calibri"/>
                    <w:color w:val="000000"/>
                    <w:szCs w:val="24"/>
                  </w:rPr>
                </w:pPr>
                <w:r>
                  <w:rPr>
                    <w:rFonts w:eastAsia="Calibri"/>
                    <w:color w:val="000000"/>
                    <w:szCs w:val="24"/>
                  </w:rPr>
                  <w:t>2022-09-02</w:t>
                </w:r>
              </w:p>
            </w:tc>
          </w:tr>
          <w:tr>
            <w:trPr>
              <w:trHeight w:val="839"/>
            </w:trPr>
            <w:tc>
              <w:tcPr>
                <w:tcW w:w="19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rFonts w:ascii="Calibri" w:eastAsia="Calibri" w:hAnsi="Calibri"/>
                    <w:sz w:val="22"/>
                    <w:szCs w:val="22"/>
                  </w:rPr>
                </w:pPr>
                <w:r>
                  <w:rPr>
                    <w:rFonts w:eastAsia="Calibri"/>
                    <w:szCs w:val="24"/>
                  </w:rPr>
                  <w:t>Utenos rajono savivaldybė</w:t>
                </w:r>
              </w:p>
            </w:tc>
            <w:tc>
              <w:tcPr>
                <w:tcW w:w="4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Kelias Tauragnai – Palabės g.</w:t>
                </w:r>
              </w:p>
              <w:p>
                <w:pPr>
                  <w:suppressAutoHyphens/>
                  <w:jc w:val="center"/>
                  <w:textAlignment w:val="baseline"/>
                  <w:rPr>
                    <w:rFonts w:eastAsia="Calibri"/>
                    <w:color w:val="000000"/>
                    <w:szCs w:val="24"/>
                  </w:rPr>
                </w:pPr>
                <w:r>
                  <w:rPr>
                    <w:rFonts w:eastAsia="Calibri"/>
                    <w:color w:val="000000"/>
                    <w:szCs w:val="24"/>
                  </w:rPr>
                  <w:t>(Utenos r. sav., Utenos r. sav. teritorija)</w:t>
                </w:r>
              </w:p>
            </w:tc>
            <w:tc>
              <w:tcPr>
                <w:tcW w:w="15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72400,00</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69957,34</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4400-5939-9712</w:t>
                </w:r>
              </w:p>
            </w:tc>
            <w:tc>
              <w:tcPr>
                <w:tcW w:w="96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2,504</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rFonts w:eastAsia="Calibri"/>
                    <w:color w:val="000000"/>
                    <w:szCs w:val="24"/>
                  </w:rPr>
                </w:pPr>
                <w:r>
                  <w:rPr>
                    <w:rFonts w:eastAsia="Calibri"/>
                    <w:color w:val="000000"/>
                    <w:szCs w:val="24"/>
                  </w:rPr>
                  <w:t>44/2777902</w:t>
                </w:r>
              </w:p>
              <w:p>
                <w:pPr>
                  <w:suppressAutoHyphens/>
                  <w:jc w:val="center"/>
                  <w:textAlignment w:val="baseline"/>
                  <w:rPr>
                    <w:rFonts w:eastAsia="Calibri"/>
                    <w:color w:val="000000"/>
                    <w:szCs w:val="24"/>
                  </w:rPr>
                </w:pPr>
                <w:r>
                  <w:rPr>
                    <w:rFonts w:eastAsia="Calibri"/>
                    <w:color w:val="000000"/>
                    <w:szCs w:val="24"/>
                  </w:rPr>
                  <w:t>2022-09-02</w:t>
                </w:r>
              </w:p>
            </w:tc>
          </w:tr>
        </w:tbl>
        <w:p>
          <w:pPr>
            <w:suppressAutoHyphens/>
            <w:jc w:val="center"/>
            <w:textAlignment w:val="baseline"/>
            <w:rPr>
              <w:rFonts w:ascii="Calibri" w:eastAsia="Calibri" w:hAnsi="Calibri"/>
              <w:sz w:val="22"/>
              <w:szCs w:val="22"/>
            </w:rPr>
          </w:pPr>
        </w:p>
        <w:p>
          <w:pPr>
            <w:suppressAutoHyphens/>
            <w:jc w:val="center"/>
            <w:textAlignment w:val="baseline"/>
            <w:rPr>
              <w:rFonts w:ascii="Calibri" w:eastAsia="Calibri" w:hAnsi="Calibri"/>
              <w:sz w:val="22"/>
              <w:szCs w:val="22"/>
              <w:u w:val="single"/>
            </w:rPr>
          </w:pPr>
          <w:r>
            <w:rPr>
              <w:rFonts w:ascii="Calibri" w:eastAsia="Calibri" w:hAnsi="Calibri"/>
              <w:sz w:val="22"/>
              <w:szCs w:val="22"/>
              <w:u w:val="single"/>
            </w:rPr>
            <w:t>___________________________</w:t>
          </w:r>
        </w:p>
        <w:p>
          <w:pPr>
            <w:rPr>
              <w:sz w:val="14"/>
              <w:szCs w:val="14"/>
            </w:rPr>
          </w:pPr>
        </w:p>
        <w:p>
          <w:pPr>
            <w:tabs>
              <w:tab w:val="left" w:pos="5812"/>
              <w:tab w:val="left" w:pos="9090"/>
            </w:tabs>
            <w:suppressAutoHyphens/>
            <w:jc w:val="center"/>
            <w:textAlignment w:val="baseline"/>
            <w:rPr>
              <w:rFonts w:ascii="Calibri" w:eastAsia="Calibri" w:hAnsi="Calibri"/>
              <w:sz w:val="22"/>
              <w:szCs w:val="22"/>
            </w:rPr>
            <w:sectPr>
              <w:pgSz w:w="16838" w:h="11906" w:orient="landscape"/>
              <w:pgMar w:top="1134" w:right="567" w:bottom="1134" w:left="1701" w:header="567" w:footer="567" w:gutter="0"/>
              <w:cols w:space="1296"/>
              <w:docGrid w:linePitch="299"/>
            </w:sectPr>
          </w:pPr>
        </w:p>
        <w:sdt>
          <w:sdtPr>
            <w:alias w:val="lentele"/>
            <w:tag w:val="part_71fe5f277c30482c9c1b3a588fe01e96"/>
            <w:lock w:val="sdtLocked"/>
            <w:richText/>
          </w:sdtPr>
          <w:sdtContent>
            <w:p>
              <w:pPr>
                <w:suppressAutoHyphens/>
                <w:jc w:val="center"/>
                <w:rPr>
                  <w:b/>
                  <w:szCs w:val="24"/>
                  <w:lang w:eastAsia="ar-SA"/>
                </w:rPr>
              </w:pPr>
              <w:sdt>
                <w:sdtPr>
                  <w:alias w:val="Pavadinimas"/>
                  <w:tag w:val="title_71fe5f277c30482c9c1b3a588fe01e96"/>
                  <w:lock w:val="sdtLocked"/>
                  <w:richText/>
                </w:sdtPr>
                <w:sdtContent>
                  <w:r>
                    <w:rPr>
                      <w:b/>
                      <w:szCs w:val="24"/>
                      <w:lang w:eastAsia="ar-SA"/>
                    </w:rPr>
                    <w:t>AIŠKINAMASIS RAŠTAS</w:t>
                  </w:r>
                </w:sdtContent>
              </w:sdt>
            </w:p>
            <w:p>
              <w:pPr>
                <w:suppressAutoHyphens/>
                <w:rPr>
                  <w:szCs w:val="24"/>
                  <w:lang w:eastAsia="ar-SA"/>
                </w:rPr>
              </w:pPr>
            </w:p>
            <w:tbl>
              <w:tblPr>
                <w:tblW w:w="9855" w:type="dxa"/>
                <w:tblLayout w:type="fixed"/>
                <w:tblCellMar>
                  <w:left w:w="10" w:type="dxa"/>
                  <w:right w:w="10" w:type="dxa"/>
                </w:tblCellMar>
                <w:tblLook w:val="04A0" w:firstRow="1" w:lastRow="0" w:firstColumn="1" w:lastColumn="0" w:noHBand="0" w:noVBand="1"/>
              </w:tblPr>
              <w:tblGrid>
                <w:gridCol w:w="479"/>
                <w:gridCol w:w="1331"/>
                <w:gridCol w:w="1843"/>
                <w:gridCol w:w="1896"/>
                <w:gridCol w:w="4306"/>
              </w:tblGrid>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1.</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Sprendimo projekto</w:t>
                    </w:r>
                  </w:p>
                  <w:p>
                    <w:pPr>
                      <w:suppressAutoHyphens/>
                      <w:jc w:val="both"/>
                      <w:rPr>
                        <w:szCs w:val="24"/>
                      </w:rPr>
                    </w:pPr>
                    <w:r>
                      <w:rPr>
                        <w:szCs w:val="24"/>
                      </w:rPr>
                      <w:t>pavadinimas</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b/>
                        <w:szCs w:val="24"/>
                      </w:rPr>
                      <w:t xml:space="preserve">DĖL </w:t>
                    </w:r>
                    <w:r>
                      <w:rPr>
                        <w:b/>
                        <w:bCs/>
                        <w:caps/>
                        <w:color w:val="000000"/>
                        <w:szCs w:val="24"/>
                        <w:lang w:eastAsia="zh-CN"/>
                      </w:rPr>
                      <w:t>UTENOS RAJONO SAVIVALDYBĖS APSKAITOJE REGISTRUOTo IR VALDOMo VALSTYBĖS TURTo perėmimo</w:t>
                    </w:r>
                    <w:r>
                      <w:rPr>
                        <w:b/>
                        <w:szCs w:val="24"/>
                      </w:rPr>
                      <w:t xml:space="preserve"> SAVIVALDYBĖS NUOSAVYBĖN</w:t>
                    </w:r>
                  </w:p>
                </w:tc>
              </w:tr>
              <w:tr>
                <w:trPr>
                  <w:trHeight w:val="592"/>
                </w:trP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2.</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Sprendimo projekto</w:t>
                    </w:r>
                  </w:p>
                  <w:p>
                    <w:pPr>
                      <w:suppressAutoHyphens/>
                      <w:jc w:val="both"/>
                      <w:rPr>
                        <w:szCs w:val="24"/>
                      </w:rPr>
                    </w:pPr>
                    <w:r>
                      <w:rPr>
                        <w:szCs w:val="24"/>
                      </w:rPr>
                      <w:t>rengėjas</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both"/>
                      <w:rPr>
                        <w:rFonts w:eastAsia="Lucida Sans Unicode"/>
                        <w:kern w:val="3"/>
                        <w:szCs w:val="24"/>
                        <w:lang w:eastAsia="zh-CN" w:bidi="hi-IN"/>
                      </w:rPr>
                    </w:pPr>
                    <w:r>
                      <w:rPr>
                        <w:kern w:val="3"/>
                        <w:szCs w:val="24"/>
                        <w:lang w:eastAsia="ar-SA"/>
                      </w:rPr>
                      <w:t>Turto valdymo skyriaus vyr. specialistė Laura Gimžauskienė</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3.</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 xml:space="preserve">Problemos iškėlimas – </w:t>
                    </w:r>
                  </w:p>
                  <w:p>
                    <w:pPr>
                      <w:suppressAutoHyphens/>
                      <w:jc w:val="both"/>
                      <w:rPr>
                        <w:szCs w:val="24"/>
                      </w:rPr>
                    </w:pPr>
                    <w:r>
                      <w:rPr>
                        <w:szCs w:val="24"/>
                      </w:rPr>
                      <w:t>situacijos analizė</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textAlignment w:val="baseline"/>
                      <w:rPr>
                        <w:rFonts w:eastAsia="Calibri"/>
                        <w:szCs w:val="24"/>
                      </w:rPr>
                    </w:pPr>
                    <w:r>
                      <w:rPr>
                        <w:rFonts w:eastAsia="Calibri"/>
                        <w:szCs w:val="24"/>
                      </w:rPr>
                      <w:t>Vietinės reikšmės viešieji keliai yra faktiškai valdomas ir Utenos rajono savivaldybės apskaitoje valdomas valstybės turtas, kuris nėra įregistruotas Nekilnojamojo turto registre kaip Utenos rajono savivaldybei nuosavybės teise priklausantis turtas.</w:t>
                    </w:r>
                  </w:p>
                  <w:p>
                    <w:pPr>
                      <w:suppressAutoHyphens/>
                      <w:jc w:val="both"/>
                      <w:textAlignment w:val="baseline"/>
                      <w:rPr>
                        <w:rFonts w:eastAsia="Calibri"/>
                        <w:szCs w:val="24"/>
                      </w:rPr>
                    </w:pPr>
                    <w:r>
                      <w:rPr>
                        <w:rFonts w:eastAsia="Calibri"/>
                        <w:szCs w:val="24"/>
                      </w:rPr>
                      <w:t>Todėl siekiant perimti valstybės turtą (vietinės reikšmės viešuosius kelius) Utenos rajono savivaldybės nuosavybėn ir įregistruoti nuosavybės teisės į jį Nekilnojamojo turto registre, teikiamas sprendimo projektas, kuris vadovaujantis Lietuvos Respublikos valstybės turto perdavimo savivaldybių nuosavybėn įstatymo 4 straipsnio 2 dalimi bus teisinis pagrindas teisės aktų nustatyta tvarka Nekilnojamojo turto registre įregistruoti savivaldybės nuosavybės teises į pagal Įstatymą savivaldybių nuosavybėn priskirtą valstybės nekilnojamąjį turtą (vietinės reikšmės viešuosius kelius).</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4.</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Dėl kokios priežasties teikiamas sprendimo projektas, ko juo siekiama? Tikslai ir uždaviniai</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tabs>
                        <w:tab w:val="left" w:pos="-251"/>
                        <w:tab w:val="left" w:pos="851"/>
                        <w:tab w:val="left" w:pos="1134"/>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33" w:firstLine="5"/>
                      <w:jc w:val="both"/>
                      <w:rPr>
                        <w:rFonts w:eastAsia="Lucida Sans Unicode" w:cs="Mangal"/>
                        <w:kern w:val="3"/>
                        <w:szCs w:val="24"/>
                        <w:shd w:val="clear" w:color="auto" w:fill="FFFFFF"/>
                        <w:lang w:eastAsia="zh-CN" w:bidi="hi-IN"/>
                      </w:rPr>
                    </w:pPr>
                    <w:r>
                      <w:rPr>
                        <w:rFonts w:eastAsia="Lucida Sans Unicode" w:cs="Mangal"/>
                        <w:kern w:val="3"/>
                        <w:szCs w:val="24"/>
                        <w:shd w:val="clear" w:color="auto" w:fill="FFFFFF"/>
                        <w:lang w:eastAsia="zh-CN" w:bidi="hi-IN"/>
                      </w:rPr>
                      <w:t>Sprendimo projektu siekiama perimti Utenos rajono savivaldybės apskaitoje registruotą ir valdomą valstybės nekilnojamąjį turtą (vietinės reikšmės viešuosius kelius ir gatves) Utenos rajono savivaldybės nuosavybėn.</w:t>
                    </w:r>
                  </w:p>
                </w:tc>
              </w:tr>
              <w:t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TA</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 xml:space="preserve">Ryšys su LR įstatymais, LRV nutarimais, savivaldybės priimtais sprendimais ir kitais teisės aktais, patvirtintais prioritetais, ilgalaikiais ir vidutinės trukmės planavimo dokumentais, ES teise </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both"/>
                      <w:rPr>
                        <w:rFonts w:eastAsia="Lucida Sans Unicode"/>
                        <w:kern w:val="3"/>
                        <w:szCs w:val="24"/>
                        <w:lang w:eastAsia="zh-CN" w:bidi="hi-IN"/>
                      </w:rPr>
                    </w:pPr>
                    <w:r>
                      <w:rPr>
                        <w:rFonts w:eastAsia="Calibri"/>
                        <w:szCs w:val="24"/>
                      </w:rPr>
                      <w:t>Sprendimo projektas buvo parengtas vadovaujantis Lietuvos Respublikos vietos savivaldos įstatymo 6 straipsnio 32 punktu, 16 straipsnio 4 dalimi, Lietuvos Respublikos valstybės ir savivaldybių turto valdymo, naudojimo ir disponavimo juo įstatymo 6 straipsnio 1 punktu, Lietuvos Respublikos kelių įstatymo 6 straipsnio 1 ir 4 dalimis, Lietuvos Respublikos valstybės turto perdavimo savivaldybių nuosavybėn įstatymo 3 straipsnio 1 dalies 2 punktu, 2 dalimi ir 4 straipsnio 1 dalimi.</w:t>
                    </w:r>
                  </w:p>
                </w:tc>
              </w:tr>
              <w:tr>
                <w:trPr>
                  <w:trHeight w:val="1209"/>
                </w:trPr>
                <w:tc>
                  <w:tcPr>
                    <w:tcW w:w="47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w:t>
                    </w:r>
                  </w:p>
                </w:tc>
                <w:tc>
                  <w:tcPr>
                    <w:tcW w:w="1331"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extDirection w:val="btLr"/>
                    <w:hideMark/>
                  </w:tcPr>
                  <w:p>
                    <w:pPr>
                      <w:suppressAutoHyphens/>
                      <w:jc w:val="both"/>
                      <w:rPr>
                        <w:szCs w:val="24"/>
                      </w:rPr>
                    </w:pPr>
                    <w:r>
                      <w:rPr>
                        <w:szCs w:val="24"/>
                      </w:rPr>
                      <w:t>Administracinės naštos asmenims ir ūkio subjektams vertinimas (tik norminio pobūdžio projektams)</w:t>
                    </w:r>
                  </w:p>
                </w:tc>
                <w:tc>
                  <w:tcPr>
                    <w:tcW w:w="37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6.1. Ar projekte numatomi papildomi informaciniai įpareigojimai asmenims ar ūkio subjektams? Nurodykite numatomą jų poveikį.</w:t>
                    </w:r>
                  </w:p>
                </w:tc>
                <w:tc>
                  <w:tcPr>
                    <w:tcW w:w="43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Nevertinama</w:t>
                    </w:r>
                  </w:p>
                </w:tc>
              </w:tr>
              <w:tr>
                <w:trPr>
                  <w:trHeight w:val="1127"/>
                </w:trPr>
                <w:tc>
                  <w:tcPr>
                    <w:tcW w:w="478"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174"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7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6.2. Ar projekte numatant papildomus informacinius įpareigojimus vieniems subjektams, jie mažės kitiems? Nurodykite numatomą poveikį.</w:t>
                    </w:r>
                  </w:p>
                </w:tc>
                <w:tc>
                  <w:tcPr>
                    <w:tcW w:w="43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Nevertinama</w:t>
                    </w:r>
                  </w:p>
                </w:tc>
              </w:tr>
              <w:tr>
                <w:trPr>
                  <w:trHeight w:val="648"/>
                </w:trPr>
                <w:tc>
                  <w:tcPr>
                    <w:tcW w:w="478"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174"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37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6.3. Ar projektu numatoma atsisakyti informacinių įpareigojimų asmenims ar ūkio subjektams? Nurodykite numatomą jų poveikį.</w:t>
                    </w:r>
                  </w:p>
                </w:tc>
                <w:tc>
                  <w:tcPr>
                    <w:tcW w:w="43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Nevertinama</w:t>
                    </w:r>
                  </w:p>
                </w:tc>
              </w:tr>
              <w:tr>
                <w:trPr>
                  <w:trHeight w:val="1101"/>
                </w:trP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7.</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Galimos neigiamos sprendimo pasekmės savivaldybės finansams, ekonomikai, socialinei aplinkai</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rFonts w:eastAsia="Lucida Sans Unicode" w:cs="Mangal"/>
                        <w:kern w:val="3"/>
                        <w:szCs w:val="24"/>
                        <w:lang w:eastAsia="zh-CN" w:bidi="hi-IN"/>
                      </w:rPr>
                    </w:pPr>
                    <w:r>
                      <w:rPr>
                        <w:rFonts w:eastAsia="Lucida Sans Unicode" w:cs="Mangal"/>
                        <w:kern w:val="3"/>
                        <w:szCs w:val="24"/>
                        <w:lang w:eastAsia="zh-CN" w:bidi="hi-IN"/>
                      </w:rPr>
                      <w:t>Nėra</w:t>
                    </w:r>
                  </w:p>
                </w:tc>
              </w:tr>
              <w:tr>
                <w:trPr>
                  <w:trHeight w:val="796"/>
                </w:trPr>
                <w:tc>
                  <w:tcPr>
                    <w:tcW w:w="4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8.</w:t>
                    </w:r>
                  </w:p>
                </w:tc>
                <w:tc>
                  <w:tcPr>
                    <w:tcW w:w="317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szCs w:val="24"/>
                      </w:rPr>
                    </w:pPr>
                    <w:r>
                      <w:rPr>
                        <w:szCs w:val="24"/>
                      </w:rPr>
                      <w:t>Sprendimo projekto rengimo metu gauti specialistų vertinimai ir išvados</w:t>
                    </w:r>
                  </w:p>
                </w:tc>
                <w:tc>
                  <w:tcPr>
                    <w:tcW w:w="62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both"/>
                      <w:rPr>
                        <w:rFonts w:eastAsia="Lucida Sans Unicode"/>
                        <w:kern w:val="3"/>
                        <w:szCs w:val="24"/>
                        <w:lang w:eastAsia="zh-CN" w:bidi="hi-IN"/>
                      </w:rPr>
                    </w:pPr>
                    <w:r>
                      <w:rPr>
                        <w:kern w:val="3"/>
                        <w:szCs w:val="24"/>
                        <w:lang w:eastAsia="ar-SA"/>
                      </w:rPr>
                      <w:t>Nėra</w:t>
                    </w:r>
                  </w:p>
                </w:tc>
              </w:tr>
            </w:tbl>
            <w:p>
              <w:pPr>
                <w:tabs>
                  <w:tab w:val="left" w:pos="7513"/>
                </w:tabs>
                <w:suppressAutoHyphens/>
                <w:jc w:val="both"/>
                <w:rPr>
                  <w:kern w:val="3"/>
                  <w:szCs w:val="24"/>
                  <w:lang w:eastAsia="ar-SA"/>
                </w:rPr>
              </w:pPr>
            </w:p>
          </w:sdtContent>
        </w:sdt>
        <w:sdt>
          <w:sdtPr>
            <w:alias w:val="pastraipa"/>
            <w:tag w:val="part_9d96f6cdf187490bb93f83608da339f1"/>
            <w:lock w:val="sdtLocked"/>
            <w:richText/>
          </w:sdtPr>
          <w:sdtContent>
            <w:p>
              <w:pPr>
                <w:tabs>
                  <w:tab w:val="left" w:pos="7513"/>
                  <w:tab w:val="left" w:pos="10348"/>
                </w:tabs>
                <w:suppressAutoHyphens/>
                <w:textAlignment w:val="baseline"/>
                <w:rPr>
                  <w:rFonts w:ascii="Calibri" w:eastAsia="Calibri" w:hAnsi="Calibri"/>
                  <w:sz w:val="22"/>
                  <w:szCs w:val="22"/>
                </w:rPr>
              </w:pPr>
              <w:r>
                <w:rPr>
                  <w:kern w:val="3"/>
                  <w:szCs w:val="24"/>
                  <w:lang w:eastAsia="ar-SA"/>
                </w:rPr>
                <w:t>Turto valdymo skyriaus vyr. specialistė</w:t>
                <w:tab/>
                <w:t>Laura Gimžauskienė</w:t>
              </w:r>
            </w:p>
            <w:p/>
            <w:p>
              <w:pPr>
                <w:suppressAutoHyphens/>
                <w:spacing w:after="160"/>
                <w:textAlignment w:val="baseline"/>
                <w:rPr>
                  <w:rFonts w:ascii="Calibri" w:eastAsia="Calibri" w:hAnsi="Calibri"/>
                  <w:sz w:val="22"/>
                  <w:szCs w:val="22"/>
                </w:rPr>
              </w:pPr>
            </w:p>
          </w:sdtContent>
        </w:sdt>
      </w:sdtContent>
    </w:sdt>
    <w:sectPr>
      <w:pgSz w:w="11906" w:h="16838"/>
      <w:pgMar w:top="1134" w:right="567" w:bottom="1134" w:left="1701" w:header="567" w:footer="567" w:gutter="0"/>
      <w:cols w:space="1296"/>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rPr>
          <w:rFonts w:ascii="Calibri" w:eastAsia="Calibri" w:hAnsi="Calibri"/>
          <w:sz w:val="22"/>
          <w:szCs w:val="22"/>
        </w:rPr>
      </w:pPr>
      <w:r>
        <w:rPr>
          <w:rFonts w:ascii="Calibri" w:eastAsia="Calibri" w:hAnsi="Calibri"/>
          <w:sz w:val="22"/>
          <w:szCs w:val="22"/>
        </w:rPr>
        <w:separator/>
      </w:r>
    </w:p>
  </w:endnote>
  <w:end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left" w:pos="9072"/>
        <w:tab w:val="right" w:pos="9972"/>
      </w:tabs>
      <w:suppressAutoHyphens/>
      <w:ind w:right="566"/>
      <w:jc w:val="center"/>
      <w:textAlignment w:val="baseline"/>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rPr>
          <w:rFonts w:ascii="Calibri" w:eastAsia="Calibri" w:hAnsi="Calibri"/>
          <w:sz w:val="22"/>
          <w:szCs w:val="22"/>
        </w:rPr>
      </w:pPr>
      <w:r>
        <w:rPr>
          <w:rFonts w:ascii="Calibri" w:eastAsia="Calibri" w:hAnsi="Calibri"/>
          <w:sz w:val="22"/>
          <w:szCs w:val="22"/>
        </w:rPr>
        <w:separator/>
      </w:r>
    </w:p>
  </w:footnote>
  <w:footnote w:type="continuationSeparator" w:id="0">
    <w:p>
      <w:pPr>
        <w:suppressAutoHyphens/>
        <w:textAlignment w:val="baseline"/>
        <w:rPr>
          <w:rFonts w:ascii="Calibri" w:eastAsia="Calibri" w:hAnsi="Calibri"/>
          <w:sz w:val="22"/>
          <w:szCs w:val="22"/>
        </w:rPr>
      </w:pPr>
      <w:r>
        <w:rPr>
          <w:rFonts w:ascii="Calibri" w:eastAsia="Calibri" w:hAnsi="Calibri"/>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A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3E973CD-2812-4362-9F44-14E697BA66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6253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d9c0e051af449098bc0ae38ac647cb2" PartId="8bbb3bc5786740d28fad186b32a6b5bc">
    <Part Type="preambule" DocPartId="daa0ac33117343fabbb4e799a3d3a9fe" PartId="43da6879192e472cbd5ebe374aa16d74"/>
    <Part Type="punktas" Nr="1" Abbr="1 p." DocPartId="b948278706d441e0a90a7288a15ea784" PartId="90e2dfdafe2e40b1960c4eed6a58b14d"/>
    <Part Type="punktas" Nr="2" Abbr="2 p." DocPartId="cb2f2ad712af45f2a45616b154b34e04" PartId="55abe8dd14dc4b2bab44d7ddfbd6ea8b"/>
    <Part Type="signatura" DocPartId="026633eed6d04f4e98db85f8f8efc984" PartId="3b147b08b43041b2976419da01aee607"/>
  </Part>
  <Part Type="priedas" Abbr="pr." Title="UTENOS RAJONO SAVIVALDYBĖS APSKAITOJE REGISTRUOTO IR VALDOMO VALSTYBĖS TURTO, PERĖMIMO SAVIVALDYBĖS NUOSAVYBĖN, SĄRAŠAS" DocPartId="2c6cb002bb5c45289a94500da8d3609a" PartId="d9f73b4bc22b4fbabc5152610711b0cb">
    <Part Type="lentele" Title="AIŠKINAMASIS RAŠTAS" DocPartId="fd9b82b490414f58bc04631218042be8" PartId="71fe5f277c30482c9c1b3a588fe01e96"/>
    <Part Type="pastraipa" DocPartId="16ce2fa74d9f46c68e786fc55f24b0a2" PartId="9d96f6cdf187490bb93f83608da339f1"/>
  </Part>
</Parts>
</file>

<file path=customXml/itemProps1.xml><?xml version="1.0" encoding="utf-8"?>
<ds:datastoreItem xmlns:ds="http://schemas.openxmlformats.org/officeDocument/2006/customXml" ds:itemID="{D52BAD5B-A0A3-4EA8-B842-5C7AAE541C4F}">
  <ds:schemaRefs>
    <ds:schemaRef ds:uri="http://schemas.openxmlformats.org/officeDocument/2006/bibliography"/>
  </ds:schemaRefs>
</ds:datastoreItem>
</file>

<file path=customXml/itemProps2.xml><?xml version="1.0" encoding="utf-8"?>
<ds:datastoreItem xmlns:ds="http://schemas.openxmlformats.org/officeDocument/2006/customXml" ds:itemID="{6896E5A4-E820-473F-B43A-A3EF55A103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811</Words>
  <Characters>5967</Characters>
  <Application>Microsoft Office Word</Application>
  <DocSecurity>4</DocSecurity>
  <Lines>298</Lines>
  <Paragraphs>173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6605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2022-10-18T07:56:00Z</dcterms:created>
  <dc:creator>Laura Gimžauskienė (Turtas)</dc:creator>
  <lastModifiedBy>adlibuser</lastModifiedBy>
  <dcterms:modified xsi:type="dcterms:W3CDTF">2022-10-18T07:56:00Z</dcterms:modified>
  <revision>2</revision>
</coreProperties>
</file>