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f98895c1d964b68bab3962080aefd67"/>
        <w:lock w:val="sdtLocked"/>
        <w:richText/>
      </w:sdtPr>
      <w:sdtContent>
        <w:p>
          <w:pPr>
            <w:shd w:val="clear" w:color="auto" w:fill="FFFFFF"/>
            <w:ind w:left="7776" w:firstLine="304"/>
            <w:rPr>
              <w:rFonts w:eastAsia="Calibri"/>
              <w:b/>
              <w:position w:val="6"/>
              <w:szCs w:val="24"/>
              <w14:cntxtAlts/>
            </w:rPr>
          </w:pPr>
          <w:r>
            <w:rPr>
              <w:rFonts w:eastAsia="Calibri"/>
              <w:b/>
              <w:position w:val="6"/>
              <w:szCs w:val="24"/>
              <w14:cntxtAlts/>
            </w:rPr>
            <w:t>Projektas</w:t>
          </w:r>
        </w:p>
        <w:p>
          <w:pPr>
            <w:shd w:val="clear" w:color="auto" w:fill="FFFFFF"/>
            <w:ind w:left="6480" w:right="424" w:firstLine="1296"/>
            <w:jc w:val="center"/>
            <w:rPr>
              <w:rFonts w:eastAsia="Calibri"/>
              <w:bCs/>
              <w:position w:val="6"/>
              <w:szCs w:val="24"/>
              <w14:cntxtAlts/>
            </w:rPr>
          </w:pPr>
          <w:r>
            <w:rPr>
              <w:rFonts w:eastAsia="Calibri"/>
              <w:bCs/>
              <w:position w:val="6"/>
              <w:szCs w:val="24"/>
              <w14:cntxtAlts/>
            </w:rPr>
            <w:t>Nr. TSP-</w:t>
          </w:r>
        </w:p>
        <w:p>
          <w:pPr>
            <w:shd w:val="clear" w:color="auto" w:fill="FFFFFF"/>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TARYBOS 2026 M. VASARIO 12 D. SPRENDIMO NR. T-875 „DĖL RADVILIŠKIO RAJONO SAVIVALDYBĖS 2026–2028 METŲ BIUDŽETO PATVIRTINIMO“ PAKEITIMO</w:t>
          </w:r>
        </w:p>
        <w:p>
          <w:pPr>
            <w:shd w:val="clear" w:color="auto" w:fill="FFFFFF"/>
            <w:jc w:val="center"/>
            <w:rPr>
              <w:b/>
              <w:position w:val="6"/>
              <w:szCs w:val="24"/>
              <w:lang w:eastAsia="lt-LT"/>
              <w14:cntxtAlts/>
            </w:rPr>
          </w:pPr>
        </w:p>
        <w:p>
          <w:pPr>
            <w:shd w:val="clear" w:color="auto" w:fill="FFFFFF"/>
            <w:jc w:val="center"/>
            <w:rPr>
              <w:position w:val="6"/>
              <w:szCs w:val="24"/>
              <w:lang w:eastAsia="lt-LT"/>
              <w14:cntxtAlts/>
            </w:rPr>
          </w:pPr>
          <w:r>
            <w:rPr>
              <w:position w:val="6"/>
              <w:szCs w:val="24"/>
              <w:lang w:eastAsia="lt-LT"/>
              <w14:cntxtAlts/>
            </w:rPr>
            <w:t xml:space="preserve">2026 m.                 d. Nr. T-</w:t>
          </w:r>
        </w:p>
        <w:p>
          <w:pPr>
            <w:shd w:val="clear" w:color="auto" w:fill="FFFFFF"/>
            <w:jc w:val="center"/>
            <w:rPr>
              <w:position w:val="6"/>
              <w:szCs w:val="24"/>
              <w:lang w:eastAsia="lt-LT"/>
              <w14:cntxtAlts/>
            </w:rPr>
          </w:pPr>
          <w:r>
            <w:rPr>
              <w:position w:val="6"/>
              <w:szCs w:val="24"/>
              <w:lang w:eastAsia="lt-LT"/>
              <w14:cntxtAlts/>
            </w:rPr>
            <w:t xml:space="preserve">Radviliškis </w:t>
          </w:r>
        </w:p>
        <w:p>
          <w:pPr>
            <w:shd w:val="clear" w:color="auto" w:fill="FFFFFF"/>
            <w:jc w:val="both"/>
            <w:rPr>
              <w:position w:val="6"/>
              <w:szCs w:val="24"/>
              <w:lang w:eastAsia="lt-LT"/>
              <w14:cntxtAlts/>
            </w:rPr>
          </w:pPr>
        </w:p>
        <w:sdt>
          <w:sdtPr>
            <w:alias w:val="preambule"/>
            <w:tag w:val="part_1cbf96531c3b4b959a867656bdab37a5"/>
            <w:lock w:val="sdtLocked"/>
            <w:richText/>
          </w:sdtPr>
          <w:sdtContent>
            <w:p>
              <w:pPr>
                <w:ind w:firstLine="709"/>
                <w:jc w:val="both"/>
                <w:rPr>
                  <w:szCs w:val="24"/>
                  <w:lang w:eastAsia="lt-LT"/>
                </w:rPr>
              </w:pPr>
              <w:r>
                <w:rPr>
                  <w:color w:val="000000"/>
                  <w:szCs w:val="24"/>
                  <w:lang w:eastAsia="lt-LT"/>
                  <w14:cntxtAlts/>
                </w:rPr>
                <w:t>Vadovaudamasi Lietuvos Respublikos vietos savivaldos įstatymo 15 straipsnio 2 dalies 12 punktu, 66 straipsnio 2 dalimi,</w:t>
              </w:r>
              <w:r>
                <w:rPr>
                  <w:sz w:val="22"/>
                  <w:szCs w:val="22"/>
                </w:rPr>
                <w:t xml:space="preserve"> </w:t>
              </w:r>
              <w:r>
                <w:rPr>
                  <w:color w:val="000000"/>
                  <w:szCs w:val="24"/>
                  <w:lang w:eastAsia="lt-LT"/>
                  <w14:cntxtAlts/>
                </w:rPr>
                <w:t>Lietuvos Respublikos biudžeto sandaros įstatymo 16 straipsnio 1 dalimi, 22 straipsnio 3 dalimi,</w:t>
              </w:r>
              <w:r>
                <w:rPr>
                  <w:szCs w:val="24"/>
                </w:rPr>
                <w:t xml:space="preserve"> Lietuvos Respublikos 2026–2028 metų biudžeto patvirtinimo įstatymu, Lietuvos Respublikos socialinės apsaugos ir darbo ministro 2026 m. balandžio 17 d. įsakymu Nr. A1-237 „Dėl 2026 metų lėšų paskirstymo savivaldybėms bendruomeninei veiklai stiprinti patvirtinimo“, Lietuvos Respublikos vyriausybės 2026 m. balandžio 29 d. nutarimu Nr. 297 „Dėl lėšų skyrimo“,</w:t>
              </w:r>
              <w:r>
                <w:rPr>
                  <w:sz w:val="22"/>
                  <w:szCs w:val="22"/>
                </w:rPr>
                <w:t xml:space="preserve"> </w:t>
              </w:r>
              <w:r>
                <w:rPr>
                  <w:szCs w:val="24"/>
                </w:rPr>
                <w:t xml:space="preserve">Lietuvos Respublikos švietimo, mokslo ir sporto ministro 2026 m. gegužės 14 d. įsakymu Nr. V-350 „Dėl Lietuvos Respublikos 2026 metų valstybės biudžeto lėšų, skirtų išlaidoms, susijusioms su valstybinių ir savivaldybių mokyklų mokytojų, dirbančių pagal ikimokyklinio, priešmokyklinio, bendrojo ugdymo ir profesinio mokymo programas, personalo optimizavimu ir atnaujinimu, apmokėti, skyrimo ir paskirstymo patvirtinimo“, </w:t>
              </w:r>
              <w:r>
                <w:rPr>
                  <w:color w:val="000000"/>
                  <w:szCs w:val="24"/>
                  <w:lang w:eastAsia="lt-LT"/>
                  <w14:cntxtAlts/>
                </w:rPr>
                <w:t xml:space="preserve">į gautus prašymus ir į Radviliškio rajono savivaldybės mero 2026 m. gegužės 5 d. potvarkį Nr. M-276 (2.5 E) „Dėl Radviliškio rajono savivaldybės tarybos 2026 m. vasario 12 d. sprendimo Nr. T-875 „Dėl Radviliškio rajono savivaldybės  2026–2028 metų biudžeto patvirtinimo“ pakeitimo pateikimo“  Radviliškio rajono savivaldybės taryba </w:t>
              </w:r>
              <w:r>
                <w:rPr>
                  <w:color w:val="000000"/>
                  <w:spacing w:val="50"/>
                  <w:szCs w:val="24"/>
                  <w:lang w:eastAsia="lt-LT"/>
                  <w14:cntxtAlts/>
                </w:rPr>
                <w:t>nusprendži</w:t>
              </w:r>
              <w:r>
                <w:rPr>
                  <w:color w:val="000000"/>
                  <w:szCs w:val="24"/>
                  <w:lang w:eastAsia="lt-LT"/>
                  <w14:cntxtAlts/>
                </w:rPr>
                <w:t xml:space="preserve">a: </w:t>
              </w:r>
            </w:p>
          </w:sdtContent>
        </w:sdt>
        <w:sdt>
          <w:sdtPr>
            <w:alias w:val="1 p."/>
            <w:tag w:val="part_76f777929acb42e6b903da3106b61817"/>
            <w:lock w:val="sdtLocked"/>
            <w:richText/>
          </w:sdtPr>
          <w:sdtContent>
            <w:p>
              <w:pPr>
                <w:ind w:firstLine="709"/>
                <w:jc w:val="both"/>
                <w:rPr>
                  <w:szCs w:val="24"/>
                  <w:lang w:eastAsia="lt-LT"/>
                </w:rPr>
              </w:pPr>
              <w:sdt>
                <w:sdtPr>
                  <w:alias w:val="Numeris"/>
                  <w:tag w:val="nr_76f777929acb42e6b903da3106b61817"/>
                  <w:lock w:val="sdtLocked"/>
                  <w:richText/>
                </w:sdtPr>
                <w:sdtContent>
                  <w:r>
                    <w:rPr>
                      <w:szCs w:val="24"/>
                      <w:lang w:eastAsia="lt-LT"/>
                    </w:rPr>
                    <w:t>1</w:t>
                  </w:r>
                </w:sdtContent>
              </w:sdt>
              <w:r>
                <w:rPr>
                  <w:szCs w:val="24"/>
                  <w:lang w:eastAsia="lt-LT"/>
                </w:rPr>
                <w:t>. Pakeisti Radviliškio rajono savivaldybės tarybos 2026 m. vasario 12 d. sprendimą Nr. T-875 „Dėl Radviliškio rajono savivaldybės 2026–2028 metų biudžeto patvirtinimo“</w:t>
              </w:r>
              <w:r>
                <w:rPr>
                  <w:sz w:val="22"/>
                  <w:szCs w:val="22"/>
                </w:rPr>
                <w:t xml:space="preserve"> </w:t>
              </w:r>
              <w:r>
                <w:rPr>
                  <w:szCs w:val="24"/>
                  <w:lang w:eastAsia="lt-LT"/>
                </w:rPr>
                <w:t>(toliau – Sprendimas):</w:t>
              </w:r>
            </w:p>
            <w:sdt>
              <w:sdtPr>
                <w:alias w:val="1.1 pp."/>
                <w:tag w:val="part_40b0ca1de0fb4ddfb94d18b881466306"/>
                <w:lock w:val="sdtLocked"/>
                <w:richText/>
              </w:sdtPr>
              <w:sdtContent>
                <w:p>
                  <w:pPr>
                    <w:ind w:firstLine="709"/>
                    <w:jc w:val="both"/>
                    <w:rPr>
                      <w:szCs w:val="24"/>
                      <w:lang w:eastAsia="lt-LT"/>
                    </w:rPr>
                  </w:pPr>
                  <w:sdt>
                    <w:sdtPr>
                      <w:alias w:val="Numeris"/>
                      <w:tag w:val="nr_40b0ca1de0fb4ddfb94d18b881466306"/>
                      <w:lock w:val="sdtLocked"/>
                      <w:richText/>
                    </w:sdtPr>
                    <w:sdtContent>
                      <w:r>
                        <w:rPr>
                          <w:szCs w:val="24"/>
                          <w:lang w:eastAsia="lt-LT"/>
                        </w:rPr>
                        <w:t>1.1</w:t>
                      </w:r>
                    </w:sdtContent>
                  </w:sdt>
                  <w:r>
                    <w:rPr>
                      <w:szCs w:val="24"/>
                      <w:lang w:eastAsia="lt-LT"/>
                    </w:rPr>
                    <w:t xml:space="preserve">. </w:t>
                  </w:r>
                  <w:r>
                    <w:rPr>
                      <w:color w:val="000000"/>
                      <w:spacing w:val="-6"/>
                      <w:szCs w:val="24"/>
                    </w:rPr>
                    <w:t xml:space="preserve">Pakeisti 1.1 papunktį ir  </w:t>
                  </w:r>
                  <w:r>
                    <w:rPr>
                      <w:szCs w:val="24"/>
                      <w:lang w:eastAsia="lt-LT"/>
                    </w:rPr>
                    <w:t>išdėstyti jį taip:</w:t>
                  </w:r>
                </w:p>
                <w:sdt>
                  <w:sdtPr>
                    <w:alias w:val="citata"/>
                    <w:tag w:val="part_5305b65f4f45457eb0aaf8878e781314"/>
                    <w:lock w:val="sdtLocked"/>
                    <w:richText/>
                  </w:sdtPr>
                  <w:sdtContent>
                    <w:sdt>
                      <w:sdtPr>
                        <w:alias w:val="1.1 pp."/>
                        <w:tag w:val="part_5c2b4012b1164dc2b6e5c7b395e5376e"/>
                        <w:lock w:val="sdtLocked"/>
                        <w:richText/>
                      </w:sdtPr>
                      <w:sdtContent>
                        <w:p>
                          <w:pPr>
                            <w:ind w:firstLine="709"/>
                            <w:jc w:val="both"/>
                            <w:rPr>
                              <w:color w:val="000000"/>
                              <w:spacing w:val="-6"/>
                              <w:szCs w:val="24"/>
                            </w:rPr>
                          </w:pPr>
                          <w:r>
                            <w:rPr>
                              <w:szCs w:val="24"/>
                              <w:lang w:eastAsia="lt-LT"/>
                            </w:rPr>
                            <w:t>„</w:t>
                          </w:r>
                          <w:sdt>
                            <w:sdtPr>
                              <w:alias w:val="Numeris"/>
                              <w:tag w:val="nr_5c2b4012b1164dc2b6e5c7b395e5376e"/>
                              <w:lock w:val="sdtLocked"/>
                              <w:richText/>
                            </w:sdtPr>
                            <w:sdtContent>
                              <w:r>
                                <w:rPr>
                                  <w:color w:val="000000"/>
                                  <w:spacing w:val="-6"/>
                                  <w:szCs w:val="24"/>
                                </w:rPr>
                                <w:t>1.1</w:t>
                              </w:r>
                            </w:sdtContent>
                          </w:sdt>
                          <w:r>
                            <w:rPr>
                              <w:color w:val="000000"/>
                              <w:spacing w:val="-6"/>
                              <w:szCs w:val="24"/>
                            </w:rPr>
                            <w:t>.</w:t>
                          </w:r>
                          <w:r>
                            <w:rPr>
                              <w:sz w:val="22"/>
                              <w:szCs w:val="22"/>
                            </w:rPr>
                            <w:t xml:space="preserve"> </w:t>
                          </w:r>
                          <w:r>
                            <w:rPr>
                              <w:color w:val="000000"/>
                              <w:spacing w:val="-6"/>
                              <w:szCs w:val="24"/>
                            </w:rPr>
                            <w:t xml:space="preserve"> pajamas – 85 399 065,57 Eur  ir  2025 metais nepanaudotų biudžeto lėšų likutį – 2 812 856,25 Eur (1 priedas); “</w:t>
                          </w:r>
                        </w:p>
                      </w:sdtContent>
                    </w:sdt>
                  </w:sdtContent>
                </w:sdt>
              </w:sdtContent>
            </w:sdt>
            <w:sdt>
              <w:sdtPr>
                <w:alias w:val="1.2 pp."/>
                <w:tag w:val="part_751717e940844f358724bba777303e8e"/>
                <w:lock w:val="sdtLocked"/>
                <w:richText/>
              </w:sdtPr>
              <w:sdtContent>
                <w:p>
                  <w:pPr>
                    <w:ind w:firstLine="771"/>
                    <w:jc w:val="both"/>
                    <w:rPr>
                      <w:color w:val="000000"/>
                      <w:spacing w:val="-6"/>
                      <w:szCs w:val="24"/>
                    </w:rPr>
                  </w:pPr>
                  <w:sdt>
                    <w:sdtPr>
                      <w:alias w:val="Numeris"/>
                      <w:tag w:val="nr_751717e940844f358724bba777303e8e"/>
                      <w:lock w:val="sdtLocked"/>
                      <w:richText/>
                    </w:sdtPr>
                    <w:sdtContent>
                      <w:r>
                        <w:rPr>
                          <w:color w:val="000000"/>
                          <w:spacing w:val="-6"/>
                          <w:szCs w:val="24"/>
                        </w:rPr>
                        <w:t>1.2</w:t>
                      </w:r>
                    </w:sdtContent>
                  </w:sdt>
                  <w:r>
                    <w:rPr>
                      <w:color w:val="000000"/>
                      <w:spacing w:val="-6"/>
                      <w:szCs w:val="24"/>
                    </w:rPr>
                    <w:t>. Pakeisti 1.2 papunktį ir išdėstyti jį taip:</w:t>
                  </w:r>
                </w:p>
                <w:sdt>
                  <w:sdtPr>
                    <w:alias w:val="citata"/>
                    <w:tag w:val="part_4d1a18a5df914c9299d302eb63127746"/>
                    <w:lock w:val="sdtLocked"/>
                    <w:richText/>
                  </w:sdtPr>
                  <w:sdtContent>
                    <w:sdt>
                      <w:sdtPr>
                        <w:alias w:val="1.2 pp."/>
                        <w:tag w:val="part_c3ce1a00716e4fa5948782d3682afce2"/>
                        <w:lock w:val="sdtLocked"/>
                        <w:richText/>
                      </w:sdtPr>
                      <w:sdtContent>
                        <w:p>
                          <w:pPr>
                            <w:ind w:firstLine="709"/>
                            <w:jc w:val="both"/>
                            <w:rPr>
                              <w:color w:val="000000"/>
                              <w:spacing w:val="-6"/>
                              <w:szCs w:val="24"/>
                            </w:rPr>
                          </w:pPr>
                          <w:r>
                            <w:rPr>
                              <w:color w:val="000000"/>
                              <w:spacing w:val="-6"/>
                              <w:szCs w:val="24"/>
                            </w:rPr>
                            <w:t>„</w:t>
                          </w:r>
                          <w:sdt>
                            <w:sdtPr>
                              <w:alias w:val="Numeris"/>
                              <w:tag w:val="nr_c3ce1a00716e4fa5948782d3682afce2"/>
                              <w:lock w:val="sdtLocked"/>
                              <w:richText/>
                            </w:sdtPr>
                            <w:sdtContent>
                              <w:r>
                                <w:rPr>
                                  <w:color w:val="000000"/>
                                  <w:spacing w:val="-6"/>
                                  <w:szCs w:val="24"/>
                                </w:rPr>
                                <w:t>1.2</w:t>
                              </w:r>
                            </w:sdtContent>
                          </w:sdt>
                          <w:r>
                            <w:rPr>
                              <w:color w:val="000000"/>
                              <w:spacing w:val="-6"/>
                              <w:szCs w:val="24"/>
                            </w:rPr>
                            <w:t xml:space="preserve">. asignavimus pagal programas,  asignavimų valdytojus ir lėšų šaltinius – 88 211 921,82 Eur (2, 3 priedai), iš jų;“ </w:t>
                          </w:r>
                        </w:p>
                        <w:p>
                          <w:pPr>
                            <w:jc w:val="both"/>
                            <w:rPr>
                              <w:szCs w:val="24"/>
                            </w:rPr>
                          </w:pPr>
                        </w:p>
                        <w:p>
                          <w:pPr>
                            <w:jc w:val="both"/>
                            <w:rPr>
                              <w:szCs w:val="24"/>
                            </w:rPr>
                          </w:pPr>
                        </w:p>
                        <w:p>
                          <w:pPr>
                            <w:jc w:val="both"/>
                            <w:rPr>
                              <w:szCs w:val="24"/>
                            </w:rPr>
                          </w:pPr>
                        </w:p>
                      </w:sdtContent>
                    </w:sdt>
                  </w:sdtContent>
                </w:sdt>
                <w:sdt>
                  <w:sdtPr>
                    <w:alias w:val="pastraipa"/>
                    <w:tag w:val="part_af66b4d8bbb046c6a701d7025008b1ed"/>
                    <w:lock w:val="sdtLocked"/>
                    <w:richText/>
                  </w:sdtPr>
                  <w:sdtContent>
                    <w:p>
                      <w:pPr>
                        <w:jc w:val="both"/>
                        <w:rPr>
                          <w:szCs w:val="24"/>
                        </w:rPr>
                      </w:pPr>
                      <w:r>
                        <w:rPr>
                          <w:szCs w:val="24"/>
                        </w:rPr>
                        <w:t>Savivaldybės meras</w:t>
                        <w:tab/>
                        <w:tab/>
                        <w:tab/>
                        <w:tab/>
                        <w:br w:type="page"/>
                      </w:r>
                    </w:p>
                  </w:sdtContent>
                </w:sdt>
              </w:sdtContent>
            </w:sdt>
          </w:sdtContent>
        </w:sdt>
        <w:sdt>
          <w:sdtPr>
            <w:alias w:val="skirsnis"/>
            <w:tag w:val="part_6dd751fca0494d2b955084500822a5f4"/>
            <w:lock w:val="sdtLocked"/>
            <w:richText/>
          </w:sdtPr>
          <w:sdtContent>
            <w:sdt>
              <w:sdtPr>
                <w:alias w:val="Pavadinimas"/>
                <w:tag w:val="title_6dd751fca0494d2b955084500822a5f4"/>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TARYBOS 2026 M. VASARIO 12 D. SPRENDIMO NR. T-875 „DĖL RADVILIŠKIO RAJONO SAVIVALDYBĖS 2026–2028 METŲ BIUDŽETO PATVIRTINIMO“ PAKEITIMO“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2026 m. gegužės 12 d.</w:t>
              </w:r>
            </w:p>
            <w:p>
              <w:pPr>
                <w:shd w:val="clear" w:color="auto" w:fill="FFFFFF"/>
                <w:jc w:val="center"/>
                <w:rPr>
                  <w:bCs/>
                  <w:sz w:val="28"/>
                  <w:szCs w:val="28"/>
                </w:rPr>
              </w:pPr>
              <w:r>
                <w:rPr>
                  <w:bCs/>
                  <w:position w:val="6"/>
                  <w:szCs w:val="24"/>
                  <w:lang w:eastAsia="lt-LT"/>
                  <w14:cntxtAlts/>
                </w:rPr>
                <w:t>Radviliškis</w:t>
              </w:r>
            </w:p>
            <w:p>
              <w:pPr>
                <w:rPr>
                  <w:b/>
                  <w:bCs/>
                  <w:szCs w:val="24"/>
                  <w:lang w:eastAsia="lt-LT"/>
                </w:rPr>
              </w:pPr>
            </w:p>
            <w:sdt>
              <w:sdtPr>
                <w:alias w:val="1 p."/>
                <w:tag w:val="part_d774db8844b241c0bf5c06a49cc16165"/>
                <w:lock w:val="sdtLocked"/>
                <w:richText/>
              </w:sdtPr>
              <w:sdtContent>
                <w:p>
                  <w:pPr>
                    <w:spacing w:line="254" w:lineRule="auto"/>
                    <w:ind w:firstLine="720"/>
                    <w:jc w:val="both"/>
                    <w:rPr>
                      <w:b/>
                      <w:szCs w:val="24"/>
                    </w:rPr>
                  </w:pPr>
                  <w:sdt>
                    <w:sdtPr>
                      <w:alias w:val="Numeris"/>
                      <w:tag w:val="nr_d774db8844b241c0bf5c06a49cc16165"/>
                      <w:lock w:val="sdtLocked"/>
                      <w:richText/>
                    </w:sdtPr>
                    <w:sdtContent>
                      <w:r>
                        <w:rPr>
                          <w:b/>
                          <w:szCs w:val="24"/>
                        </w:rPr>
                        <w:t>1</w:t>
                      </w:r>
                    </w:sdtContent>
                  </w:sdt>
                  <w:r>
                    <w:rPr>
                      <w:b/>
                      <w:szCs w:val="24"/>
                    </w:rPr>
                    <w:t xml:space="preserve">. Projekto rengimą paskatinusios priežastys, parengto projekto tikslai ir uždaviniai. </w:t>
                  </w:r>
                </w:p>
                <w:p>
                  <w:pPr>
                    <w:ind w:firstLine="709"/>
                    <w:jc w:val="both"/>
                    <w:rPr>
                      <w:szCs w:val="24"/>
                      <w:lang w:eastAsia="lt-LT"/>
                    </w:rPr>
                  </w:pPr>
                  <w:r>
                    <w:rPr>
                      <w:szCs w:val="24"/>
                      <w:lang w:eastAsia="lt-LT"/>
                    </w:rPr>
                    <w:t>Patikslinti Radviliškio rajono savivaldybės 2026 metų biudžetą savivaldybei skirtomis tikslinėmis valstybės biudžeto dotacijomis ir kitomis lėšomis bei patikslinti patvirtintus savivaldybės biudžeto asignavimus.</w:t>
                  </w:r>
                  <w:r>
                    <w:rPr>
                      <w:sz w:val="22"/>
                      <w:szCs w:val="22"/>
                    </w:rPr>
                    <w:t xml:space="preserve"> </w:t>
                  </w:r>
                  <w:r>
                    <w:rPr>
                      <w:szCs w:val="24"/>
                      <w:lang w:eastAsia="lt-LT"/>
                    </w:rPr>
                    <w:t>Savivaldybės biudžeto asignavimai tikslinami atsižvelgiant į 2026 m. gegužės 7 d. ir gegužės 15 d. Radviliškio r. savivaldybės administracijos švietimo ir sporto skyriaus prašymus „Dėl lėšų patikslinimo“.</w:t>
                  </w:r>
                </w:p>
                <w:p>
                  <w:pPr>
                    <w:ind w:firstLine="709"/>
                    <w:jc w:val="both"/>
                    <w:rPr>
                      <w:b/>
                      <w:szCs w:val="24"/>
                      <w:shd w:val="clear" w:color="auto" w:fill="FFFFFF"/>
                    </w:rPr>
                  </w:pPr>
                  <w:r>
                    <w:rPr>
                      <w:bCs/>
                      <w:szCs w:val="24"/>
                      <w:shd w:val="clear" w:color="auto" w:fill="FFFFFF"/>
                    </w:rPr>
                    <w:t>Nuo 2023 m. balandžio 1 d. pasikeitus Lietuvos Respublikos vietos savivaldos įstatymui savivaldybės meras administruoja savivaldybės biudžeto asignavimus ir kitus piniginius išteklius, organizuoja savivaldybės biudžeto vykdymą</w:t>
                  </w:r>
                  <w:r>
                    <w:rPr>
                      <w:b/>
                      <w:szCs w:val="24"/>
                      <w:shd w:val="clear" w:color="auto" w:fill="FFFFFF"/>
                    </w:rPr>
                    <w:t>.</w:t>
                  </w:r>
                </w:p>
              </w:sdtContent>
            </w:sdt>
            <w:sdt>
              <w:sdtPr>
                <w:alias w:val="2 p."/>
                <w:tag w:val="part_998a4e7931364fad851c7647d355c2b3"/>
                <w:lock w:val="sdtLocked"/>
                <w:richText/>
              </w:sdtPr>
              <w:sdtContent>
                <w:p>
                  <w:pPr>
                    <w:ind w:firstLine="709"/>
                    <w:jc w:val="both"/>
                    <w:rPr>
                      <w:b/>
                      <w:szCs w:val="24"/>
                      <w:shd w:val="clear" w:color="auto" w:fill="FFFFFF"/>
                    </w:rPr>
                  </w:pPr>
                  <w:sdt>
                    <w:sdtPr>
                      <w:alias w:val="Numeris"/>
                      <w:tag w:val="nr_998a4e7931364fad851c7647d355c2b3"/>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b/>
                      <w:szCs w:val="24"/>
                      <w:shd w:val="clear" w:color="auto" w:fill="FFFFFF"/>
                    </w:rPr>
                  </w:pPr>
                  <w:r>
                    <w:rPr>
                      <w:bCs/>
                      <w:szCs w:val="24"/>
                      <w:shd w:val="clear" w:color="auto" w:fill="FFFFFF"/>
                    </w:rPr>
                    <w:t>Projekto iniciatorius – Radviliškio rajono savivaldybės meras. Projektą parengė Radviliškio rajono savivaldybės administracijos Finansų skyriaus vedėja Lina Baškevičienė, tel. (0 422) 69020.</w:t>
                  </w:r>
                  <w:r>
                    <w:rPr>
                      <w:b/>
                      <w:szCs w:val="24"/>
                      <w:shd w:val="clear" w:color="auto" w:fill="FFFFFF"/>
                    </w:rPr>
                    <w:t xml:space="preserve"> </w:t>
                  </w:r>
                </w:p>
              </w:sdtContent>
            </w:sdt>
            <w:sdt>
              <w:sdtPr>
                <w:alias w:val="3 p."/>
                <w:tag w:val="part_71ec814b3dc843c086368f3c2692f2dc"/>
                <w:lock w:val="sdtLocked"/>
                <w:richText/>
              </w:sdtPr>
              <w:sdtContent>
                <w:p>
                  <w:pPr>
                    <w:tabs>
                      <w:tab w:val="left" w:pos="7513"/>
                    </w:tabs>
                    <w:spacing w:line="254" w:lineRule="auto"/>
                    <w:ind w:firstLine="709"/>
                    <w:rPr>
                      <w:b/>
                      <w:szCs w:val="24"/>
                      <w:shd w:val="clear" w:color="auto" w:fill="FFFFFF"/>
                    </w:rPr>
                  </w:pPr>
                  <w:sdt>
                    <w:sdtPr>
                      <w:alias w:val="Numeris"/>
                      <w:tag w:val="nr_71ec814b3dc843c086368f3c2692f2dc"/>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15 straipsnio 2 dalies 12 punktas numato savivaldybės tarybos kompetenciją tvirtinti ir tikslinti savivaldybės biudžetą,</w:t>
                  </w:r>
                  <w:r>
                    <w:rPr>
                      <w:sz w:val="22"/>
                      <w:szCs w:val="22"/>
                    </w:rPr>
                    <w:t xml:space="preserve"> </w:t>
                  </w:r>
                  <w:r>
                    <w:rPr>
                      <w:szCs w:val="24"/>
                    </w:rPr>
                    <w:t>66 straipsnio 2 dalis numato, kad biudžetiniais metais savivaldybės taryba mero siūlymu biudžetą gali tikslinti,</w:t>
                  </w:r>
                  <w:r>
                    <w:rPr>
                      <w:sz w:val="22"/>
                      <w:szCs w:val="22"/>
                    </w:rPr>
                    <w:t xml:space="preserve"> </w:t>
                  </w:r>
                  <w:r>
                    <w:rPr>
                      <w:bCs/>
                      <w:szCs w:val="24"/>
                      <w:shd w:val="clear" w:color="auto" w:fill="FFFFFF"/>
                    </w:rPr>
                    <w:t xml:space="preserve">Lietuvos Respublikos biudžeto sandaros įstatymo 16 straipsnio 1 dalis numato, kad biudžetus tvirtina savivaldybių taryba,  22 straipsnio 3 dalis, kad savivaldybės meras organizuoja biudžeto vykdymą, Lietuvos Respublikos 2026–2028 metų biudžeto patvirtinimo įstatymo 4 straipsnio 4 dalis numato, kad Savivaldybių tarybos, atsižvelgdamos į gautas valstybės biudžeto dotacijas, atitinkamai patikslina savo patvirtintus biudžetus.</w:t>
                  </w:r>
                </w:p>
              </w:sdtContent>
            </w:sdt>
            <w:sdt>
              <w:sdtPr>
                <w:alias w:val="4 p."/>
                <w:tag w:val="part_b85b0be4bd4e4f7384c23af6b64bc9f5"/>
                <w:lock w:val="sdtLocked"/>
                <w:richText/>
              </w:sdtPr>
              <w:sdtContent>
                <w:p>
                  <w:pPr>
                    <w:tabs>
                      <w:tab w:val="left" w:pos="7513"/>
                    </w:tabs>
                    <w:spacing w:line="254" w:lineRule="auto"/>
                    <w:ind w:firstLine="709"/>
                    <w:jc w:val="both"/>
                    <w:rPr>
                      <w:bCs/>
                      <w:szCs w:val="24"/>
                      <w:shd w:val="clear" w:color="auto" w:fill="FFFFFF"/>
                    </w:rPr>
                  </w:pPr>
                  <w:sdt>
                    <w:sdtPr>
                      <w:alias w:val="Numeris"/>
                      <w:tag w:val="nr_b85b0be4bd4e4f7384c23af6b64bc9f5"/>
                      <w:lock w:val="sdtLocked"/>
                      <w:richText/>
                    </w:sdtPr>
                    <w:sdtContent>
                      <w:r>
                        <w:rPr>
                          <w:b/>
                          <w:szCs w:val="24"/>
                          <w:shd w:val="clear" w:color="auto" w:fill="FFFFFF"/>
                        </w:rPr>
                        <w:t>4</w:t>
                      </w:r>
                    </w:sdtContent>
                  </w:sdt>
                  <w:r>
                    <w:rPr>
                      <w:bCs/>
                      <w:szCs w:val="24"/>
                      <w:shd w:val="clear" w:color="auto" w:fill="FFFFFF"/>
                    </w:rPr>
                    <w:t>.</w:t>
                  </w:r>
                  <w:r>
                    <w:rPr>
                      <w:sz w:val="22"/>
                      <w:szCs w:val="22"/>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tabs>
                      <w:tab w:val="left" w:pos="7513"/>
                    </w:tabs>
                    <w:spacing w:line="254" w:lineRule="auto"/>
                    <w:ind w:firstLine="709"/>
                    <w:jc w:val="both"/>
                    <w:rPr>
                      <w:bCs/>
                      <w:szCs w:val="24"/>
                      <w:shd w:val="clear" w:color="auto" w:fill="FFFFFF"/>
                    </w:rPr>
                  </w:pPr>
                  <w:r>
                    <w:rPr>
                      <w:bCs/>
                      <w:szCs w:val="24"/>
                      <w:shd w:val="clear" w:color="auto" w:fill="FFFFFF"/>
                    </w:rPr>
                    <w:t xml:space="preserve">Pakeitus ir patikslinus 2026 m. Savivaldybės biudžetą, sprendimas atitiks galiojančius teisės aktus. Priimtas sprendimo  projektas įtakos kriminogeninei situacijai ir korupcijai neturės.</w:t>
                  </w:r>
                </w:p>
              </w:sdtContent>
            </w:sdt>
            <w:sdt>
              <w:sdtPr>
                <w:alias w:val="5 p."/>
                <w:tag w:val="part_01bcaa30b2244de5946174ebca91e40e"/>
                <w:lock w:val="sdtLocked"/>
                <w:richText/>
              </w:sdtPr>
              <w:sdtContent>
                <w:p>
                  <w:pPr>
                    <w:tabs>
                      <w:tab w:val="left" w:pos="0"/>
                    </w:tabs>
                    <w:spacing w:line="254" w:lineRule="auto"/>
                    <w:ind w:firstLine="709"/>
                    <w:jc w:val="both"/>
                    <w:rPr>
                      <w:b/>
                      <w:szCs w:val="24"/>
                      <w:shd w:val="clear" w:color="auto" w:fill="FFFFFF"/>
                    </w:rPr>
                  </w:pPr>
                  <w:sdt>
                    <w:sdtPr>
                      <w:alias w:val="Numeris"/>
                      <w:tag w:val="nr_01bcaa30b2244de5946174ebca91e40e"/>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5699f73345934e2c94d05bd3217ddf2e"/>
                <w:lock w:val="sdtLocked"/>
                <w:richText/>
              </w:sdtPr>
              <w:sdtContent>
                <w:p>
                  <w:pPr>
                    <w:spacing w:line="254" w:lineRule="auto"/>
                    <w:ind w:firstLine="709"/>
                    <w:jc w:val="both"/>
                    <w:rPr>
                      <w:b/>
                      <w:bCs/>
                      <w:szCs w:val="24"/>
                    </w:rPr>
                  </w:pPr>
                  <w:sdt>
                    <w:sdtPr>
                      <w:alias w:val="Numeris"/>
                      <w:tag w:val="nr_5699f73345934e2c94d05bd3217ddf2e"/>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w:t>
                  </w:r>
                </w:p>
                <w:p>
                  <w:pPr>
                    <w:tabs>
                      <w:tab w:val="left" w:pos="0"/>
                    </w:tabs>
                    <w:spacing w:line="254" w:lineRule="auto"/>
                    <w:ind w:firstLine="709"/>
                    <w:jc w:val="both"/>
                    <w:rPr>
                      <w:bCs/>
                      <w:szCs w:val="24"/>
                      <w:shd w:val="clear" w:color="auto" w:fill="FFFFFF"/>
                    </w:rPr>
                  </w:pPr>
                  <w:r>
                    <w:rPr>
                      <w:bCs/>
                      <w:szCs w:val="24"/>
                      <w:shd w:val="clear" w:color="auto" w:fill="FFFFFF"/>
                    </w:rPr>
                    <w:t xml:space="preserve">Priėmus sprendimą bus pakeistas Radviliškio rajono savivaldybės tarybos </w:t>
                  </w:r>
                  <w:r>
                    <w:rPr>
                      <w:szCs w:val="24"/>
                      <w:lang w:eastAsia="lt-LT"/>
                    </w:rPr>
                    <w:t xml:space="preserve">2026  m. vasario 12 d. sprendimas Nr. T-875 „Dėl Radviliškio rajono savivaldybės 2026–2028 metų biudžeto patvirtinimo“</w:t>
                  </w:r>
                </w:p>
              </w:sdtContent>
            </w:sdt>
            <w:sdt>
              <w:sdtPr>
                <w:alias w:val="7 p."/>
                <w:tag w:val="part_f1c2f4ec8f4844f8a0e3ff27b06cd591"/>
                <w:lock w:val="sdtLocked"/>
                <w:richText/>
              </w:sdtPr>
              <w:sdtContent>
                <w:p>
                  <w:pPr>
                    <w:tabs>
                      <w:tab w:val="left" w:pos="0"/>
                    </w:tabs>
                    <w:spacing w:line="254" w:lineRule="auto"/>
                    <w:ind w:firstLine="709"/>
                    <w:jc w:val="both"/>
                    <w:rPr>
                      <w:b/>
                      <w:szCs w:val="24"/>
                      <w:shd w:val="clear" w:color="auto" w:fill="FFFFFF"/>
                    </w:rPr>
                  </w:pPr>
                  <w:sdt>
                    <w:sdtPr>
                      <w:alias w:val="Numeris"/>
                      <w:tag w:val="nr_f1c2f4ec8f4844f8a0e3ff27b06cd591"/>
                      <w:lock w:val="sdtLocked"/>
                      <w:richText/>
                    </w:sdtPr>
                    <w:sdtContent>
                      <w:r>
                        <w:rPr>
                          <w:b/>
                          <w:szCs w:val="24"/>
                          <w:shd w:val="clear" w:color="auto" w:fill="FFFFFF"/>
                        </w:rPr>
                        <w:t>7</w:t>
                      </w:r>
                    </w:sdtContent>
                  </w:sdt>
                  <w:r>
                    <w:rPr>
                      <w:b/>
                      <w:szCs w:val="24"/>
                      <w:shd w:val="clear" w:color="auto" w:fill="FFFFFF"/>
                    </w:rPr>
                    <w:t>. Sprendimui įgyvendinti reikalingos lėšos,</w:t>
                  </w:r>
                  <w:r>
                    <w:rPr>
                      <w:sz w:val="22"/>
                      <w:szCs w:val="22"/>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bf1f68184d2640a9ab9fb1571478fff1"/>
                <w:lock w:val="sdtLocked"/>
                <w:richText/>
              </w:sdtPr>
              <w:sdtContent>
                <w:p>
                  <w:pPr>
                    <w:tabs>
                      <w:tab w:val="left" w:pos="0"/>
                    </w:tabs>
                    <w:spacing w:line="254" w:lineRule="auto"/>
                    <w:ind w:firstLine="709"/>
                    <w:jc w:val="both"/>
                    <w:rPr>
                      <w:b/>
                      <w:szCs w:val="24"/>
                      <w:shd w:val="clear" w:color="auto" w:fill="FFFFFF"/>
                    </w:rPr>
                  </w:pPr>
                  <w:sdt>
                    <w:sdtPr>
                      <w:alias w:val="Numeris"/>
                      <w:tag w:val="nr_bf1f68184d2640a9ab9fb1571478fff1"/>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09"/>
                    <w:jc w:val="both"/>
                    <w:rPr>
                      <w:bCs/>
                      <w:szCs w:val="24"/>
                      <w:shd w:val="clear" w:color="auto" w:fill="FFFFFF"/>
                    </w:rPr>
                  </w:pPr>
                  <w:r>
                    <w:rPr>
                      <w:bCs/>
                      <w:szCs w:val="24"/>
                      <w:shd w:val="clear" w:color="auto" w:fill="FFFFFF"/>
                    </w:rPr>
                    <w:t>Negauta.</w:t>
                  </w:r>
                </w:p>
              </w:sdtContent>
            </w:sdt>
            <w:sdt>
              <w:sdtPr>
                <w:alias w:val="9 p."/>
                <w:tag w:val="part_a71d51da39194385ac0eb23fa509e89f"/>
                <w:lock w:val="sdtLocked"/>
                <w:richText/>
              </w:sdtPr>
              <w:sdtContent>
                <w:p>
                  <w:pPr>
                    <w:tabs>
                      <w:tab w:val="left" w:pos="0"/>
                    </w:tabs>
                    <w:spacing w:line="254" w:lineRule="auto"/>
                    <w:ind w:firstLine="709"/>
                    <w:jc w:val="both"/>
                    <w:rPr>
                      <w:b/>
                      <w:szCs w:val="24"/>
                      <w:shd w:val="clear" w:color="auto" w:fill="FFFFFF"/>
                    </w:rPr>
                  </w:pPr>
                  <w:sdt>
                    <w:sdtPr>
                      <w:alias w:val="Numeris"/>
                      <w:tag w:val="nr_a71d51da39194385ac0eb23fa509e89f"/>
                      <w:lock w:val="sdtLocked"/>
                      <w:richText/>
                    </w:sdtPr>
                    <w:sdtContent>
                      <w:r>
                        <w:rPr>
                          <w:b/>
                          <w:szCs w:val="24"/>
                          <w:shd w:val="clear" w:color="auto" w:fill="FFFFFF"/>
                        </w:rPr>
                        <w:t>9</w:t>
                      </w:r>
                    </w:sdtContent>
                  </w:sdt>
                  <w:r>
                    <w:rPr>
                      <w:b/>
                      <w:szCs w:val="24"/>
                      <w:shd w:val="clear" w:color="auto" w:fill="FFFFFF"/>
                    </w:rPr>
                    <w:t>.</w:t>
                  </w:r>
                  <w:r>
                    <w:rPr>
                      <w:sz w:val="22"/>
                      <w:szCs w:val="22"/>
                    </w:rPr>
                    <w:t xml:space="preserve"> </w:t>
                  </w:r>
                  <w:r>
                    <w:rPr>
                      <w:b/>
                      <w:szCs w:val="24"/>
                      <w:shd w:val="clear" w:color="auto" w:fill="FFFFFF"/>
                    </w:rPr>
                    <w:t xml:space="preserve"> Numatomo teisinio reguliavimo poveikio vertinimo rezultatai. </w:t>
                  </w:r>
                </w:p>
                <w:p>
                  <w:pPr>
                    <w:spacing w:line="254" w:lineRule="auto"/>
                    <w:ind w:firstLine="798"/>
                    <w:rPr>
                      <w:szCs w:val="24"/>
                      <w:shd w:val="clear" w:color="auto" w:fill="FFFFFF"/>
                    </w:rPr>
                  </w:pPr>
                  <w:r>
                    <w:rPr>
                      <w:szCs w:val="24"/>
                      <w:shd w:val="clear" w:color="auto" w:fill="FFFFFF"/>
                    </w:rPr>
                    <w:t>Vertinimas neatliekamas.</w:t>
                  </w:r>
                </w:p>
              </w:sdtContent>
            </w:sdt>
            <w:sdt>
              <w:sdtPr>
                <w:alias w:val="10 p."/>
                <w:tag w:val="part_54546516cfc64aebb2db85680a3fe419"/>
                <w:lock w:val="sdtLocked"/>
                <w:richText/>
              </w:sdtPr>
              <w:sdtContent>
                <w:p>
                  <w:pPr>
                    <w:tabs>
                      <w:tab w:val="left" w:pos="0"/>
                    </w:tabs>
                    <w:spacing w:line="254" w:lineRule="auto"/>
                    <w:ind w:firstLine="709"/>
                    <w:jc w:val="both"/>
                    <w:rPr>
                      <w:b/>
                      <w:szCs w:val="24"/>
                      <w:shd w:val="clear" w:color="auto" w:fill="FFFFFF"/>
                    </w:rPr>
                  </w:pPr>
                  <w:sdt>
                    <w:sdtPr>
                      <w:alias w:val="Numeris"/>
                      <w:tag w:val="nr_54546516cfc64aebb2db85680a3fe419"/>
                      <w:lock w:val="sdtLocked"/>
                      <w:richText/>
                    </w:sdtPr>
                    <w:sdtContent>
                      <w:r>
                        <w:rPr>
                          <w:b/>
                          <w:szCs w:val="24"/>
                          <w:shd w:val="clear" w:color="auto" w:fill="FFFFFF"/>
                        </w:rPr>
                        <w:t>10</w:t>
                      </w:r>
                    </w:sdtContent>
                  </w:sdt>
                  <w:r>
                    <w:rPr>
                      <w:b/>
                      <w:szCs w:val="24"/>
                      <w:shd w:val="clear" w:color="auto" w:fill="FFFFFF"/>
                    </w:rPr>
                    <w:t>.</w:t>
                  </w:r>
                  <w:r>
                    <w:rPr>
                      <w:b/>
                      <w:sz w:val="22"/>
                      <w:szCs w:val="22"/>
                    </w:rPr>
                    <w:t xml:space="preserve"> </w:t>
                  </w:r>
                  <w:r>
                    <w:rPr>
                      <w:b/>
                      <w:szCs w:val="24"/>
                      <w:shd w:val="clear" w:color="auto" w:fill="FFFFFF"/>
                    </w:rPr>
                    <w:t>Sprendimo projekto antikorupcinis vertinimas.</w:t>
                  </w:r>
                </w:p>
                <w:p>
                  <w:pPr>
                    <w:tabs>
                      <w:tab w:val="left" w:pos="0"/>
                    </w:tabs>
                    <w:spacing w:line="254" w:lineRule="auto"/>
                    <w:ind w:firstLine="709"/>
                    <w:jc w:val="both"/>
                    <w:rPr>
                      <w:bCs/>
                      <w:szCs w:val="24"/>
                      <w:shd w:val="clear" w:color="auto" w:fill="FFFFFF"/>
                    </w:rPr>
                  </w:pPr>
                  <w:r>
                    <w:rPr>
                      <w:bCs/>
                      <w:szCs w:val="24"/>
                      <w:shd w:val="clear" w:color="auto" w:fill="FFFFFF"/>
                    </w:rPr>
                    <w:t>Korupcijos pasireiškimo tikimybė nenustatyta.</w:t>
                  </w:r>
                </w:p>
              </w:sdtContent>
            </w:sdt>
            <w:sdt>
              <w:sdtPr>
                <w:alias w:val="11 p."/>
                <w:tag w:val="part_e4af0ebfbf034f59b76728ca891e89ff"/>
                <w:lock w:val="sdtLocked"/>
                <w:richText/>
              </w:sdtPr>
              <w:sdtContent>
                <w:p>
                  <w:pPr>
                    <w:tabs>
                      <w:tab w:val="left" w:pos="0"/>
                    </w:tabs>
                    <w:spacing w:line="254" w:lineRule="auto"/>
                    <w:ind w:firstLine="709"/>
                    <w:jc w:val="both"/>
                    <w:rPr>
                      <w:b/>
                      <w:szCs w:val="24"/>
                      <w:shd w:val="clear" w:color="auto" w:fill="FFFFFF"/>
                    </w:rPr>
                  </w:pPr>
                  <w:sdt>
                    <w:sdtPr>
                      <w:alias w:val="Numeris"/>
                      <w:tag w:val="nr_e4af0ebfbf034f59b76728ca891e89ff"/>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jc w:val="both"/>
                    <w:rPr>
                      <w:bCs/>
                      <w:szCs w:val="24"/>
                      <w:shd w:val="clear" w:color="auto" w:fill="FFFFFF"/>
                    </w:rPr>
                  </w:pPr>
                  <w:r>
                    <w:rPr>
                      <w:bCs/>
                      <w:szCs w:val="24"/>
                      <w:shd w:val="clear" w:color="auto" w:fill="FFFFFF"/>
                    </w:rPr>
                    <w:t>Sprendimo projektu:</w:t>
                  </w:r>
                </w:p>
                <w:sdt>
                  <w:sdtPr>
                    <w:alias w:val="11.1 pp."/>
                    <w:tag w:val="part_f39d974495a546d18b5fc338a9334e63"/>
                    <w:lock w:val="sdtLocked"/>
                    <w:richText/>
                  </w:sdtPr>
                  <w:sdtContent>
                    <w:p>
                      <w:pPr>
                        <w:tabs>
                          <w:tab w:val="left" w:pos="0"/>
                        </w:tabs>
                        <w:spacing w:line="254" w:lineRule="auto"/>
                        <w:ind w:firstLine="709"/>
                        <w:jc w:val="both"/>
                        <w:rPr>
                          <w:b/>
                          <w:szCs w:val="24"/>
                          <w:shd w:val="clear" w:color="auto" w:fill="FFFFFF"/>
                        </w:rPr>
                      </w:pPr>
                      <w:sdt>
                        <w:sdtPr>
                          <w:alias w:val="Numeris"/>
                          <w:tag w:val="nr_f39d974495a546d18b5fc338a9334e63"/>
                          <w:lock w:val="sdtLocked"/>
                          <w:richText/>
                        </w:sdtPr>
                        <w:sdtContent>
                          <w:r>
                            <w:rPr>
                              <w:b/>
                              <w:szCs w:val="24"/>
                              <w:shd w:val="clear" w:color="auto" w:fill="FFFFFF"/>
                            </w:rPr>
                            <w:t>11.1</w:t>
                          </w:r>
                        </w:sdtContent>
                      </w:sdt>
                      <w:r>
                        <w:rPr>
                          <w:b/>
                          <w:szCs w:val="24"/>
                          <w:shd w:val="clear" w:color="auto" w:fill="FFFFFF"/>
                        </w:rPr>
                        <w:t xml:space="preserve">. Didinamos  Radviliškio rajono savivaldybės 2026 metų biudžeto pajamos 90 319,00        Eur, iš jų:</w:t>
                      </w:r>
                    </w:p>
                    <w:p>
                      <w:pPr>
                        <w:rPr>
                          <w:sz w:val="14"/>
                          <w:szCs w:val="14"/>
                        </w:rPr>
                      </w:pPr>
                    </w:p>
                    <w:sdt>
                      <w:sdtPr>
                        <w:alias w:val="11.1.1 pp."/>
                        <w:tag w:val="part_816cdfa3d0d943429d91b5f88e985337"/>
                        <w:lock w:val="sdtLocked"/>
                        <w:richText/>
                      </w:sdtPr>
                      <w:sdtContent>
                        <w:p>
                          <w:pPr>
                            <w:spacing w:line="254" w:lineRule="auto"/>
                            <w:ind w:firstLine="709"/>
                            <w:jc w:val="both"/>
                            <w:rPr>
                              <w:szCs w:val="24"/>
                            </w:rPr>
                          </w:pPr>
                          <w:sdt>
                            <w:sdtPr>
                              <w:alias w:val="Numeris"/>
                              <w:tag w:val="nr_816cdfa3d0d943429d91b5f88e985337"/>
                              <w:lock w:val="sdtLocked"/>
                              <w:richText/>
                            </w:sdtPr>
                            <w:sdtContent>
                              <w:r>
                                <w:rPr>
                                  <w:szCs w:val="24"/>
                                </w:rPr>
                                <w:t>11.1.1</w:t>
                              </w:r>
                            </w:sdtContent>
                          </w:sdt>
                          <w:r>
                            <w:rPr>
                              <w:szCs w:val="24"/>
                            </w:rPr>
                            <w:t>.</w:t>
                          </w:r>
                          <w:r>
                            <w:rPr>
                              <w:sz w:val="22"/>
                              <w:szCs w:val="22"/>
                            </w:rPr>
                            <w:t xml:space="preserve"> </w:t>
                          </w:r>
                          <w:r>
                            <w:rPr>
                              <w:szCs w:val="24"/>
                            </w:rPr>
                            <w:t>Valstybės biudžeto lėšos, skirtos bendruomeninei veiklai stiprinti – 33 634,00 Eur (VB);</w:t>
                          </w:r>
                        </w:p>
                      </w:sdtContent>
                    </w:sdt>
                    <w:sdt>
                      <w:sdtPr>
                        <w:alias w:val="11.1.2 pp."/>
                        <w:tag w:val="part_2255aac4c53c410090890e2975d5b418"/>
                        <w:lock w:val="sdtLocked"/>
                        <w:richText/>
                      </w:sdtPr>
                      <w:sdtContent>
                        <w:p>
                          <w:pPr>
                            <w:spacing w:line="254" w:lineRule="auto"/>
                            <w:ind w:firstLine="709"/>
                            <w:jc w:val="both"/>
                            <w:rPr>
                              <w:bCs/>
                              <w:szCs w:val="24"/>
                              <w:shd w:val="clear" w:color="auto" w:fill="FFFFFF"/>
                            </w:rPr>
                          </w:pPr>
                          <w:sdt>
                            <w:sdtPr>
                              <w:alias w:val="Numeris"/>
                              <w:tag w:val="nr_2255aac4c53c410090890e2975d5b418"/>
                              <w:lock w:val="sdtLocked"/>
                              <w:richText/>
                            </w:sdtPr>
                            <w:sdtContent>
                              <w:r>
                                <w:rPr>
                                  <w:szCs w:val="24"/>
                                </w:rPr>
                                <w:t>11.1.2</w:t>
                              </w:r>
                            </w:sdtContent>
                          </w:sdt>
                          <w:r>
                            <w:rPr>
                              <w:szCs w:val="24"/>
                            </w:rPr>
                            <w:t>.</w:t>
                          </w:r>
                          <w:r>
                            <w:rPr>
                              <w:sz w:val="22"/>
                              <w:szCs w:val="22"/>
                            </w:rPr>
                            <w:t xml:space="preserve"> </w:t>
                          </w:r>
                          <w:r>
                            <w:rPr>
                              <w:szCs w:val="24"/>
                            </w:rPr>
                            <w:t xml:space="preserve">Valstybės biudžeto lėšos, skirtos  ūkio subjektų žalai, patirtai dėl stichinio meteorologinio reiškinio iš dalies atlyginti </w:t>
                          </w:r>
                          <w:r>
                            <w:rPr>
                              <w:bCs/>
                              <w:szCs w:val="24"/>
                              <w:shd w:val="clear" w:color="auto" w:fill="FFFFFF"/>
                            </w:rPr>
                            <w:t xml:space="preserve">– 6 789,00  Eur (VB);</w:t>
                          </w:r>
                        </w:p>
                      </w:sdtContent>
                    </w:sdt>
                    <w:sdt>
                      <w:sdtPr>
                        <w:alias w:val="11.1.3 pp."/>
                        <w:tag w:val="part_00ef7af2461941ca9bc3822f963ae66f"/>
                        <w:lock w:val="sdtLocked"/>
                        <w:richText/>
                      </w:sdtPr>
                      <w:sdtContent>
                        <w:p>
                          <w:pPr>
                            <w:spacing w:line="254" w:lineRule="auto"/>
                            <w:ind w:firstLine="709"/>
                            <w:jc w:val="both"/>
                            <w:rPr>
                              <w:bCs/>
                              <w:szCs w:val="24"/>
                              <w:shd w:val="clear" w:color="auto" w:fill="FFFFFF"/>
                            </w:rPr>
                          </w:pPr>
                          <w:sdt>
                            <w:sdtPr>
                              <w:alias w:val="Numeris"/>
                              <w:tag w:val="nr_00ef7af2461941ca9bc3822f963ae66f"/>
                              <w:lock w:val="sdtLocked"/>
                              <w:richText/>
                            </w:sdtPr>
                            <w:sdtContent>
                              <w:r>
                                <w:rPr>
                                  <w:bCs/>
                                  <w:szCs w:val="24"/>
                                  <w:shd w:val="clear" w:color="auto" w:fill="FFFFFF"/>
                                </w:rPr>
                                <w:t>11.1.3</w:t>
                              </w:r>
                            </w:sdtContent>
                          </w:sdt>
                          <w:r>
                            <w:rPr>
                              <w:bCs/>
                              <w:szCs w:val="24"/>
                              <w:shd w:val="clear" w:color="auto" w:fill="FFFFFF"/>
                            </w:rPr>
                            <w:t>. Valstybės biudžeto lėšos, skirtos išlaidoms, susijusioms su valstybinių ir savivaldybių mokyklų mokytojų, dirbančių pagal ikimokyklinio, priešmokyklinio, bendrojo ugdymo ir profesinio mokymo programas, personalo optimizavimu ir atnaujinimu, apmokėti – 9 896,00 Eur (VB);</w:t>
                          </w:r>
                        </w:p>
                      </w:sdtContent>
                    </w:sdt>
                    <w:sdt>
                      <w:sdtPr>
                        <w:alias w:val="11.1.4 pp."/>
                        <w:tag w:val="part_4053e9a11eba4026852f331d7a4fae7f"/>
                        <w:lock w:val="sdtLocked"/>
                        <w:richText/>
                      </w:sdtPr>
                      <w:sdtContent>
                        <w:p>
                          <w:pPr>
                            <w:spacing w:line="254" w:lineRule="auto"/>
                            <w:ind w:firstLine="709"/>
                            <w:jc w:val="both"/>
                            <w:rPr>
                              <w:bCs/>
                              <w:szCs w:val="24"/>
                              <w:shd w:val="clear" w:color="auto" w:fill="FFFFFF"/>
                            </w:rPr>
                          </w:pPr>
                          <w:sdt>
                            <w:sdtPr>
                              <w:alias w:val="Numeris"/>
                              <w:tag w:val="nr_4053e9a11eba4026852f331d7a4fae7f"/>
                              <w:lock w:val="sdtLocked"/>
                              <w:richText/>
                            </w:sdtPr>
                            <w:sdtContent>
                              <w:r>
                                <w:rPr>
                                  <w:bCs/>
                                  <w:szCs w:val="24"/>
                                  <w:shd w:val="clear" w:color="auto" w:fill="FFFFFF"/>
                                </w:rPr>
                                <w:t>11.1.4</w:t>
                              </w:r>
                            </w:sdtContent>
                          </w:sdt>
                          <w:r>
                            <w:rPr>
                              <w:bCs/>
                              <w:szCs w:val="24"/>
                              <w:shd w:val="clear" w:color="auto" w:fill="FFFFFF"/>
                            </w:rPr>
                            <w:t>. Mokesčiai už valstybinius gamtos išteklius – 40 000,00 (SB);</w:t>
                          </w:r>
                        </w:p>
                        <w:p>
                          <w:pPr>
                            <w:spacing w:line="254" w:lineRule="auto"/>
                            <w:ind w:firstLine="709"/>
                            <w:jc w:val="both"/>
                            <w:rPr>
                              <w:bCs/>
                              <w:szCs w:val="24"/>
                              <w:shd w:val="clear" w:color="auto" w:fill="FFFFFF"/>
                            </w:rPr>
                          </w:pPr>
                        </w:p>
                      </w:sdtContent>
                    </w:sdt>
                  </w:sdtContent>
                </w:sdt>
                <w:sdt>
                  <w:sdtPr>
                    <w:alias w:val="11.2 pp."/>
                    <w:tag w:val="part_8b4bceb5d81e4846a7b552b93adb2104"/>
                    <w:lock w:val="sdtLocked"/>
                    <w:richText/>
                  </w:sdtPr>
                  <w:sdtContent>
                    <w:p>
                      <w:pPr>
                        <w:spacing w:line="254" w:lineRule="auto"/>
                        <w:ind w:firstLine="709"/>
                        <w:jc w:val="both"/>
                        <w:rPr>
                          <w:b/>
                          <w:szCs w:val="24"/>
                          <w:lang w:eastAsia="lt-LT"/>
                        </w:rPr>
                      </w:pPr>
                      <w:sdt>
                        <w:sdtPr>
                          <w:alias w:val="Numeris"/>
                          <w:tag w:val="nr_8b4bceb5d81e4846a7b552b93adb2104"/>
                          <w:lock w:val="sdtLocked"/>
                          <w:richText/>
                        </w:sdtPr>
                        <w:sdtContent>
                          <w:r>
                            <w:rPr>
                              <w:b/>
                              <w:szCs w:val="24"/>
                              <w:shd w:val="clear" w:color="auto" w:fill="FFFFFF"/>
                            </w:rPr>
                            <w:t>11.2</w:t>
                          </w:r>
                        </w:sdtContent>
                      </w:sdt>
                      <w:r>
                        <w:rPr>
                          <w:b/>
                          <w:szCs w:val="24"/>
                          <w:shd w:val="clear" w:color="auto" w:fill="FFFFFF"/>
                        </w:rPr>
                        <w:t>.</w:t>
                      </w:r>
                      <w:r>
                        <w:rPr>
                          <w:b/>
                          <w:szCs w:val="24"/>
                          <w:lang w:eastAsia="lt-LT"/>
                        </w:rPr>
                        <w:t xml:space="preserve"> Didinami Radviliškio rajono savivaldybės 2026 metų biudžeto asignavimai  pagal programas 90 319,00  Eur, iš jų:</w:t>
                      </w:r>
                    </w:p>
                    <w:p>
                      <w:pPr>
                        <w:spacing w:line="254" w:lineRule="auto"/>
                        <w:ind w:firstLine="709"/>
                        <w:jc w:val="both"/>
                        <w:rPr>
                          <w:b/>
                          <w:szCs w:val="24"/>
                          <w:lang w:eastAsia="lt-LT"/>
                        </w:rPr>
                      </w:pPr>
                    </w:p>
                    <w:sdt>
                      <w:sdtPr>
                        <w:alias w:val="11.2.1 pp."/>
                        <w:tag w:val="part_66218fe92a444dba930723068799b002"/>
                        <w:lock w:val="sdtLocked"/>
                        <w:richText/>
                      </w:sdtPr>
                      <w:sdtContent>
                        <w:p>
                          <w:pPr>
                            <w:spacing w:line="254" w:lineRule="auto"/>
                            <w:ind w:firstLine="709"/>
                            <w:jc w:val="both"/>
                            <w:rPr>
                              <w:bCs/>
                              <w:szCs w:val="24"/>
                              <w:lang w:eastAsia="lt-LT"/>
                            </w:rPr>
                          </w:pPr>
                          <w:sdt>
                            <w:sdtPr>
                              <w:alias w:val="Numeris"/>
                              <w:tag w:val="nr_66218fe92a444dba930723068799b002"/>
                              <w:lock w:val="sdtLocked"/>
                              <w:richText/>
                            </w:sdtPr>
                            <w:sdtContent>
                              <w:r>
                                <w:rPr>
                                  <w:bCs/>
                                  <w:szCs w:val="24"/>
                                  <w:lang w:eastAsia="lt-LT"/>
                                </w:rPr>
                                <w:t>11.2.1</w:t>
                              </w:r>
                            </w:sdtContent>
                          </w:sdt>
                          <w:r>
                            <w:rPr>
                              <w:bCs/>
                              <w:szCs w:val="24"/>
                              <w:lang w:eastAsia="lt-LT"/>
                            </w:rPr>
                            <w:t>.</w:t>
                          </w:r>
                          <w:r>
                            <w:rPr>
                              <w:bCs/>
                              <w:sz w:val="22"/>
                              <w:szCs w:val="22"/>
                            </w:rPr>
                            <w:t xml:space="preserve"> </w:t>
                          </w:r>
                          <w:r>
                            <w:rPr>
                              <w:bCs/>
                              <w:szCs w:val="24"/>
                              <w:lang w:eastAsia="lt-LT"/>
                            </w:rPr>
                            <w:t>Radviliškio rajono savivaldybės administracijai:</w:t>
                          </w:r>
                        </w:p>
                        <w:sdt>
                          <w:sdtPr>
                            <w:alias w:val="11.2.1.1 pp."/>
                            <w:tag w:val="part_9ea30106757f4c1b92ee9baac8df3262"/>
                            <w:lock w:val="sdtLocked"/>
                            <w:richText/>
                          </w:sdtPr>
                          <w:sdtContent>
                            <w:p>
                              <w:pPr>
                                <w:spacing w:line="254" w:lineRule="auto"/>
                                <w:ind w:firstLine="709"/>
                                <w:jc w:val="both"/>
                                <w:rPr>
                                  <w:bCs/>
                                  <w:szCs w:val="24"/>
                                  <w:lang w:eastAsia="lt-LT"/>
                                </w:rPr>
                              </w:pPr>
                              <w:sdt>
                                <w:sdtPr>
                                  <w:alias w:val="Numeris"/>
                                  <w:tag w:val="nr_9ea30106757f4c1b92ee9baac8df3262"/>
                                  <w:lock w:val="sdtLocked"/>
                                  <w:richText/>
                                </w:sdtPr>
                                <w:sdtContent>
                                  <w:r>
                                    <w:rPr>
                                      <w:bCs/>
                                      <w:szCs w:val="24"/>
                                      <w:lang w:eastAsia="lt-LT"/>
                                    </w:rPr>
                                    <w:t>11.2.1.1</w:t>
                                  </w:r>
                                </w:sdtContent>
                              </w:sdt>
                              <w:r>
                                <w:rPr>
                                  <w:bCs/>
                                  <w:szCs w:val="24"/>
                                  <w:lang w:eastAsia="lt-LT"/>
                                </w:rPr>
                                <w:t>.</w:t>
                              </w:r>
                              <w:r>
                                <w:rPr>
                                  <w:sz w:val="22"/>
                                  <w:szCs w:val="22"/>
                                </w:rPr>
                                <w:t xml:space="preserve"> </w:t>
                              </w:r>
                              <w:r>
                                <w:rPr>
                                  <w:bCs/>
                                  <w:szCs w:val="24"/>
                                  <w:lang w:eastAsia="lt-LT"/>
                                </w:rPr>
                                <w:t xml:space="preserve">Valstybės biudžeto lėšos, skirtos bendruomeninei veiklai stiprinti – 33 634,00 Eur (VB,  05 programa);</w:t>
                              </w:r>
                            </w:p>
                          </w:sdtContent>
                        </w:sdt>
                        <w:sdt>
                          <w:sdtPr>
                            <w:alias w:val="11.2.1.2 pp."/>
                            <w:tag w:val="part_de5a49e236de499f971bd5a31a88450a"/>
                            <w:lock w:val="sdtLocked"/>
                            <w:richText/>
                          </w:sdtPr>
                          <w:sdtContent>
                            <w:p>
                              <w:pPr>
                                <w:spacing w:line="254" w:lineRule="auto"/>
                                <w:ind w:firstLine="709"/>
                                <w:jc w:val="both"/>
                                <w:rPr>
                                  <w:bCs/>
                                  <w:szCs w:val="24"/>
                                  <w:lang w:eastAsia="lt-LT"/>
                                </w:rPr>
                              </w:pPr>
                              <w:sdt>
                                <w:sdtPr>
                                  <w:alias w:val="Numeris"/>
                                  <w:tag w:val="nr_de5a49e236de499f971bd5a31a88450a"/>
                                  <w:lock w:val="sdtLocked"/>
                                  <w:richText/>
                                </w:sdtPr>
                                <w:sdtContent>
                                  <w:r>
                                    <w:rPr>
                                      <w:bCs/>
                                      <w:szCs w:val="24"/>
                                      <w:lang w:eastAsia="lt-LT"/>
                                    </w:rPr>
                                    <w:t>11.2.1.2</w:t>
                                  </w:r>
                                </w:sdtContent>
                              </w:sdt>
                              <w:r>
                                <w:rPr>
                                  <w:bCs/>
                                  <w:szCs w:val="24"/>
                                  <w:lang w:eastAsia="lt-LT"/>
                                </w:rPr>
                                <w:t>.</w:t>
                              </w:r>
                              <w:r>
                                <w:rPr>
                                  <w:sz w:val="22"/>
                                  <w:szCs w:val="22"/>
                                </w:rPr>
                                <w:t xml:space="preserve"> </w:t>
                              </w:r>
                              <w:r>
                                <w:rPr>
                                  <w:bCs/>
                                  <w:szCs w:val="24"/>
                                  <w:lang w:eastAsia="lt-LT"/>
                                </w:rPr>
                                <w:t>Valstybės biudžeto lėšos, skirtos ūkio subjektų žalai, patirtai dėl stichinio meteorologinio reiškinio iš dalies atlyginti – 6 789,00 Eur (VB, 01 programa);</w:t>
                              </w:r>
                            </w:p>
                          </w:sdtContent>
                        </w:sdt>
                        <w:sdt>
                          <w:sdtPr>
                            <w:alias w:val="11.2.1.3 pp."/>
                            <w:tag w:val="part_883ccc3bf1994750bef9c5526314bc72"/>
                            <w:lock w:val="sdtLocked"/>
                            <w:richText/>
                          </w:sdtPr>
                          <w:sdtContent>
                            <w:p>
                              <w:pPr>
                                <w:spacing w:line="254" w:lineRule="auto"/>
                                <w:ind w:firstLine="709"/>
                                <w:jc w:val="both"/>
                                <w:rPr>
                                  <w:szCs w:val="24"/>
                                </w:rPr>
                              </w:pPr>
                              <w:sdt>
                                <w:sdtPr>
                                  <w:alias w:val="Numeris"/>
                                  <w:tag w:val="nr_883ccc3bf1994750bef9c5526314bc72"/>
                                  <w:lock w:val="sdtLocked"/>
                                  <w:richText/>
                                </w:sdtPr>
                                <w:sdtContent>
                                  <w:r>
                                    <w:rPr>
                                      <w:bCs/>
                                      <w:szCs w:val="24"/>
                                      <w:lang w:eastAsia="lt-LT"/>
                                    </w:rPr>
                                    <w:t>11.2.1.3</w:t>
                                  </w:r>
                                </w:sdtContent>
                              </w:sdt>
                              <w:r>
                                <w:rPr>
                                  <w:bCs/>
                                  <w:szCs w:val="24"/>
                                  <w:lang w:eastAsia="lt-LT"/>
                                </w:rPr>
                                <w:t>.</w:t>
                              </w:r>
                              <w:r>
                                <w:rPr>
                                  <w:sz w:val="22"/>
                                  <w:szCs w:val="22"/>
                                </w:rPr>
                                <w:t xml:space="preserve"> </w:t>
                              </w:r>
                              <w:r>
                                <w:rPr>
                                  <w:szCs w:val="24"/>
                                </w:rPr>
                                <w:t>Aplinkos apsaugos specialiosios programos lėšos – 40 000,00 Eur (SB AA, 06 programa).</w:t>
                              </w:r>
                            </w:p>
                          </w:sdtContent>
                        </w:sdt>
                      </w:sdtContent>
                    </w:sdt>
                    <w:sdt>
                      <w:sdtPr>
                        <w:alias w:val="11.2.2 pp."/>
                        <w:tag w:val="part_024793ac872f4e10abab6ae1e3d29eb6"/>
                        <w:lock w:val="sdtLocked"/>
                        <w:richText/>
                      </w:sdtPr>
                      <w:sdtContent>
                        <w:p>
                          <w:pPr>
                            <w:spacing w:line="254" w:lineRule="auto"/>
                            <w:ind w:firstLine="709"/>
                            <w:jc w:val="both"/>
                            <w:rPr>
                              <w:bCs/>
                              <w:szCs w:val="24"/>
                              <w:lang w:eastAsia="lt-LT"/>
                            </w:rPr>
                          </w:pPr>
                          <w:sdt>
                            <w:sdtPr>
                              <w:alias w:val="Numeris"/>
                              <w:tag w:val="nr_024793ac872f4e10abab6ae1e3d29eb6"/>
                              <w:lock w:val="sdtLocked"/>
                              <w:richText/>
                            </w:sdtPr>
                            <w:sdtContent>
                              <w:r>
                                <w:rPr>
                                  <w:szCs w:val="24"/>
                                </w:rPr>
                                <w:t>11.2.2</w:t>
                              </w:r>
                            </w:sdtContent>
                          </w:sdt>
                          <w:r>
                            <w:rPr>
                              <w:szCs w:val="24"/>
                            </w:rPr>
                            <w:t>. Radviliškio Vaižganto progimnazijai, valstybės biudžeto lėšos, skirtos išlaidoms, susijusioms su valstybinių ir savivaldybių mokyklų mokytojų, dirbančių pagal ikimokyklinio, priešmokyklinio, bendrojo ugdymo ir profesinio mokymo programas, personalo optimizavimu ir atnaujinimu – 9 896,00 Eur (VB, 02 programa).</w:t>
                          </w:r>
                        </w:p>
                      </w:sdtContent>
                    </w:sdt>
                  </w:sdtContent>
                </w:sdt>
                <w:sdt>
                  <w:sdtPr>
                    <w:alias w:val="11.3 pp."/>
                    <w:tag w:val="part_66f1944e688240e886dc8701af177cdf"/>
                    <w:lock w:val="sdtLocked"/>
                    <w:richText/>
                  </w:sdtPr>
                  <w:sdtContent>
                    <w:p>
                      <w:pPr>
                        <w:spacing w:line="254" w:lineRule="auto"/>
                        <w:ind w:firstLine="709"/>
                        <w:jc w:val="both"/>
                        <w:rPr>
                          <w:bCs/>
                          <w:szCs w:val="24"/>
                          <w:lang w:eastAsia="lt-LT"/>
                        </w:rPr>
                      </w:pPr>
                      <w:sdt>
                        <w:sdtPr>
                          <w:alias w:val="Numeris"/>
                          <w:tag w:val="nr_66f1944e688240e886dc8701af177cdf"/>
                          <w:lock w:val="sdtLocked"/>
                          <w:richText/>
                        </w:sdtPr>
                        <w:sdtContent>
                          <w:r>
                            <w:rPr>
                              <w:bCs/>
                              <w:szCs w:val="24"/>
                              <w:lang w:eastAsia="lt-LT"/>
                            </w:rPr>
                            <w:t>11.3</w:t>
                          </w:r>
                        </w:sdtContent>
                      </w:sdt>
                      <w:r>
                        <w:rPr>
                          <w:bCs/>
                          <w:szCs w:val="24"/>
                          <w:lang w:eastAsia="lt-LT"/>
                        </w:rPr>
                        <w:t>.</w:t>
                      </w:r>
                      <w:r>
                        <w:rPr>
                          <w:sz w:val="22"/>
                          <w:szCs w:val="22"/>
                        </w:rPr>
                        <w:t xml:space="preserve"> </w:t>
                      </w:r>
                      <w:r>
                        <w:rPr>
                          <w:bCs/>
                          <w:szCs w:val="24"/>
                          <w:lang w:eastAsia="lt-LT"/>
                        </w:rPr>
                        <w:t>Sumažinti Radviliškio rajono savivaldybės administracijos asignavimus specialiai tikslinei dotacijai ugdymo reikmėms – 205 315,00 Eur (ML, 02 programa);</w:t>
                      </w:r>
                    </w:p>
                  </w:sdtContent>
                </w:sdt>
                <w:sdt>
                  <w:sdtPr>
                    <w:alias w:val="11.4 pp."/>
                    <w:tag w:val="part_9833aff38be54d2f91981e86a41ef28e"/>
                    <w:lock w:val="sdtLocked"/>
                    <w:richText/>
                  </w:sdtPr>
                  <w:sdtContent>
                    <w:p>
                      <w:pPr>
                        <w:spacing w:line="254" w:lineRule="auto"/>
                        <w:ind w:firstLine="709"/>
                        <w:jc w:val="both"/>
                        <w:rPr>
                          <w:bCs/>
                          <w:szCs w:val="24"/>
                          <w:lang w:eastAsia="lt-LT"/>
                        </w:rPr>
                      </w:pPr>
                      <w:sdt>
                        <w:sdtPr>
                          <w:alias w:val="Numeris"/>
                          <w:tag w:val="nr_9833aff38be54d2f91981e86a41ef28e"/>
                          <w:lock w:val="sdtLocked"/>
                          <w:richText/>
                        </w:sdtPr>
                        <w:sdtContent>
                          <w:r>
                            <w:rPr>
                              <w:bCs/>
                              <w:szCs w:val="24"/>
                              <w:lang w:eastAsia="lt-LT"/>
                            </w:rPr>
                            <w:t>11.4</w:t>
                          </w:r>
                        </w:sdtContent>
                      </w:sdt>
                      <w:r>
                        <w:rPr>
                          <w:bCs/>
                          <w:szCs w:val="24"/>
                          <w:lang w:eastAsia="lt-LT"/>
                        </w:rPr>
                        <w:t>. Padidinti asignavimus iš specialios tikslinės dotacijos ugdymo reikmėms darbo užmokesčiui ir mokymo programoms – 205 315,00 Eur (ML, 02 programa):</w:t>
                      </w:r>
                    </w:p>
                    <w:p>
                      <w:pPr>
                        <w:spacing w:line="254" w:lineRule="auto"/>
                        <w:ind w:firstLine="709"/>
                        <w:jc w:val="both"/>
                        <w:rPr>
                          <w:bCs/>
                          <w:szCs w:val="24"/>
                          <w:lang w:eastAsia="lt-LT"/>
                        </w:rPr>
                      </w:pPr>
                    </w:p>
                    <w:tbl>
                      <w:tblPr>
                        <w:tblW w:w="8676" w:type="dxa"/>
                        <w:jc w:val="center"/>
                        <w:tblLook w:val="04A0" w:firstRow="1" w:lastRow="0" w:firstColumn="1" w:lastColumn="0" w:noHBand="0" w:noVBand="1"/>
                      </w:tblPr>
                      <w:tblGrid>
                        <w:gridCol w:w="6408"/>
                        <w:gridCol w:w="2268"/>
                      </w:tblGrid>
                      <w:tr>
                        <w:trPr>
                          <w:trHeight w:val="300"/>
                          <w:jc w:val="center"/>
                        </w:trPr>
                        <w:tc>
                          <w:tcPr>
                            <w:tcW w:w="64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Asignavimų valdytojai</w:t>
                            </w:r>
                          </w:p>
                        </w:tc>
                        <w:tc>
                          <w:tcPr>
                            <w:tcW w:w="2268" w:type="dxa"/>
                            <w:tcBorders>
                              <w:top w:val="single" w:sz="4" w:space="0" w:color="auto"/>
                              <w:left w:val="nil"/>
                              <w:bottom w:val="single" w:sz="4" w:space="0" w:color="auto"/>
                              <w:right w:val="single" w:sz="4" w:space="0" w:color="auto"/>
                            </w:tcBorders>
                          </w:tcPr>
                          <w:p>
                            <w:pPr>
                              <w:jc w:val="center"/>
                              <w:rPr>
                                <w:b/>
                                <w:bCs/>
                                <w:color w:val="000000"/>
                                <w:szCs w:val="24"/>
                                <w:lang w:eastAsia="lt-LT"/>
                              </w:rPr>
                            </w:pPr>
                            <w:r>
                              <w:rPr>
                                <w:b/>
                                <w:bCs/>
                                <w:color w:val="000000"/>
                                <w:szCs w:val="24"/>
                                <w:lang w:eastAsia="lt-LT"/>
                              </w:rPr>
                              <w:t>Iš viso Eur</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2268" w:type="dxa"/>
                            <w:tcBorders>
                              <w:top w:val="nil"/>
                              <w:left w:val="single" w:sz="4" w:space="0" w:color="auto"/>
                              <w:bottom w:val="single" w:sz="4" w:space="0" w:color="auto"/>
                              <w:right w:val="single" w:sz="4" w:space="0" w:color="auto"/>
                            </w:tcBorders>
                            <w:vAlign w:val="bottom"/>
                          </w:tcPr>
                          <w:p>
                            <w:pPr>
                              <w:jc w:val="center"/>
                              <w:rPr>
                                <w:color w:val="000000"/>
                                <w:szCs w:val="24"/>
                                <w:lang w:eastAsia="lt-LT"/>
                              </w:rPr>
                            </w:pPr>
                            <w:r>
                              <w:rPr>
                                <w:color w:val="000000"/>
                                <w:szCs w:val="24"/>
                                <w:lang w:eastAsia="lt-LT"/>
                              </w:rPr>
                              <w:t>11 270,00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2268" w:type="dxa"/>
                            <w:tcBorders>
                              <w:top w:val="nil"/>
                              <w:left w:val="single" w:sz="4" w:space="0" w:color="auto"/>
                              <w:bottom w:val="single" w:sz="4" w:space="0" w:color="auto"/>
                              <w:right w:val="single" w:sz="4" w:space="0" w:color="auto"/>
                            </w:tcBorders>
                            <w:vAlign w:val="bottom"/>
                          </w:tcPr>
                          <w:p>
                            <w:pPr>
                              <w:jc w:val="center"/>
                              <w:rPr>
                                <w:color w:val="000000"/>
                                <w:szCs w:val="24"/>
                                <w:lang w:eastAsia="lt-LT"/>
                              </w:rPr>
                            </w:pPr>
                            <w:r>
                              <w:rPr>
                                <w:color w:val="000000"/>
                                <w:szCs w:val="24"/>
                                <w:lang w:eastAsia="lt-LT"/>
                              </w:rPr>
                              <w:t>5 270,00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2268" w:type="dxa"/>
                            <w:tcBorders>
                              <w:top w:val="nil"/>
                              <w:left w:val="single" w:sz="4" w:space="0" w:color="auto"/>
                              <w:bottom w:val="single" w:sz="4" w:space="0" w:color="auto"/>
                              <w:right w:val="single" w:sz="4" w:space="0" w:color="auto"/>
                            </w:tcBorders>
                            <w:vAlign w:val="bottom"/>
                          </w:tcPr>
                          <w:p>
                            <w:pPr>
                              <w:jc w:val="center"/>
                              <w:rPr>
                                <w:color w:val="000000"/>
                                <w:szCs w:val="24"/>
                                <w:lang w:eastAsia="lt-LT"/>
                              </w:rPr>
                            </w:pPr>
                            <w:r>
                              <w:rPr>
                                <w:color w:val="000000"/>
                                <w:szCs w:val="24"/>
                                <w:lang w:eastAsia="lt-LT"/>
                              </w:rPr>
                              <w:t>37 500,00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Grinkiškio Jono Poderio pagrindinė mokykla</w:t>
                            </w:r>
                          </w:p>
                        </w:tc>
                        <w:tc>
                          <w:tcPr>
                            <w:tcW w:w="2268" w:type="dxa"/>
                            <w:tcBorders>
                              <w:top w:val="nil"/>
                              <w:left w:val="single" w:sz="4" w:space="0" w:color="auto"/>
                              <w:bottom w:val="single" w:sz="4" w:space="0" w:color="auto"/>
                              <w:right w:val="single" w:sz="4" w:space="0" w:color="auto"/>
                            </w:tcBorders>
                            <w:vAlign w:val="bottom"/>
                          </w:tcPr>
                          <w:p>
                            <w:pPr>
                              <w:jc w:val="center"/>
                              <w:rPr>
                                <w:color w:val="000000"/>
                                <w:szCs w:val="24"/>
                                <w:lang w:eastAsia="lt-LT"/>
                              </w:rPr>
                            </w:pPr>
                            <w:r>
                              <w:rPr>
                                <w:color w:val="000000"/>
                                <w:szCs w:val="24"/>
                                <w:lang w:eastAsia="lt-LT"/>
                              </w:rPr>
                              <w:t>1 520,00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Šeduvos gimnazija</w:t>
                            </w:r>
                          </w:p>
                        </w:tc>
                        <w:tc>
                          <w:tcPr>
                            <w:tcW w:w="2268" w:type="dxa"/>
                            <w:tcBorders>
                              <w:top w:val="nil"/>
                              <w:left w:val="single" w:sz="4" w:space="0" w:color="auto"/>
                              <w:bottom w:val="single" w:sz="4" w:space="0" w:color="auto"/>
                              <w:right w:val="single" w:sz="4" w:space="0" w:color="auto"/>
                            </w:tcBorders>
                            <w:vAlign w:val="bottom"/>
                          </w:tcPr>
                          <w:p>
                            <w:pPr>
                              <w:jc w:val="center"/>
                              <w:rPr>
                                <w:color w:val="000000"/>
                                <w:szCs w:val="24"/>
                                <w:lang w:eastAsia="lt-LT"/>
                              </w:rPr>
                            </w:pPr>
                            <w:r>
                              <w:rPr>
                                <w:color w:val="000000"/>
                                <w:szCs w:val="24"/>
                                <w:lang w:eastAsia="lt-LT"/>
                              </w:rPr>
                              <w:t>10 900,00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Sidabravo pagrindinė mokykla</w:t>
                            </w:r>
                          </w:p>
                        </w:tc>
                        <w:tc>
                          <w:tcPr>
                            <w:tcW w:w="2268" w:type="dxa"/>
                            <w:tcBorders>
                              <w:top w:val="nil"/>
                              <w:left w:val="single" w:sz="4" w:space="0" w:color="auto"/>
                              <w:bottom w:val="single" w:sz="4" w:space="0" w:color="auto"/>
                              <w:right w:val="single" w:sz="4" w:space="0" w:color="auto"/>
                            </w:tcBorders>
                            <w:vAlign w:val="bottom"/>
                          </w:tcPr>
                          <w:p>
                            <w:pPr>
                              <w:jc w:val="center"/>
                              <w:rPr>
                                <w:color w:val="000000"/>
                                <w:szCs w:val="24"/>
                                <w:lang w:eastAsia="lt-LT"/>
                              </w:rPr>
                            </w:pPr>
                            <w:r>
                              <w:rPr>
                                <w:color w:val="000000"/>
                                <w:szCs w:val="24"/>
                                <w:lang w:eastAsia="lt-LT"/>
                              </w:rPr>
                              <w:t>20 000,00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Gražinos pagrindinė mokykla</w:t>
                            </w:r>
                          </w:p>
                        </w:tc>
                        <w:tc>
                          <w:tcPr>
                            <w:tcW w:w="2268" w:type="dxa"/>
                            <w:tcBorders>
                              <w:top w:val="nil"/>
                              <w:left w:val="single" w:sz="4" w:space="0" w:color="auto"/>
                              <w:bottom w:val="single" w:sz="4" w:space="0" w:color="auto"/>
                              <w:right w:val="single" w:sz="4" w:space="0" w:color="auto"/>
                            </w:tcBorders>
                            <w:vAlign w:val="bottom"/>
                          </w:tcPr>
                          <w:p>
                            <w:pPr>
                              <w:jc w:val="center"/>
                              <w:rPr>
                                <w:color w:val="000000"/>
                                <w:szCs w:val="24"/>
                                <w:lang w:eastAsia="lt-LT"/>
                              </w:rPr>
                            </w:pPr>
                            <w:r>
                              <w:rPr>
                                <w:color w:val="000000"/>
                                <w:szCs w:val="24"/>
                                <w:lang w:eastAsia="lt-LT"/>
                              </w:rPr>
                              <w:t>6 350,00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Vaižganto progimnazija</w:t>
                            </w:r>
                          </w:p>
                        </w:tc>
                        <w:tc>
                          <w:tcPr>
                            <w:tcW w:w="2268" w:type="dxa"/>
                            <w:tcBorders>
                              <w:top w:val="nil"/>
                              <w:left w:val="single" w:sz="4" w:space="0" w:color="auto"/>
                              <w:bottom w:val="single" w:sz="4" w:space="0" w:color="auto"/>
                              <w:right w:val="single" w:sz="4" w:space="0" w:color="auto"/>
                            </w:tcBorders>
                            <w:vAlign w:val="bottom"/>
                          </w:tcPr>
                          <w:p>
                            <w:pPr>
                              <w:ind w:left="2"/>
                              <w:jc w:val="center"/>
                              <w:rPr>
                                <w:color w:val="000000"/>
                                <w:szCs w:val="24"/>
                                <w:lang w:eastAsia="lt-LT"/>
                              </w:rPr>
                            </w:pPr>
                            <w:r>
                              <w:rPr>
                                <w:color w:val="000000"/>
                                <w:szCs w:val="24"/>
                                <w:lang w:eastAsia="lt-LT"/>
                              </w:rPr>
                              <w:t>48 557,00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Alksniupių pagrindinė mokykla</w:t>
                            </w:r>
                          </w:p>
                        </w:tc>
                        <w:tc>
                          <w:tcPr>
                            <w:tcW w:w="2268" w:type="dxa"/>
                            <w:tcBorders>
                              <w:top w:val="nil"/>
                              <w:left w:val="single" w:sz="4" w:space="0" w:color="auto"/>
                              <w:bottom w:val="single" w:sz="4" w:space="0" w:color="auto"/>
                              <w:right w:val="single" w:sz="4" w:space="0" w:color="auto"/>
                            </w:tcBorders>
                            <w:vAlign w:val="bottom"/>
                          </w:tcPr>
                          <w:p>
                            <w:pPr>
                              <w:ind w:left="2" w:hanging="2"/>
                              <w:jc w:val="center"/>
                              <w:rPr>
                                <w:color w:val="000000"/>
                                <w:szCs w:val="24"/>
                                <w:lang w:eastAsia="lt-LT"/>
                              </w:rPr>
                            </w:pPr>
                            <w:r>
                              <w:rPr>
                                <w:color w:val="000000"/>
                                <w:szCs w:val="24"/>
                                <w:lang w:eastAsia="lt-LT"/>
                              </w:rPr>
                              <w:t>540,00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meno mokykla</w:t>
                            </w:r>
                          </w:p>
                        </w:tc>
                        <w:tc>
                          <w:tcPr>
                            <w:tcW w:w="2268" w:type="dxa"/>
                            <w:tcBorders>
                              <w:top w:val="nil"/>
                              <w:left w:val="single" w:sz="4" w:space="0" w:color="auto"/>
                              <w:bottom w:val="single" w:sz="4" w:space="0" w:color="auto"/>
                              <w:right w:val="single" w:sz="4" w:space="0" w:color="auto"/>
                            </w:tcBorders>
                            <w:vAlign w:val="bottom"/>
                          </w:tcPr>
                          <w:p>
                            <w:pPr>
                              <w:ind w:left="286" w:firstLine="248"/>
                              <w:rPr>
                                <w:color w:val="000000"/>
                                <w:szCs w:val="24"/>
                                <w:lang w:eastAsia="lt-LT"/>
                              </w:rPr>
                            </w:pPr>
                            <w:r>
                              <w:rPr>
                                <w:color w:val="000000"/>
                                <w:szCs w:val="24"/>
                                <w:lang w:eastAsia="lt-LT"/>
                              </w:rPr>
                              <w:t>20 000,00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 xml:space="preserve">Radviliškio lopšelis-darželis  „Žvaigždutė“</w:t>
                            </w:r>
                          </w:p>
                        </w:tc>
                        <w:tc>
                          <w:tcPr>
                            <w:tcW w:w="2268" w:type="dxa"/>
                            <w:tcBorders>
                              <w:top w:val="nil"/>
                              <w:left w:val="single" w:sz="4" w:space="0" w:color="auto"/>
                              <w:bottom w:val="single" w:sz="4" w:space="0" w:color="auto"/>
                              <w:right w:val="single" w:sz="4" w:space="0" w:color="auto"/>
                            </w:tcBorders>
                            <w:vAlign w:val="bottom"/>
                          </w:tcPr>
                          <w:p>
                            <w:pPr>
                              <w:ind w:left="286" w:firstLine="248"/>
                              <w:rPr>
                                <w:color w:val="000000"/>
                                <w:szCs w:val="24"/>
                                <w:lang w:eastAsia="lt-LT"/>
                              </w:rPr>
                            </w:pPr>
                            <w:r>
                              <w:rPr>
                                <w:color w:val="000000"/>
                                <w:szCs w:val="24"/>
                                <w:lang w:eastAsia="lt-LT"/>
                              </w:rPr>
                              <w:t>40 000,00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Baisogalos mokykla-darželis</w:t>
                            </w:r>
                          </w:p>
                        </w:tc>
                        <w:tc>
                          <w:tcPr>
                            <w:tcW w:w="2268" w:type="dxa"/>
                            <w:tcBorders>
                              <w:top w:val="nil"/>
                              <w:left w:val="single" w:sz="4" w:space="0" w:color="auto"/>
                              <w:bottom w:val="single" w:sz="4" w:space="0" w:color="auto"/>
                              <w:right w:val="single" w:sz="4" w:space="0" w:color="auto"/>
                            </w:tcBorders>
                            <w:vAlign w:val="bottom"/>
                          </w:tcPr>
                          <w:p>
                            <w:pPr>
                              <w:ind w:left="286" w:firstLine="310"/>
                              <w:rPr>
                                <w:color w:val="000000"/>
                                <w:szCs w:val="24"/>
                                <w:lang w:eastAsia="lt-LT"/>
                              </w:rPr>
                            </w:pPr>
                            <w:r>
                              <w:rPr>
                                <w:color w:val="000000"/>
                                <w:szCs w:val="24"/>
                                <w:lang w:eastAsia="lt-LT"/>
                              </w:rPr>
                              <w:t>3 408,00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jc w:val="right"/>
                              <w:rPr>
                                <w:b/>
                                <w:bCs/>
                                <w:color w:val="000000"/>
                                <w:szCs w:val="24"/>
                                <w:lang w:eastAsia="lt-LT"/>
                              </w:rPr>
                            </w:pPr>
                            <w:r>
                              <w:rPr>
                                <w:b/>
                                <w:bCs/>
                                <w:color w:val="000000"/>
                                <w:szCs w:val="24"/>
                                <w:lang w:eastAsia="lt-LT"/>
                              </w:rPr>
                              <w:t>Iš viso</w:t>
                            </w:r>
                          </w:p>
                        </w:tc>
                        <w:tc>
                          <w:tcPr>
                            <w:tcW w:w="2268" w:type="dxa"/>
                            <w:tcBorders>
                              <w:top w:val="nil"/>
                              <w:left w:val="single" w:sz="4" w:space="0" w:color="auto"/>
                              <w:bottom w:val="single" w:sz="4" w:space="0" w:color="auto"/>
                              <w:right w:val="single" w:sz="4" w:space="0" w:color="auto"/>
                            </w:tcBorders>
                            <w:vAlign w:val="bottom"/>
                          </w:tcPr>
                          <w:p>
                            <w:pPr>
                              <w:ind w:left="286" w:firstLine="248"/>
                              <w:rPr>
                                <w:b/>
                                <w:bCs/>
                                <w:color w:val="000000"/>
                                <w:szCs w:val="24"/>
                                <w:lang w:eastAsia="lt-LT"/>
                              </w:rPr>
                            </w:pPr>
                            <w:r>
                              <w:rPr>
                                <w:b/>
                                <w:bCs/>
                                <w:color w:val="000000"/>
                                <w:szCs w:val="24"/>
                                <w:lang w:eastAsia="lt-LT"/>
                              </w:rPr>
                              <w:t>205 315,00</w:t>
                            </w:r>
                          </w:p>
                        </w:tc>
                      </w:tr>
                    </w:tbl>
                    <w:p>
                      <w:pPr>
                        <w:spacing w:line="254" w:lineRule="auto"/>
                        <w:ind w:firstLine="709"/>
                        <w:jc w:val="both"/>
                        <w:rPr>
                          <w:bCs/>
                          <w:szCs w:val="24"/>
                          <w:lang w:eastAsia="lt-LT"/>
                        </w:rPr>
                      </w:pPr>
                    </w:p>
                  </w:sdtContent>
                </w:sdt>
                <w:sdt>
                  <w:sdtPr>
                    <w:alias w:val="11.5 pp."/>
                    <w:tag w:val="part_bb69e9f5ff8b46fbaf7c480149c56b84"/>
                    <w:lock w:val="sdtLocked"/>
                    <w:richText/>
                  </w:sdtPr>
                  <w:sdtContent>
                    <w:p>
                      <w:pPr>
                        <w:spacing w:line="254" w:lineRule="auto"/>
                        <w:ind w:firstLine="709"/>
                        <w:jc w:val="both"/>
                        <w:rPr>
                          <w:bCs/>
                          <w:szCs w:val="24"/>
                          <w:lang w:eastAsia="lt-LT"/>
                        </w:rPr>
                      </w:pPr>
                      <w:sdt>
                        <w:sdtPr>
                          <w:alias w:val="Numeris"/>
                          <w:tag w:val="nr_bb69e9f5ff8b46fbaf7c480149c56b84"/>
                          <w:lock w:val="sdtLocked"/>
                          <w:richText/>
                        </w:sdtPr>
                        <w:sdtContent>
                          <w:r>
                            <w:rPr>
                              <w:bCs/>
                              <w:szCs w:val="24"/>
                              <w:lang w:eastAsia="lt-LT"/>
                            </w:rPr>
                            <w:t>11.5</w:t>
                          </w:r>
                        </w:sdtContent>
                      </w:sdt>
                      <w:r>
                        <w:rPr>
                          <w:bCs/>
                          <w:szCs w:val="24"/>
                          <w:lang w:eastAsia="lt-LT"/>
                        </w:rPr>
                        <w:t>. Tikslinami asignavimai pagal asignavimų valdytojus, programas, funkcinę ir ekonominę klasifikaciją, sąmatą:</w:t>
                      </w:r>
                    </w:p>
                    <w:p>
                      <w:pPr>
                        <w:spacing w:line="254" w:lineRule="auto"/>
                        <w:ind w:firstLine="709"/>
                        <w:jc w:val="both"/>
                        <w:rPr>
                          <w:bCs/>
                          <w:szCs w:val="24"/>
                          <w:lang w:eastAsia="lt-LT"/>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689"/>
                        <w:gridCol w:w="708"/>
                        <w:gridCol w:w="993"/>
                        <w:gridCol w:w="2835"/>
                        <w:gridCol w:w="1701"/>
                      </w:tblGrid>
                      <w:tr>
                        <w:trPr>
                          <w:tblHeader/>
                        </w:trPr>
                        <w:tc>
                          <w:tcPr>
                            <w:tcW w:w="567" w:type="dxa"/>
                            <w:tcBorders>
                              <w:bottom w:val="single" w:sz="4" w:space="0" w:color="auto"/>
                            </w:tcBorders>
                          </w:tcPr>
                          <w:p>
                            <w:pPr>
                              <w:spacing w:line="254" w:lineRule="auto"/>
                              <w:jc w:val="both"/>
                              <w:rPr>
                                <w:b/>
                                <w:bCs/>
                                <w:sz w:val="20"/>
                              </w:rPr>
                            </w:pPr>
                            <w:r>
                              <w:rPr>
                                <w:b/>
                                <w:bCs/>
                                <w:sz w:val="20"/>
                              </w:rPr>
                              <w:t>Eil. Nr.</w:t>
                            </w:r>
                          </w:p>
                        </w:tc>
                        <w:tc>
                          <w:tcPr>
                            <w:tcW w:w="2689" w:type="dxa"/>
                            <w:tcBorders>
                              <w:bottom w:val="single" w:sz="4" w:space="0" w:color="auto"/>
                            </w:tcBorders>
                          </w:tcPr>
                          <w:p>
                            <w:pPr>
                              <w:spacing w:line="254" w:lineRule="auto"/>
                              <w:jc w:val="both"/>
                              <w:rPr>
                                <w:b/>
                                <w:bCs/>
                                <w:sz w:val="20"/>
                              </w:rPr>
                            </w:pPr>
                            <w:r>
                              <w:rPr>
                                <w:b/>
                                <w:bCs/>
                                <w:sz w:val="20"/>
                              </w:rPr>
                              <w:t>Asignavimų valdytojas/ finansavimo šaltinis</w:t>
                            </w:r>
                          </w:p>
                        </w:tc>
                        <w:tc>
                          <w:tcPr>
                            <w:tcW w:w="708" w:type="dxa"/>
                            <w:tcBorders>
                              <w:bottom w:val="single" w:sz="4" w:space="0" w:color="auto"/>
                            </w:tcBorders>
                          </w:tcPr>
                          <w:p>
                            <w:pPr>
                              <w:spacing w:line="254" w:lineRule="auto"/>
                              <w:jc w:val="both"/>
                              <w:rPr>
                                <w:b/>
                                <w:bCs/>
                                <w:sz w:val="20"/>
                              </w:rPr>
                            </w:pPr>
                            <w:r>
                              <w:rPr>
                                <w:b/>
                                <w:bCs/>
                                <w:sz w:val="20"/>
                              </w:rPr>
                              <w:t>Programa</w:t>
                            </w:r>
                          </w:p>
                        </w:tc>
                        <w:tc>
                          <w:tcPr>
                            <w:tcW w:w="993" w:type="dxa"/>
                          </w:tcPr>
                          <w:p>
                            <w:pPr>
                              <w:spacing w:line="254" w:lineRule="auto"/>
                              <w:jc w:val="both"/>
                              <w:rPr>
                                <w:b/>
                                <w:bCs/>
                                <w:sz w:val="20"/>
                              </w:rPr>
                            </w:pPr>
                            <w:r>
                              <w:rPr>
                                <w:b/>
                                <w:bCs/>
                                <w:sz w:val="20"/>
                              </w:rPr>
                              <w:t>Fun-kcinė klasi-fikacija</w:t>
                            </w:r>
                          </w:p>
                        </w:tc>
                        <w:tc>
                          <w:tcPr>
                            <w:tcW w:w="2835" w:type="dxa"/>
                          </w:tcPr>
                          <w:p>
                            <w:pPr>
                              <w:spacing w:line="254" w:lineRule="auto"/>
                              <w:jc w:val="center"/>
                              <w:rPr>
                                <w:b/>
                                <w:bCs/>
                                <w:sz w:val="20"/>
                              </w:rPr>
                            </w:pPr>
                            <w:r>
                              <w:rPr>
                                <w:b/>
                                <w:bCs/>
                                <w:sz w:val="20"/>
                              </w:rPr>
                              <w:t>Ekonominė klasifikacija/sąmata</w:t>
                            </w:r>
                          </w:p>
                        </w:tc>
                        <w:tc>
                          <w:tcPr>
                            <w:tcW w:w="1701" w:type="dxa"/>
                          </w:tcPr>
                          <w:p>
                            <w:pPr>
                              <w:spacing w:line="254" w:lineRule="auto"/>
                              <w:ind w:right="315"/>
                              <w:jc w:val="both"/>
                              <w:rPr>
                                <w:b/>
                                <w:bCs/>
                                <w:sz w:val="20"/>
                              </w:rPr>
                            </w:pPr>
                            <w:r>
                              <w:rPr>
                                <w:b/>
                                <w:bCs/>
                                <w:sz w:val="20"/>
                              </w:rPr>
                              <w:t>Tikslinama suma (+,-)</w:t>
                            </w:r>
                          </w:p>
                        </w:tc>
                      </w:tr>
                      <w:tr>
                        <w:trPr>
                          <w:trHeight w:val="615"/>
                        </w:trPr>
                        <w:tc>
                          <w:tcPr>
                            <w:tcW w:w="567" w:type="dxa"/>
                            <w:tcBorders>
                              <w:top w:val="single" w:sz="4" w:space="0" w:color="auto"/>
                              <w:bottom w:val="single" w:sz="4" w:space="0" w:color="auto"/>
                            </w:tcBorders>
                          </w:tcPr>
                          <w:p>
                            <w:pPr>
                              <w:spacing w:line="254" w:lineRule="auto"/>
                              <w:jc w:val="both"/>
                              <w:rPr>
                                <w:sz w:val="22"/>
                                <w:szCs w:val="22"/>
                              </w:rPr>
                            </w:pPr>
                            <w:r>
                              <w:rPr>
                                <w:sz w:val="22"/>
                                <w:szCs w:val="22"/>
                              </w:rPr>
                              <w:t>1.</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rajono savivaldybės administracijos Finansų skyrius (SB)</w:t>
                            </w:r>
                          </w:p>
                          <w:p>
                            <w:pPr>
                              <w:spacing w:line="254" w:lineRule="auto"/>
                              <w:rPr>
                                <w:sz w:val="22"/>
                                <w:szCs w:val="22"/>
                              </w:rPr>
                            </w:pPr>
                          </w:p>
                        </w:tc>
                        <w:tc>
                          <w:tcPr>
                            <w:tcW w:w="708" w:type="dxa"/>
                          </w:tcPr>
                          <w:p>
                            <w:pPr>
                              <w:spacing w:line="254" w:lineRule="auto"/>
                              <w:jc w:val="both"/>
                              <w:rPr>
                                <w:sz w:val="22"/>
                                <w:szCs w:val="22"/>
                              </w:rPr>
                            </w:pPr>
                            <w:r>
                              <w:rPr>
                                <w:sz w:val="22"/>
                                <w:szCs w:val="22"/>
                              </w:rPr>
                              <w:t>01</w:t>
                            </w:r>
                          </w:p>
                        </w:tc>
                        <w:tc>
                          <w:tcPr>
                            <w:tcW w:w="993" w:type="dxa"/>
                          </w:tcPr>
                          <w:p>
                            <w:pPr>
                              <w:spacing w:line="254" w:lineRule="auto"/>
                              <w:jc w:val="both"/>
                              <w:rPr>
                                <w:sz w:val="22"/>
                                <w:szCs w:val="22"/>
                              </w:rPr>
                            </w:pPr>
                            <w:r>
                              <w:rPr>
                                <w:sz w:val="22"/>
                                <w:szCs w:val="22"/>
                              </w:rPr>
                              <w:t>01</w:t>
                            </w:r>
                          </w:p>
                        </w:tc>
                        <w:tc>
                          <w:tcPr>
                            <w:tcW w:w="2835" w:type="dxa"/>
                          </w:tcPr>
                          <w:p>
                            <w:pPr>
                              <w:spacing w:line="254" w:lineRule="auto"/>
                              <w:rPr>
                                <w:sz w:val="22"/>
                                <w:szCs w:val="22"/>
                              </w:rPr>
                            </w:pPr>
                            <w:r>
                              <w:rPr>
                                <w:sz w:val="22"/>
                                <w:szCs w:val="22"/>
                              </w:rPr>
                              <w:t xml:space="preserve">Iždo įsipareigojimų dengimo, palūkanų mokėjimo ir banko paslaugų išlaidos </w:t>
                            </w:r>
                          </w:p>
                        </w:tc>
                        <w:tc>
                          <w:tcPr>
                            <w:tcW w:w="1701" w:type="dxa"/>
                          </w:tcPr>
                          <w:p>
                            <w:pPr>
                              <w:spacing w:line="254" w:lineRule="auto"/>
                              <w:ind w:right="315"/>
                              <w:jc w:val="center"/>
                              <w:rPr>
                                <w:sz w:val="22"/>
                                <w:szCs w:val="22"/>
                              </w:rPr>
                            </w:pPr>
                            <w:r>
                              <w:rPr>
                                <w:sz w:val="22"/>
                                <w:szCs w:val="22"/>
                              </w:rPr>
                              <w:t>-3 000,00</w:t>
                            </w:r>
                          </w:p>
                        </w:tc>
                      </w:tr>
                      <w:tr>
                        <w:trPr>
                          <w:trHeight w:val="615"/>
                        </w:trPr>
                        <w:tc>
                          <w:tcPr>
                            <w:tcW w:w="567" w:type="dxa"/>
                            <w:tcBorders>
                              <w:top w:val="single" w:sz="4" w:space="0" w:color="auto"/>
                              <w:bottom w:val="single" w:sz="4" w:space="0" w:color="auto"/>
                            </w:tcBorders>
                          </w:tcPr>
                          <w:p>
                            <w:pPr>
                              <w:spacing w:line="254" w:lineRule="auto"/>
                              <w:jc w:val="both"/>
                              <w:rPr>
                                <w:sz w:val="22"/>
                                <w:szCs w:val="22"/>
                              </w:rPr>
                            </w:pPr>
                            <w:r>
                              <w:rPr>
                                <w:sz w:val="22"/>
                                <w:szCs w:val="22"/>
                              </w:rPr>
                              <w:t>2.</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rajono savivaldybės administracija (SB)</w:t>
                            </w:r>
                          </w:p>
                        </w:tc>
                        <w:tc>
                          <w:tcPr>
                            <w:tcW w:w="708" w:type="dxa"/>
                          </w:tcPr>
                          <w:p>
                            <w:pPr>
                              <w:spacing w:line="254" w:lineRule="auto"/>
                              <w:jc w:val="both"/>
                              <w:rPr>
                                <w:sz w:val="22"/>
                                <w:szCs w:val="22"/>
                              </w:rPr>
                            </w:pPr>
                            <w:r>
                              <w:rPr>
                                <w:sz w:val="22"/>
                                <w:szCs w:val="22"/>
                              </w:rPr>
                              <w:t>06</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 xml:space="preserve">Lietuvos šaulių sąjungos Gen. P. Plechavičiaus šaulių 6-osios rinktinės  601 kuopos Šeduvos būriui (kompiuterių įsigijimui)</w:t>
                            </w:r>
                          </w:p>
                        </w:tc>
                        <w:tc>
                          <w:tcPr>
                            <w:tcW w:w="1701" w:type="dxa"/>
                          </w:tcPr>
                          <w:p>
                            <w:pPr>
                              <w:spacing w:line="254" w:lineRule="auto"/>
                              <w:ind w:right="315"/>
                              <w:jc w:val="center"/>
                              <w:rPr>
                                <w:sz w:val="22"/>
                                <w:szCs w:val="22"/>
                              </w:rPr>
                            </w:pPr>
                            <w:r>
                              <w:rPr>
                                <w:sz w:val="22"/>
                                <w:szCs w:val="22"/>
                              </w:rPr>
                              <w:t>3 000,00</w:t>
                            </w:r>
                          </w:p>
                        </w:tc>
                      </w:tr>
                    </w:tbl>
                    <w:p>
                      <w:pPr>
                        <w:spacing w:line="254" w:lineRule="auto"/>
                        <w:jc w:val="both"/>
                        <w:rPr>
                          <w:szCs w:val="24"/>
                          <w:lang w:eastAsia="lt-LT"/>
                        </w:rPr>
                      </w:pPr>
                    </w:p>
                  </w:sdtContent>
                </w:sdt>
              </w:sdtContent>
            </w:sdt>
            <w:sdt>
              <w:sdtPr>
                <w:alias w:val="12 p."/>
                <w:tag w:val="part_653f13f5fc96418cb6d2268b750b619a"/>
                <w:lock w:val="sdtLocked"/>
                <w:richText/>
              </w:sdtPr>
              <w:sdtContent>
                <w:p>
                  <w:pPr>
                    <w:tabs>
                      <w:tab w:val="left" w:pos="0"/>
                    </w:tabs>
                    <w:spacing w:line="254" w:lineRule="auto"/>
                    <w:ind w:firstLine="709"/>
                    <w:jc w:val="both"/>
                    <w:rPr>
                      <w:b/>
                      <w:szCs w:val="24"/>
                      <w:shd w:val="clear" w:color="auto" w:fill="FFFFFF"/>
                    </w:rPr>
                  </w:pPr>
                  <w:sdt>
                    <w:sdtPr>
                      <w:alias w:val="Numeris"/>
                      <w:tag w:val="nr_653f13f5fc96418cb6d2268b750b619a"/>
                      <w:lock w:val="sdtLocked"/>
                      <w:richText/>
                    </w:sdtPr>
                    <w:sdtContent>
                      <w:r>
                        <w:rPr>
                          <w:b/>
                          <w:szCs w:val="24"/>
                          <w:shd w:val="clear" w:color="auto" w:fill="FFFFFF"/>
                        </w:rPr>
                        <w:t>12</w:t>
                      </w:r>
                    </w:sdtContent>
                  </w:sdt>
                  <w:r>
                    <w:rPr>
                      <w:b/>
                      <w:szCs w:val="24"/>
                      <w:shd w:val="clear" w:color="auto" w:fill="FFFFFF"/>
                    </w:rPr>
                    <w:t>. Pridedami dokumentai.</w:t>
                  </w:r>
                </w:p>
                <w:p>
                  <w:pPr>
                    <w:rPr>
                      <w:sz w:val="14"/>
                      <w:szCs w:val="14"/>
                    </w:rPr>
                  </w:pPr>
                </w:p>
              </w:sdtContent>
            </w:sdt>
          </w:sdtContent>
        </w:sdt>
        <w:sdt>
          <w:sdtPr>
            <w:alias w:val="skirsnis"/>
            <w:tag w:val="part_d6e10b7e00fe474d930bb1f074f2939d"/>
            <w:lock w:val="sdtLocked"/>
            <w:richText/>
          </w:sdtPr>
          <w:sdtContent>
            <w:p>
              <w:pPr>
                <w:tabs>
                  <w:tab w:val="left" w:pos="0"/>
                </w:tabs>
                <w:spacing w:line="254" w:lineRule="auto"/>
                <w:ind w:firstLine="771"/>
                <w:jc w:val="both"/>
                <w:rPr>
                  <w:b/>
                  <w:szCs w:val="24"/>
                  <w:shd w:val="clear" w:color="auto" w:fill="FFFFFF"/>
                </w:rPr>
              </w:pPr>
              <w:sdt>
                <w:sdtPr>
                  <w:alias w:val="Pavadinimas"/>
                  <w:tag w:val="title_d6e10b7e00fe474d930bb1f074f2939d"/>
                  <w:lock w:val="sdtLocked"/>
                  <w:richText/>
                </w:sdtPr>
                <w:sdtContent>
                  <w:r>
                    <w:rPr>
                      <w:b/>
                      <w:szCs w:val="24"/>
                      <w:shd w:val="clear" w:color="auto" w:fill="FFFFFF"/>
                    </w:rPr>
                    <w:t xml:space="preserve">Lyginamasis variantas. </w:t>
                  </w:r>
                </w:sdtContent>
              </w:sdt>
            </w:p>
            <w:p>
              <w:pPr>
                <w:rPr>
                  <w:sz w:val="14"/>
                  <w:szCs w:val="14"/>
                </w:rPr>
              </w:pPr>
            </w:p>
            <w:p>
              <w:pPr>
                <w:tabs>
                  <w:tab w:val="left" w:pos="0"/>
                </w:tabs>
                <w:spacing w:line="254" w:lineRule="auto"/>
                <w:ind w:firstLine="709"/>
                <w:jc w:val="both"/>
                <w:rPr>
                  <w:b/>
                  <w:szCs w:val="24"/>
                  <w:shd w:val="clear" w:color="auto" w:fill="FFFFFF"/>
                </w:rPr>
              </w:pPr>
              <w:r>
                <w:rPr>
                  <w:bCs/>
                  <w:szCs w:val="24"/>
                  <w:shd w:val="clear" w:color="auto" w:fill="FFFFFF"/>
                </w:rPr>
                <w:t>Pajamų pokytis</w:t>
              </w:r>
              <w:r>
                <w:rPr>
                  <w:b/>
                  <w:szCs w:val="24"/>
                  <w:shd w:val="clear" w:color="auto" w:fill="FFFFFF"/>
                </w:rPr>
                <w:t>:</w:t>
              </w:r>
            </w:p>
            <w:p>
              <w:pPr>
                <w:rPr>
                  <w:sz w:val="14"/>
                  <w:szCs w:val="14"/>
                </w:rPr>
              </w:pPr>
            </w:p>
            <w:tbl>
              <w:tblPr>
                <w:tblW w:w="9776" w:type="dxa"/>
                <w:tblLayout w:type="fixed"/>
                <w:tblLook w:val="04A0" w:firstRow="1" w:lastRow="0" w:firstColumn="1" w:lastColumn="0" w:noHBand="0" w:noVBand="1"/>
              </w:tblPr>
              <w:tblGrid>
                <w:gridCol w:w="704"/>
                <w:gridCol w:w="4330"/>
                <w:gridCol w:w="1481"/>
                <w:gridCol w:w="1480"/>
                <w:gridCol w:w="1781"/>
              </w:tblGrid>
              <w:tr>
                <w:trPr>
                  <w:cantSplit/>
                  <w:trHeight w:val="928"/>
                  <w:tblHeader/>
                </w:trP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Eil. Nr.</w:t>
                    </w:r>
                  </w:p>
                </w:tc>
                <w:tc>
                  <w:tcPr>
                    <w:tcW w:w="4330"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Pajamos</w:t>
                    </w:r>
                  </w:p>
                </w:tc>
                <w:tc>
                  <w:tcPr>
                    <w:tcW w:w="1481"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Buvo patvirtinta </w:t>
                    </w:r>
                  </w:p>
                </w:tc>
                <w:tc>
                  <w:tcPr>
                    <w:tcW w:w="1480" w:type="dxa"/>
                    <w:tcBorders>
                      <w:top w:val="single" w:sz="4" w:space="0" w:color="auto"/>
                      <w:left w:val="nil"/>
                      <w:bottom w:val="single" w:sz="4" w:space="0" w:color="auto"/>
                      <w:right w:val="nil"/>
                    </w:tcBorders>
                    <w:vAlign w:val="center"/>
                    <w:hideMark/>
                  </w:tcPr>
                  <w:p>
                    <w:pPr>
                      <w:jc w:val="center"/>
                      <w:rPr>
                        <w:b/>
                        <w:bCs/>
                        <w:color w:val="000000"/>
                        <w:sz w:val="18"/>
                        <w:szCs w:val="18"/>
                      </w:rPr>
                    </w:pPr>
                    <w:r>
                      <w:rPr>
                        <w:b/>
                        <w:bCs/>
                        <w:color w:val="000000"/>
                        <w:sz w:val="18"/>
                        <w:szCs w:val="18"/>
                      </w:rPr>
                      <w:t xml:space="preserve">(+) Didinama     (-) Mažinama    </w:t>
                    </w:r>
                  </w:p>
                </w:tc>
                <w:tc>
                  <w:tcPr>
                    <w:tcW w:w="1781"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Tvirtinama</w:t>
                    </w:r>
                  </w:p>
                  <w:p>
                    <w:pPr>
                      <w:jc w:val="center"/>
                      <w:rPr>
                        <w:b/>
                        <w:bCs/>
                        <w:color w:val="000000"/>
                        <w:sz w:val="18"/>
                        <w:szCs w:val="18"/>
                      </w:rPr>
                    </w:pPr>
                    <w:r>
                      <w:rPr>
                        <w:b/>
                        <w:bCs/>
                        <w:color w:val="000000"/>
                        <w:sz w:val="18"/>
                        <w:szCs w:val="18"/>
                      </w:rPr>
                      <w:t>naujai</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50</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Bendruomeninei veiklai stiprinti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33 634,00 €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33 634,00 €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58</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Valstybės biudžeto lėšos, skirtos išlaidoms, susijusioms su valstybinių ir savivaldybių mokyklų mokytojų, dirbančių pagal ikimokyklinio, priešmokyklinio, bendrojo ugdymo ir profesinio mokymo programas, personalo optimizavimu ir atnaujinimu, apmokėti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9 896,00 €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9 896,00 €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59</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 xml:space="preserve">Valstybės biudžeto lėšos, skirtos  ūkio subjektų žalai, patirtai dėl stichinio meteorologinio reiškinio iš dalies atlyginti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6 789,00 €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6 789,00 €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64</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Mokesčiai už valstybinius gamtos išteklius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80 000,00 €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40 000,00 €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120 000,00 €</w:t>
                    </w:r>
                  </w:p>
                </w:tc>
              </w:tr>
              <w:tr>
                <w:trPr>
                  <w:trHeight w:val="492"/>
                </w:trPr>
                <w:tc>
                  <w:tcPr>
                    <w:tcW w:w="704" w:type="dxa"/>
                    <w:tcBorders>
                      <w:top w:val="single" w:sz="4" w:space="0" w:color="auto"/>
                      <w:left w:val="single" w:sz="4" w:space="0" w:color="auto"/>
                      <w:bottom w:val="single" w:sz="4" w:space="0" w:color="auto"/>
                    </w:tcBorders>
                  </w:tcPr>
                  <w:p>
                    <w:pPr>
                      <w:rPr>
                        <w:sz w:val="20"/>
                      </w:rPr>
                    </w:pPr>
                  </w:p>
                </w:tc>
                <w:tc>
                  <w:tcPr>
                    <w:tcW w:w="4330" w:type="dxa"/>
                    <w:tcBorders>
                      <w:top w:val="single" w:sz="4" w:space="0" w:color="auto"/>
                      <w:bottom w:val="single" w:sz="4" w:space="0" w:color="auto"/>
                      <w:right w:val="single" w:sz="4" w:space="0" w:color="auto"/>
                    </w:tcBorders>
                  </w:tcPr>
                  <w:p>
                    <w:pPr>
                      <w:jc w:val="right"/>
                      <w:rPr>
                        <w:sz w:val="22"/>
                        <w:szCs w:val="22"/>
                      </w:rPr>
                    </w:pPr>
                  </w:p>
                  <w:p>
                    <w:pPr>
                      <w:jc w:val="right"/>
                      <w:rPr>
                        <w:sz w:val="22"/>
                        <w:szCs w:val="22"/>
                      </w:rPr>
                    </w:pPr>
                    <w:r>
                      <w:rPr>
                        <w:sz w:val="22"/>
                        <w:szCs w:val="22"/>
                      </w:rPr>
                      <w:t>Iš viso</w:t>
                    </w:r>
                  </w:p>
                </w:tc>
                <w:tc>
                  <w:tcPr>
                    <w:tcW w:w="1481" w:type="dxa"/>
                    <w:tcBorders>
                      <w:top w:val="single" w:sz="4" w:space="0" w:color="auto"/>
                      <w:left w:val="nil"/>
                      <w:bottom w:val="single" w:sz="4" w:space="0" w:color="auto"/>
                      <w:right w:val="single" w:sz="4" w:space="0" w:color="auto"/>
                    </w:tcBorders>
                    <w:noWrap/>
                  </w:tcPr>
                  <w:p>
                    <w:pPr>
                      <w:jc w:val="right"/>
                      <w:rPr>
                        <w:sz w:val="18"/>
                        <w:szCs w:val="18"/>
                      </w:rPr>
                    </w:pPr>
                  </w:p>
                  <w:p>
                    <w:pPr>
                      <w:jc w:val="right"/>
                      <w:rPr>
                        <w:sz w:val="18"/>
                        <w:szCs w:val="18"/>
                      </w:rPr>
                    </w:pPr>
                  </w:p>
                </w:tc>
                <w:tc>
                  <w:tcPr>
                    <w:tcW w:w="1480" w:type="dxa"/>
                    <w:tcBorders>
                      <w:top w:val="single" w:sz="4" w:space="0" w:color="auto"/>
                      <w:left w:val="nil"/>
                      <w:bottom w:val="single" w:sz="4" w:space="0" w:color="auto"/>
                      <w:right w:val="nil"/>
                    </w:tcBorders>
                    <w:noWrap/>
                  </w:tcPr>
                  <w:p>
                    <w:pPr>
                      <w:rPr>
                        <w:sz w:val="18"/>
                        <w:szCs w:val="18"/>
                      </w:rPr>
                    </w:pPr>
                  </w:p>
                  <w:p>
                    <w:pPr>
                      <w:jc w:val="center"/>
                      <w:rPr>
                        <w:sz w:val="18"/>
                        <w:szCs w:val="18"/>
                      </w:rPr>
                    </w:pPr>
                    <w:r>
                      <w:rPr>
                        <w:sz w:val="18"/>
                        <w:szCs w:val="18"/>
                      </w:rPr>
                      <w:t>90 319,00 €</w:t>
                    </w:r>
                  </w:p>
                </w:tc>
                <w:tc>
                  <w:tcPr>
                    <w:tcW w:w="1781" w:type="dxa"/>
                    <w:tcBorders>
                      <w:top w:val="single" w:sz="4" w:space="0" w:color="auto"/>
                      <w:left w:val="single" w:sz="4" w:space="0" w:color="auto"/>
                      <w:bottom w:val="single" w:sz="4" w:space="0" w:color="auto"/>
                      <w:right w:val="single" w:sz="4" w:space="0" w:color="auto"/>
                    </w:tcBorders>
                    <w:noWrap/>
                  </w:tcPr>
                  <w:p>
                    <w:pPr>
                      <w:ind w:firstLine="96"/>
                      <w:jc w:val="right"/>
                      <w:rPr>
                        <w:sz w:val="18"/>
                        <w:szCs w:val="18"/>
                      </w:rPr>
                    </w:pPr>
                  </w:p>
                  <w:p>
                    <w:pPr>
                      <w:jc w:val="right"/>
                      <w:rPr>
                        <w:sz w:val="18"/>
                        <w:szCs w:val="18"/>
                      </w:rPr>
                    </w:pPr>
                  </w:p>
                </w:tc>
              </w:tr>
            </w:tbl>
            <w:p>
              <w:pPr>
                <w:spacing w:line="254" w:lineRule="auto"/>
                <w:ind w:firstLine="709"/>
                <w:jc w:val="both"/>
                <w:rPr>
                  <w:szCs w:val="24"/>
                  <w:lang w:eastAsia="lt-LT"/>
                </w:rPr>
              </w:pPr>
            </w:p>
            <w:p>
              <w:pPr>
                <w:spacing w:line="254" w:lineRule="auto"/>
                <w:ind w:firstLine="709"/>
                <w:jc w:val="both"/>
                <w:rPr>
                  <w:szCs w:val="24"/>
                  <w:lang w:eastAsia="lt-LT"/>
                </w:rPr>
              </w:pPr>
            </w:p>
            <w:p>
              <w:pPr>
                <w:spacing w:line="254" w:lineRule="auto"/>
                <w:ind w:firstLine="709"/>
                <w:jc w:val="both"/>
                <w:rPr>
                  <w:szCs w:val="24"/>
                  <w:lang w:eastAsia="lt-LT"/>
                </w:rPr>
              </w:pPr>
            </w:p>
            <w:p>
              <w:pPr>
                <w:tabs>
                  <w:tab w:val="left" w:pos="0"/>
                </w:tabs>
                <w:spacing w:line="254" w:lineRule="auto"/>
                <w:ind w:firstLine="709"/>
                <w:jc w:val="both"/>
                <w:rPr>
                  <w:szCs w:val="24"/>
                  <w:shd w:val="clear" w:color="auto" w:fill="FFFFFF"/>
                </w:rPr>
              </w:pPr>
              <w:r>
                <w:rPr>
                  <w:szCs w:val="24"/>
                  <w:shd w:val="clear" w:color="auto" w:fill="FFFFFF"/>
                </w:rPr>
                <w:t>Asignavimų pokytis:</w:t>
              </w:r>
            </w:p>
            <w:p>
              <w:pPr>
                <w:rPr>
                  <w:sz w:val="14"/>
                  <w:szCs w:val="14"/>
                </w:rPr>
              </w:pPr>
            </w:p>
            <w:tbl>
              <w:tblPr>
                <w:tblW w:w="9776" w:type="dxa"/>
                <w:tblLayout w:type="fixed"/>
                <w:tblLook w:val="04A0" w:firstRow="1" w:lastRow="0" w:firstColumn="1" w:lastColumn="0" w:noHBand="0" w:noVBand="1"/>
              </w:tblPr>
              <w:tblGrid>
                <w:gridCol w:w="421"/>
                <w:gridCol w:w="2381"/>
                <w:gridCol w:w="2438"/>
                <w:gridCol w:w="567"/>
                <w:gridCol w:w="1418"/>
                <w:gridCol w:w="1417"/>
                <w:gridCol w:w="1134"/>
              </w:tblGrid>
              <w:tr>
                <w:trPr>
                  <w:cantSplit/>
                  <w:trHeight w:val="1512"/>
                  <w:tblHeader/>
                </w:trPr>
                <w:tc>
                  <w:tcPr>
                    <w:tcW w:w="421" w:type="dxa"/>
                    <w:tcBorders>
                      <w:top w:val="single" w:sz="4" w:space="0" w:color="auto"/>
                      <w:left w:val="single" w:sz="4" w:space="0" w:color="auto"/>
                      <w:bottom w:val="single" w:sz="4" w:space="0" w:color="auto"/>
                      <w:right w:val="single" w:sz="4" w:space="0" w:color="auto"/>
                    </w:tcBorders>
                    <w:textDirection w:val="btLr"/>
                    <w:vAlign w:val="center"/>
                    <w:hideMark/>
                  </w:tcPr>
                  <w:p>
                    <w:pPr>
                      <w:ind w:left="113" w:right="113"/>
                      <w:jc w:val="center"/>
                      <w:rPr>
                        <w:b/>
                        <w:bCs/>
                        <w:color w:val="000000"/>
                        <w:sz w:val="18"/>
                        <w:szCs w:val="18"/>
                        <w:lang w:eastAsia="lt-LT"/>
                      </w:rPr>
                    </w:pPr>
                    <w:r>
                      <w:rPr>
                        <w:b/>
                        <w:bCs/>
                        <w:color w:val="000000"/>
                        <w:sz w:val="18"/>
                        <w:szCs w:val="18"/>
                      </w:rPr>
                      <w:t>Programos Nr.</w:t>
                    </w:r>
                  </w:p>
                </w:tc>
                <w:tc>
                  <w:tcPr>
                    <w:tcW w:w="2381"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Programos pavadinimas</w:t>
                    </w:r>
                  </w:p>
                </w:tc>
                <w:tc>
                  <w:tcPr>
                    <w:tcW w:w="2438"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textDirection w:val="btLr"/>
                    <w:vAlign w:val="center"/>
                    <w:hideMark/>
                  </w:tcPr>
                  <w:p>
                    <w:pPr>
                      <w:ind w:left="113" w:right="113"/>
                      <w:jc w:val="center"/>
                      <w:rPr>
                        <w:b/>
                        <w:bCs/>
                        <w:color w:val="000000"/>
                        <w:sz w:val="18"/>
                        <w:szCs w:val="18"/>
                      </w:rPr>
                    </w:pPr>
                    <w:r>
                      <w:rPr>
                        <w:b/>
                        <w:bCs/>
                        <w:color w:val="000000"/>
                        <w:sz w:val="18"/>
                        <w:szCs w:val="18"/>
                      </w:rPr>
                      <w:t>Finansavimo šaltinis</w:t>
                    </w:r>
                  </w:p>
                </w:tc>
                <w:tc>
                  <w:tcPr>
                    <w:tcW w:w="1418"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Buvo patvirtinti </w:t>
                    </w:r>
                  </w:p>
                </w:tc>
                <w:tc>
                  <w:tcPr>
                    <w:tcW w:w="1417" w:type="dxa"/>
                    <w:tcBorders>
                      <w:top w:val="single" w:sz="4" w:space="0" w:color="auto"/>
                      <w:left w:val="nil"/>
                      <w:bottom w:val="single" w:sz="4" w:space="0" w:color="auto"/>
                      <w:right w:val="nil"/>
                    </w:tcBorders>
                    <w:vAlign w:val="center"/>
                    <w:hideMark/>
                  </w:tcPr>
                  <w:p>
                    <w:pPr>
                      <w:jc w:val="center"/>
                      <w:rPr>
                        <w:b/>
                        <w:bCs/>
                        <w:color w:val="000000"/>
                        <w:sz w:val="18"/>
                        <w:szCs w:val="18"/>
                      </w:rPr>
                    </w:pPr>
                    <w:r>
                      <w:rPr>
                        <w:b/>
                        <w:bCs/>
                        <w:color w:val="000000"/>
                        <w:sz w:val="18"/>
                        <w:szCs w:val="18"/>
                      </w:rPr>
                      <w:t xml:space="preserve">Nauji  asignavimai</w:t>
                    </w:r>
                  </w:p>
                  <w:p>
                    <w:pPr>
                      <w:jc w:val="center"/>
                      <w:rPr>
                        <w:b/>
                        <w:bCs/>
                        <w:color w:val="000000"/>
                        <w:sz w:val="18"/>
                        <w:szCs w:val="18"/>
                      </w:rPr>
                    </w:pPr>
                  </w:p>
                </w:tc>
                <w:tc>
                  <w:tcPr>
                    <w:tcW w:w="1134"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 Didinama     (-) Mažinama</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r. savivaldybės administracija </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624 189,00 €</w:t>
                    </w:r>
                  </w:p>
                </w:tc>
                <w:tc>
                  <w:tcPr>
                    <w:tcW w:w="1417" w:type="dxa"/>
                    <w:tcBorders>
                      <w:top w:val="nil"/>
                      <w:left w:val="nil"/>
                      <w:bottom w:val="single" w:sz="4" w:space="0" w:color="auto"/>
                      <w:right w:val="nil"/>
                    </w:tcBorders>
                    <w:noWrap/>
                  </w:tcPr>
                  <w:p>
                    <w:pPr>
                      <w:rPr>
                        <w:sz w:val="18"/>
                        <w:szCs w:val="18"/>
                      </w:rPr>
                    </w:pPr>
                    <w:r>
                      <w:rPr>
                        <w:sz w:val="18"/>
                        <w:szCs w:val="18"/>
                      </w:rPr>
                      <w:t>630 978,00 €</w:t>
                    </w:r>
                  </w:p>
                </w:tc>
                <w:tc>
                  <w:tcPr>
                    <w:tcW w:w="1134"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6 789,00 €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r. savivaldybės administracijos Finansų skyrius </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426 869,70 €</w:t>
                    </w:r>
                  </w:p>
                </w:tc>
                <w:tc>
                  <w:tcPr>
                    <w:tcW w:w="1417" w:type="dxa"/>
                    <w:tcBorders>
                      <w:top w:val="nil"/>
                      <w:left w:val="nil"/>
                      <w:bottom w:val="single" w:sz="4" w:space="0" w:color="auto"/>
                      <w:right w:val="nil"/>
                    </w:tcBorders>
                    <w:noWrap/>
                  </w:tcPr>
                  <w:p>
                    <w:pPr>
                      <w:jc w:val="center"/>
                      <w:rPr>
                        <w:sz w:val="18"/>
                        <w:szCs w:val="18"/>
                      </w:rPr>
                    </w:pPr>
                    <w:r>
                      <w:rPr>
                        <w:sz w:val="18"/>
                        <w:szCs w:val="18"/>
                      </w:rPr>
                      <w:t>423 869,70,00 €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-3 000,00 €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savivaldybės administracija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340 411,00 €</w:t>
                    </w:r>
                  </w:p>
                </w:tc>
                <w:tc>
                  <w:tcPr>
                    <w:tcW w:w="1417" w:type="dxa"/>
                    <w:tcBorders>
                      <w:top w:val="nil"/>
                      <w:left w:val="nil"/>
                      <w:bottom w:val="single" w:sz="4" w:space="0" w:color="auto"/>
                      <w:right w:val="nil"/>
                    </w:tcBorders>
                    <w:noWrap/>
                  </w:tcPr>
                  <w:p>
                    <w:pPr>
                      <w:jc w:val="center"/>
                      <w:rPr>
                        <w:sz w:val="18"/>
                        <w:szCs w:val="18"/>
                      </w:rPr>
                    </w:pPr>
                    <w:r>
                      <w:rPr>
                        <w:sz w:val="18"/>
                        <w:szCs w:val="18"/>
                      </w:rPr>
                      <w:t>135 096,00 €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-205315,00€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2 702 631,00 €</w:t>
                    </w:r>
                  </w:p>
                </w:tc>
                <w:tc>
                  <w:tcPr>
                    <w:tcW w:w="1417" w:type="dxa"/>
                    <w:tcBorders>
                      <w:top w:val="nil"/>
                      <w:left w:val="nil"/>
                      <w:bottom w:val="single" w:sz="4" w:space="0" w:color="auto"/>
                      <w:right w:val="nil"/>
                    </w:tcBorders>
                    <w:noWrap/>
                  </w:tcPr>
                  <w:p>
                    <w:pPr>
                      <w:jc w:val="right"/>
                      <w:rPr>
                        <w:sz w:val="18"/>
                        <w:szCs w:val="18"/>
                      </w:rPr>
                    </w:pPr>
                    <w:r>
                      <w:rPr>
                        <w:sz w:val="18"/>
                        <w:szCs w:val="18"/>
                      </w:rPr>
                      <w:t>2 708 981,00 €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6 350,00 €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2 031 812,00 €</w:t>
                    </w:r>
                  </w:p>
                </w:tc>
                <w:tc>
                  <w:tcPr>
                    <w:tcW w:w="1417" w:type="dxa"/>
                    <w:tcBorders>
                      <w:top w:val="nil"/>
                      <w:left w:val="nil"/>
                      <w:bottom w:val="single" w:sz="4" w:space="0" w:color="auto"/>
                      <w:right w:val="nil"/>
                    </w:tcBorders>
                    <w:noWrap/>
                  </w:tcPr>
                  <w:p>
                    <w:pPr>
                      <w:jc w:val="right"/>
                      <w:rPr>
                        <w:sz w:val="18"/>
                        <w:szCs w:val="18"/>
                      </w:rPr>
                    </w:pPr>
                    <w:r>
                      <w:rPr>
                        <w:sz w:val="18"/>
                        <w:szCs w:val="18"/>
                      </w:rPr>
                      <w:t>2 043 082,00 €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11 270,00 €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Alksniupių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610 921,00 €</w:t>
                    </w:r>
                  </w:p>
                </w:tc>
                <w:tc>
                  <w:tcPr>
                    <w:tcW w:w="1417" w:type="dxa"/>
                    <w:tcBorders>
                      <w:top w:val="nil"/>
                      <w:left w:val="nil"/>
                      <w:bottom w:val="single" w:sz="4" w:space="0" w:color="auto"/>
                      <w:right w:val="nil"/>
                    </w:tcBorders>
                    <w:noWrap/>
                  </w:tcPr>
                  <w:p>
                    <w:pPr>
                      <w:jc w:val="right"/>
                      <w:rPr>
                        <w:sz w:val="18"/>
                        <w:szCs w:val="18"/>
                      </w:rPr>
                    </w:pPr>
                    <w:r>
                      <w:rPr>
                        <w:sz w:val="18"/>
                        <w:szCs w:val="18"/>
                      </w:rPr>
                      <w:t>611 461,00 €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540,00 €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Baisogalos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1 479 878,00 €</w:t>
                    </w:r>
                  </w:p>
                </w:tc>
                <w:tc>
                  <w:tcPr>
                    <w:tcW w:w="1417" w:type="dxa"/>
                    <w:tcBorders>
                      <w:top w:val="nil"/>
                      <w:left w:val="nil"/>
                      <w:bottom w:val="single" w:sz="4" w:space="0" w:color="auto"/>
                      <w:right w:val="nil"/>
                    </w:tcBorders>
                    <w:noWrap/>
                  </w:tcPr>
                  <w:p>
                    <w:pPr>
                      <w:jc w:val="right"/>
                      <w:rPr>
                        <w:sz w:val="18"/>
                        <w:szCs w:val="18"/>
                      </w:rPr>
                    </w:pPr>
                    <w:r>
                      <w:rPr>
                        <w:sz w:val="18"/>
                        <w:szCs w:val="18"/>
                      </w:rPr>
                      <w:t>1 485 148,00 €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5 270,00 €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Grinkiškio J. Poderio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855 303,00 €</w:t>
                    </w:r>
                  </w:p>
                </w:tc>
                <w:tc>
                  <w:tcPr>
                    <w:tcW w:w="1417" w:type="dxa"/>
                    <w:tcBorders>
                      <w:top w:val="nil"/>
                      <w:left w:val="nil"/>
                      <w:bottom w:val="single" w:sz="4" w:space="0" w:color="auto"/>
                      <w:right w:val="nil"/>
                    </w:tcBorders>
                    <w:noWrap/>
                  </w:tcPr>
                  <w:p>
                    <w:pPr>
                      <w:jc w:val="right"/>
                      <w:rPr>
                        <w:sz w:val="18"/>
                        <w:szCs w:val="18"/>
                      </w:rPr>
                    </w:pPr>
                    <w:r>
                      <w:rPr>
                        <w:sz w:val="18"/>
                        <w:szCs w:val="18"/>
                      </w:rPr>
                      <w:t>856 823,00 €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1 520,00 €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Šeduvos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2 651 957,00 €</w:t>
                    </w:r>
                  </w:p>
                </w:tc>
                <w:tc>
                  <w:tcPr>
                    <w:tcW w:w="1417" w:type="dxa"/>
                    <w:tcBorders>
                      <w:top w:val="nil"/>
                      <w:left w:val="nil"/>
                      <w:bottom w:val="single" w:sz="4" w:space="0" w:color="auto"/>
                      <w:right w:val="nil"/>
                    </w:tcBorders>
                    <w:noWrap/>
                  </w:tcPr>
                  <w:p>
                    <w:pPr>
                      <w:jc w:val="right"/>
                      <w:rPr>
                        <w:sz w:val="18"/>
                        <w:szCs w:val="18"/>
                      </w:rPr>
                    </w:pPr>
                    <w:r>
                      <w:rPr>
                        <w:sz w:val="18"/>
                        <w:szCs w:val="18"/>
                      </w:rPr>
                      <w:t>2 662 857,00 €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10 900,00 €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Sidabravo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752 385,00 €</w:t>
                    </w:r>
                  </w:p>
                </w:tc>
                <w:tc>
                  <w:tcPr>
                    <w:tcW w:w="1417" w:type="dxa"/>
                    <w:tcBorders>
                      <w:top w:val="nil"/>
                      <w:left w:val="nil"/>
                      <w:bottom w:val="single" w:sz="4" w:space="0" w:color="auto"/>
                      <w:right w:val="nil"/>
                    </w:tcBorders>
                    <w:noWrap/>
                  </w:tcPr>
                  <w:p>
                    <w:pPr>
                      <w:jc w:val="right"/>
                      <w:rPr>
                        <w:sz w:val="18"/>
                        <w:szCs w:val="18"/>
                      </w:rPr>
                    </w:pPr>
                    <w:r>
                      <w:rPr>
                        <w:sz w:val="18"/>
                        <w:szCs w:val="18"/>
                      </w:rPr>
                      <w:t>772 385,00 €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20 000,00 €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Baisogalos mokykla-darželis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1 105 248,00 €</w:t>
                    </w:r>
                  </w:p>
                </w:tc>
                <w:tc>
                  <w:tcPr>
                    <w:tcW w:w="1417" w:type="dxa"/>
                    <w:tcBorders>
                      <w:top w:val="nil"/>
                      <w:left w:val="nil"/>
                      <w:bottom w:val="single" w:sz="4" w:space="0" w:color="auto"/>
                      <w:right w:val="nil"/>
                    </w:tcBorders>
                    <w:noWrap/>
                  </w:tcPr>
                  <w:p>
                    <w:pPr>
                      <w:jc w:val="right"/>
                      <w:rPr>
                        <w:sz w:val="18"/>
                        <w:szCs w:val="18"/>
                      </w:rPr>
                    </w:pPr>
                    <w:r>
                      <w:rPr>
                        <w:sz w:val="18"/>
                        <w:szCs w:val="18"/>
                      </w:rPr>
                      <w:t>1 108 656,00 €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3 408,00 €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color w:val="000000"/>
                        <w:sz w:val="18"/>
                        <w:szCs w:val="18"/>
                        <w:lang w:eastAsia="lt-LT"/>
                      </w:rPr>
                      <w:t xml:space="preserve">Radviliškio lopšelis-darželis  „Žvaigždutė“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694 305,00 €</w:t>
                    </w:r>
                  </w:p>
                </w:tc>
                <w:tc>
                  <w:tcPr>
                    <w:tcW w:w="1417" w:type="dxa"/>
                    <w:tcBorders>
                      <w:top w:val="nil"/>
                      <w:left w:val="nil"/>
                      <w:bottom w:val="single" w:sz="4" w:space="0" w:color="auto"/>
                      <w:right w:val="nil"/>
                    </w:tcBorders>
                    <w:noWrap/>
                  </w:tcPr>
                  <w:p>
                    <w:pPr>
                      <w:jc w:val="right"/>
                      <w:rPr>
                        <w:sz w:val="18"/>
                        <w:szCs w:val="18"/>
                      </w:rPr>
                    </w:pPr>
                    <w:r>
                      <w:rPr>
                        <w:sz w:val="18"/>
                        <w:szCs w:val="18"/>
                      </w:rPr>
                      <w:t>734 305,00 €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40 000,00 €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1 605 333,00 €</w:t>
                    </w:r>
                  </w:p>
                </w:tc>
                <w:tc>
                  <w:tcPr>
                    <w:tcW w:w="1417" w:type="dxa"/>
                    <w:tcBorders>
                      <w:top w:val="nil"/>
                      <w:left w:val="nil"/>
                      <w:bottom w:val="single" w:sz="4" w:space="0" w:color="auto"/>
                      <w:right w:val="nil"/>
                    </w:tcBorders>
                    <w:noWrap/>
                  </w:tcPr>
                  <w:p>
                    <w:pPr>
                      <w:jc w:val="right"/>
                      <w:rPr>
                        <w:sz w:val="18"/>
                        <w:szCs w:val="18"/>
                      </w:rPr>
                    </w:pPr>
                    <w:r>
                      <w:rPr>
                        <w:sz w:val="18"/>
                        <w:szCs w:val="18"/>
                      </w:rPr>
                      <w:t>1 653 890,00 €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48 557,00 €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11 895,00 €</w:t>
                    </w:r>
                  </w:p>
                </w:tc>
                <w:tc>
                  <w:tcPr>
                    <w:tcW w:w="1417" w:type="dxa"/>
                    <w:tcBorders>
                      <w:top w:val="nil"/>
                      <w:left w:val="nil"/>
                      <w:bottom w:val="single" w:sz="4" w:space="0" w:color="auto"/>
                      <w:right w:val="nil"/>
                    </w:tcBorders>
                    <w:noWrap/>
                  </w:tcPr>
                  <w:p>
                    <w:pPr>
                      <w:jc w:val="right"/>
                      <w:rPr>
                        <w:sz w:val="18"/>
                        <w:szCs w:val="18"/>
                      </w:rPr>
                    </w:pPr>
                    <w:r>
                      <w:rPr>
                        <w:sz w:val="18"/>
                        <w:szCs w:val="18"/>
                      </w:rPr>
                      <w:t>21 791,00 €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9 896,00 €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2 177 763,00 €</w:t>
                    </w:r>
                  </w:p>
                </w:tc>
                <w:tc>
                  <w:tcPr>
                    <w:tcW w:w="1417" w:type="dxa"/>
                    <w:tcBorders>
                      <w:top w:val="nil"/>
                      <w:left w:val="nil"/>
                      <w:bottom w:val="single" w:sz="4" w:space="0" w:color="auto"/>
                      <w:right w:val="nil"/>
                    </w:tcBorders>
                    <w:noWrap/>
                  </w:tcPr>
                  <w:p>
                    <w:pPr>
                      <w:jc w:val="right"/>
                      <w:rPr>
                        <w:sz w:val="18"/>
                        <w:szCs w:val="18"/>
                      </w:rPr>
                    </w:pPr>
                    <w:r>
                      <w:rPr>
                        <w:sz w:val="18"/>
                        <w:szCs w:val="18"/>
                      </w:rPr>
                      <w:t>2 215 263,00 €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37 500,00 €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meno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63 785,00 €</w:t>
                    </w:r>
                  </w:p>
                </w:tc>
                <w:tc>
                  <w:tcPr>
                    <w:tcW w:w="1417" w:type="dxa"/>
                    <w:tcBorders>
                      <w:top w:val="nil"/>
                      <w:left w:val="nil"/>
                      <w:bottom w:val="single" w:sz="4" w:space="0" w:color="auto"/>
                      <w:right w:val="nil"/>
                    </w:tcBorders>
                    <w:noWrap/>
                  </w:tcPr>
                  <w:p>
                    <w:pPr>
                      <w:jc w:val="right"/>
                      <w:rPr>
                        <w:sz w:val="18"/>
                        <w:szCs w:val="18"/>
                      </w:rPr>
                    </w:pPr>
                    <w:r>
                      <w:rPr>
                        <w:sz w:val="18"/>
                        <w:szCs w:val="18"/>
                      </w:rPr>
                      <w:t>83 785,00 €</w:t>
                    </w:r>
                  </w:p>
                </w:tc>
                <w:tc>
                  <w:tcPr>
                    <w:tcW w:w="1134" w:type="dxa"/>
                    <w:tcBorders>
                      <w:top w:val="nil"/>
                      <w:left w:val="single" w:sz="4" w:space="0" w:color="auto"/>
                      <w:bottom w:val="single" w:sz="4" w:space="0" w:color="auto"/>
                      <w:right w:val="single" w:sz="4" w:space="0" w:color="auto"/>
                    </w:tcBorders>
                    <w:noWrap/>
                  </w:tcPr>
                  <w:p>
                    <w:pPr>
                      <w:rPr>
                        <w:sz w:val="18"/>
                        <w:szCs w:val="18"/>
                      </w:rPr>
                    </w:pPr>
                    <w:r>
                      <w:rPr>
                        <w:sz w:val="18"/>
                        <w:szCs w:val="18"/>
                      </w:rPr>
                      <w:t xml:space="preserve">20 000,00 €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0,00 €</w:t>
                    </w:r>
                  </w:p>
                </w:tc>
                <w:tc>
                  <w:tcPr>
                    <w:tcW w:w="1417" w:type="dxa"/>
                    <w:tcBorders>
                      <w:top w:val="nil"/>
                      <w:left w:val="nil"/>
                      <w:bottom w:val="single" w:sz="4" w:space="0" w:color="auto"/>
                      <w:right w:val="nil"/>
                    </w:tcBorders>
                    <w:noWrap/>
                  </w:tcPr>
                  <w:p>
                    <w:pPr>
                      <w:jc w:val="center"/>
                      <w:rPr>
                        <w:sz w:val="18"/>
                        <w:szCs w:val="18"/>
                      </w:rPr>
                    </w:pPr>
                    <w:r>
                      <w:rPr>
                        <w:sz w:val="18"/>
                        <w:szCs w:val="18"/>
                      </w:rPr>
                      <w:t>33 634,00 €</w:t>
                    </w:r>
                  </w:p>
                </w:tc>
                <w:tc>
                  <w:tcPr>
                    <w:tcW w:w="1134"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33 634,00 €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06</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Saugios, švarios ir patogios aplinkos užtikrinimo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AA</w:t>
                    </w:r>
                  </w:p>
                </w:tc>
                <w:tc>
                  <w:tcPr>
                    <w:tcW w:w="1418" w:type="dxa"/>
                    <w:tcBorders>
                      <w:top w:val="single" w:sz="4" w:space="0" w:color="auto"/>
                      <w:left w:val="nil"/>
                      <w:bottom w:val="single" w:sz="4" w:space="0" w:color="auto"/>
                      <w:right w:val="single" w:sz="4" w:space="0" w:color="auto"/>
                    </w:tcBorders>
                    <w:noWrap/>
                  </w:tcPr>
                  <w:p>
                    <w:pPr>
                      <w:jc w:val="right"/>
                      <w:rPr>
                        <w:sz w:val="18"/>
                        <w:szCs w:val="18"/>
                      </w:rPr>
                    </w:pPr>
                    <w:r>
                      <w:rPr>
                        <w:sz w:val="18"/>
                        <w:szCs w:val="18"/>
                      </w:rPr>
                      <w:t>240 000,00 €</w:t>
                    </w:r>
                  </w:p>
                </w:tc>
                <w:tc>
                  <w:tcPr>
                    <w:tcW w:w="1417" w:type="dxa"/>
                    <w:tcBorders>
                      <w:top w:val="single" w:sz="4" w:space="0" w:color="auto"/>
                      <w:left w:val="nil"/>
                      <w:bottom w:val="single" w:sz="4" w:space="0" w:color="auto"/>
                      <w:right w:val="nil"/>
                    </w:tcBorders>
                    <w:noWrap/>
                  </w:tcPr>
                  <w:p>
                    <w:pPr>
                      <w:jc w:val="right"/>
                      <w:rPr>
                        <w:sz w:val="18"/>
                        <w:szCs w:val="18"/>
                      </w:rPr>
                    </w:pPr>
                    <w:r>
                      <w:rPr>
                        <w:sz w:val="18"/>
                        <w:szCs w:val="18"/>
                      </w:rPr>
                      <w:t>280 000,00 €</w:t>
                    </w:r>
                  </w:p>
                </w:tc>
                <w:tc>
                  <w:tcPr>
                    <w:tcW w:w="1134" w:type="dxa"/>
                    <w:tcBorders>
                      <w:top w:val="single" w:sz="4" w:space="0" w:color="auto"/>
                      <w:left w:val="single" w:sz="4" w:space="0" w:color="auto"/>
                      <w:bottom w:val="single" w:sz="4" w:space="0" w:color="auto"/>
                      <w:right w:val="single" w:sz="4" w:space="0" w:color="auto"/>
                    </w:tcBorders>
                    <w:noWrap/>
                  </w:tcPr>
                  <w:p>
                    <w:pPr>
                      <w:jc w:val="right"/>
                      <w:rPr>
                        <w:sz w:val="18"/>
                        <w:szCs w:val="18"/>
                      </w:rPr>
                    </w:pPr>
                    <w:r>
                      <w:rPr>
                        <w:sz w:val="18"/>
                        <w:szCs w:val="18"/>
                      </w:rPr>
                      <w:t>40 000,00 €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06</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Saugios, švarios ir patogios aplinkos užtikrinimo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 xml:space="preserve">SB </w:t>
                    </w:r>
                  </w:p>
                </w:tc>
                <w:tc>
                  <w:tcPr>
                    <w:tcW w:w="1418" w:type="dxa"/>
                    <w:tcBorders>
                      <w:top w:val="single" w:sz="4" w:space="0" w:color="auto"/>
                      <w:left w:val="nil"/>
                      <w:bottom w:val="single" w:sz="4" w:space="0" w:color="auto"/>
                      <w:right w:val="single" w:sz="4" w:space="0" w:color="auto"/>
                    </w:tcBorders>
                    <w:noWrap/>
                  </w:tcPr>
                  <w:p>
                    <w:pPr>
                      <w:jc w:val="right"/>
                      <w:rPr>
                        <w:sz w:val="18"/>
                        <w:szCs w:val="18"/>
                      </w:rPr>
                    </w:pPr>
                    <w:r>
                      <w:rPr>
                        <w:sz w:val="18"/>
                        <w:szCs w:val="18"/>
                      </w:rPr>
                      <w:t>3 679 605,42 €</w:t>
                    </w:r>
                  </w:p>
                </w:tc>
                <w:tc>
                  <w:tcPr>
                    <w:tcW w:w="1417" w:type="dxa"/>
                    <w:tcBorders>
                      <w:top w:val="single" w:sz="4" w:space="0" w:color="auto"/>
                      <w:left w:val="nil"/>
                      <w:bottom w:val="single" w:sz="4" w:space="0" w:color="auto"/>
                      <w:right w:val="nil"/>
                    </w:tcBorders>
                    <w:noWrap/>
                  </w:tcPr>
                  <w:p>
                    <w:pPr>
                      <w:jc w:val="right"/>
                      <w:rPr>
                        <w:sz w:val="18"/>
                        <w:szCs w:val="18"/>
                      </w:rPr>
                    </w:pPr>
                    <w:r>
                      <w:rPr>
                        <w:sz w:val="18"/>
                        <w:szCs w:val="18"/>
                      </w:rPr>
                      <w:t>3 682 605,42 €</w:t>
                    </w:r>
                  </w:p>
                </w:tc>
                <w:tc>
                  <w:tcPr>
                    <w:tcW w:w="1134" w:type="dxa"/>
                    <w:tcBorders>
                      <w:top w:val="single" w:sz="4" w:space="0" w:color="auto"/>
                      <w:left w:val="single" w:sz="4" w:space="0" w:color="auto"/>
                      <w:bottom w:val="single" w:sz="4" w:space="0" w:color="auto"/>
                      <w:right w:val="single" w:sz="4" w:space="0" w:color="auto"/>
                    </w:tcBorders>
                    <w:noWrap/>
                  </w:tcPr>
                  <w:p>
                    <w:pPr>
                      <w:jc w:val="right"/>
                      <w:rPr>
                        <w:sz w:val="18"/>
                        <w:szCs w:val="18"/>
                      </w:rPr>
                    </w:pPr>
                    <w:r>
                      <w:rPr>
                        <w:sz w:val="18"/>
                        <w:szCs w:val="18"/>
                      </w:rPr>
                      <w:t>3 000,00 €</w:t>
                    </w:r>
                  </w:p>
                </w:tc>
              </w:tr>
            </w:tbl>
            <w:p/>
          </w:sdtContent>
        </w:sdt>
        <w:sdt>
          <w:sdtPr>
            <w:alias w:val="signatura"/>
            <w:tag w:val="part_47f2f73196a04185bfe1e99398de95bb"/>
            <w:lock w:val="sdtLocked"/>
            <w:richText/>
          </w:sdtPr>
          <w:sdtContent>
            <w:p>
              <w:pPr>
                <w:spacing w:line="254" w:lineRule="auto"/>
                <w:ind w:firstLine="4101"/>
                <w:rPr>
                  <w:szCs w:val="24"/>
                </w:rPr>
              </w:pPr>
              <w:r>
                <w:rPr>
                  <w:color w:val="000000"/>
                  <w:sz w:val="20"/>
                </w:rPr>
                <w:t xml:space="preserve">Iš viso                                                                                    90 319,00 €            </w:t>
              </w:r>
            </w:p>
            <w:p>
              <w:pPr>
                <w:rPr>
                  <w:sz w:val="14"/>
                  <w:szCs w:val="14"/>
                </w:rPr>
              </w:pPr>
            </w:p>
            <w:p>
              <w:pPr>
                <w:spacing w:line="254" w:lineRule="auto"/>
                <w:jc w:val="both"/>
                <w:rPr>
                  <w:szCs w:val="24"/>
                </w:rPr>
              </w:pPr>
            </w:p>
            <w:p>
              <w:pPr>
                <w:rPr>
                  <w:sz w:val="14"/>
                  <w:szCs w:val="14"/>
                </w:rPr>
              </w:pPr>
            </w:p>
            <w:p>
              <w:pPr>
                <w:spacing w:line="254" w:lineRule="auto"/>
                <w:jc w:val="both"/>
                <w:rPr>
                  <w:szCs w:val="24"/>
                </w:rPr>
              </w:pPr>
            </w:p>
            <w:p>
              <w:pPr>
                <w:rPr>
                  <w:sz w:val="14"/>
                  <w:szCs w:val="14"/>
                </w:rPr>
              </w:pPr>
            </w:p>
            <w:p>
              <w:pPr>
                <w:spacing w:line="254" w:lineRule="auto"/>
                <w:jc w:val="both"/>
                <w:rPr>
                  <w:szCs w:val="24"/>
                </w:rPr>
              </w:pPr>
            </w:p>
            <w:p>
              <w:pPr>
                <w:rPr>
                  <w:sz w:val="14"/>
                  <w:szCs w:val="14"/>
                </w:rPr>
              </w:pPr>
            </w:p>
            <w:p>
              <w:pPr>
                <w:spacing w:line="254" w:lineRule="auto"/>
                <w:jc w:val="both"/>
                <w:rPr>
                  <w:szCs w:val="24"/>
                </w:rPr>
              </w:pPr>
              <w:r>
                <w:rPr>
                  <w:szCs w:val="24"/>
                </w:rPr>
                <w:t xml:space="preserve">Finansų skyriaus vedėja                                                                                               Lina Baškevičienė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AEE92-205F-4997-9452-25FB864AEF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241329871">
      <w:bodyDiv w:val="1"/>
      <w:marLeft w:val="0"/>
      <w:marRight w:val="0"/>
      <w:marTop w:val="0"/>
      <w:marBottom w:val="0"/>
      <w:divBdr>
        <w:top w:val="none" w:sz="0" w:space="0" w:color="auto"/>
        <w:left w:val="none" w:sz="0" w:space="0" w:color="auto"/>
        <w:bottom w:val="none" w:sz="0" w:space="0" w:color="auto"/>
        <w:right w:val="none" w:sz="0" w:space="0" w:color="auto"/>
      </w:divBdr>
    </w:div>
    <w:div w:id="759833817">
      <w:bodyDiv w:val="1"/>
      <w:marLeft w:val="0"/>
      <w:marRight w:val="0"/>
      <w:marTop w:val="0"/>
      <w:marBottom w:val="0"/>
      <w:divBdr>
        <w:top w:val="none" w:sz="0" w:space="0" w:color="auto"/>
        <w:left w:val="none" w:sz="0" w:space="0" w:color="auto"/>
        <w:bottom w:val="none" w:sz="0" w:space="0" w:color="auto"/>
        <w:right w:val="none" w:sz="0" w:space="0" w:color="auto"/>
      </w:divBdr>
    </w:div>
    <w:div w:id="858547446">
      <w:bodyDiv w:val="1"/>
      <w:marLeft w:val="0"/>
      <w:marRight w:val="0"/>
      <w:marTop w:val="0"/>
      <w:marBottom w:val="0"/>
      <w:divBdr>
        <w:top w:val="none" w:sz="0" w:space="0" w:color="auto"/>
        <w:left w:val="none" w:sz="0" w:space="0" w:color="auto"/>
        <w:bottom w:val="none" w:sz="0" w:space="0" w:color="auto"/>
        <w:right w:val="none" w:sz="0" w:space="0" w:color="auto"/>
      </w:divBdr>
    </w:div>
    <w:div w:id="1600485108">
      <w:bodyDiv w:val="1"/>
      <w:marLeft w:val="0"/>
      <w:marRight w:val="0"/>
      <w:marTop w:val="0"/>
      <w:marBottom w:val="0"/>
      <w:divBdr>
        <w:top w:val="none" w:sz="0" w:space="0" w:color="auto"/>
        <w:left w:val="none" w:sz="0" w:space="0" w:color="auto"/>
        <w:bottom w:val="none" w:sz="0" w:space="0" w:color="auto"/>
        <w:right w:val="none" w:sz="0" w:space="0" w:color="auto"/>
      </w:divBdr>
    </w:div>
    <w:div w:id="1784183314">
      <w:bodyDiv w:val="1"/>
      <w:marLeft w:val="0"/>
      <w:marRight w:val="0"/>
      <w:marTop w:val="0"/>
      <w:marBottom w:val="0"/>
      <w:divBdr>
        <w:top w:val="none" w:sz="0" w:space="0" w:color="auto"/>
        <w:left w:val="none" w:sz="0" w:space="0" w:color="auto"/>
        <w:bottom w:val="none" w:sz="0" w:space="0" w:color="auto"/>
        <w:right w:val="none" w:sz="0" w:space="0" w:color="auto"/>
      </w:divBdr>
    </w:div>
    <w:div w:id="193392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e75e25e1e2f45a8ab4fa40309f82367" PartId="7f98895c1d964b68bab3962080aefd67">
    <Part Type="preambule" DocPartId="2e68b205f3ef42cf8df4315897a75c07" PartId="1cbf96531c3b4b959a867656bdab37a5"/>
    <Part Type="punktas" Nr="1" Abbr="1 p." DocPartId="0e30df5e27d24b8caf3e7dfa1f922f6f" PartId="76f777929acb42e6b903da3106b61817">
      <Part Type="papunktis" Nr="1.1" Abbr="1.1 pp." DocPartId="027c4d2d57fb4badb6b3578067a59e4d" PartId="40b0ca1de0fb4ddfb94d18b881466306">
        <Part Type="citata" DocPartId="964194d1db554c4e87d64be286027e1a" PartId="5305b65f4f45457eb0aaf8878e781314">
          <Part Type="papunktis" Nr="1.1" Abbr="1.1 pp." DocPartId="e0b4b8a0a0194842bf095d2d691c583f" PartId="5c2b4012b1164dc2b6e5c7b395e5376e"/>
        </Part>
      </Part>
      <Part Type="papunktis" Nr="1.2" Abbr="1.2 pp." DocPartId="c76f620717454ea2b26980f10de298ba" PartId="751717e940844f358724bba777303e8e">
        <Part Type="citata" DocPartId="af274f41bb914592879c37bee81411bb" PartId="4d1a18a5df914c9299d302eb63127746">
          <Part Type="papunktis" Nr="1.2" Abbr="1.2 pp." DocPartId="69e19efe7d6b4c099cb2a97fa3d086c4" PartId="c3ce1a00716e4fa5948782d3682afce2"/>
        </Part>
        <Part Type="pastraipa" DocPartId="accfade741f94867931613223abc8fbf" PartId="af66b4d8bbb046c6a701d7025008b1ed"/>
      </Part>
    </Part>
    <Part Type="skirsnis" Title="RADVILIŠKIO RAJONO SAVIVALDYBĖS TARYBOS SPRENDIMO PROJEKTO „DĖL RADVILIŠKIO RAJONO SAVIVALDYBĖS TARYBOS 2026 M. VASARIO 12 D. SPRENDIMO NR. T-875 „DĖL RADVILIŠKIO RAJONO SAVIVALDYBĖS 2026–2028 METŲ BIUDŽETO PATVIRTINIMO“ PAKEITIMO“ AIŠKINAMASIS RAŠTAS" DocPartId="48612c6840ff4ce2b31909b9f6f91ed7" PartId="6dd751fca0494d2b955084500822a5f4">
      <Part Type="punktas" Nr="1" Abbr="1 p." DocPartId="1885bad3b0a5471181f5c9b62c77f857" PartId="d774db8844b241c0bf5c06a49cc16165"/>
      <Part Type="punktas" Nr="2" Abbr="2 p." DocPartId="8dcdf150f32742cf84b76893b1f4acfb" PartId="998a4e7931364fad851c7647d355c2b3"/>
      <Part Type="punktas" Nr="3" Abbr="3 p." DocPartId="e11e63414aa34221b5615ebd822f1b8a" PartId="71ec814b3dc843c086368f3c2692f2dc"/>
      <Part Type="punktas" Nr="4" Abbr="4 p." DocPartId="0d04ee6ada794637826331ff4497cc4c" PartId="b85b0be4bd4e4f7384c23af6b64bc9f5"/>
      <Part Type="punktas" Nr="5" Abbr="5 p." DocPartId="effcae4bb38c41ab8c1e86cb359a15f6" PartId="01bcaa30b2244de5946174ebca91e40e"/>
      <Part Type="punktas" Nr="6" Abbr="6 p." DocPartId="3c249360d8384680bced108779124ab3" PartId="5699f73345934e2c94d05bd3217ddf2e"/>
      <Part Type="punktas" Nr="7" Abbr="7 p." DocPartId="18e27d0635f241f2998adf75015b16fa" PartId="f1c2f4ec8f4844f8a0e3ff27b06cd591"/>
      <Part Type="punktas" Nr="8" Abbr="8 p." DocPartId="8266ce55865447a9af75375494a8753f" PartId="bf1f68184d2640a9ab9fb1571478fff1"/>
      <Part Type="punktas" Nr="9" Abbr="9 p." DocPartId="9f87dd3ad2874b008fcd7dd0dc3bc27a" PartId="a71d51da39194385ac0eb23fa509e89f"/>
      <Part Type="punktas" Nr="10" Abbr="10 p." DocPartId="fc90889c84f345fab8c0f4927ba79efc" PartId="54546516cfc64aebb2db85680a3fe419"/>
      <Part Type="punktas" Nr="11" Abbr="11 p." DocPartId="0abd745736a2445eb6937c462b7a89cb" PartId="e4af0ebfbf034f59b76728ca891e89ff">
        <Part Type="papunktis" Nr="11.1" Abbr="11.1 pp." DocPartId="5f9622f436f9442aa69b21b7abb7e956" PartId="f39d974495a546d18b5fc338a9334e63">
          <Part Type="papunktis" Nr="11.1.1" Abbr="11.1.1 pp." DocPartId="5013c8a8d0804a25841c5384846a0260" PartId="816cdfa3d0d943429d91b5f88e985337"/>
          <Part Type="papunktis" Nr="11.1.2" Abbr="11.1.2 pp." DocPartId="c5586e6523e54ef6ab2b64b258d816c0" PartId="2255aac4c53c410090890e2975d5b418"/>
          <Part Type="papunktis" Nr="11.1.3" Abbr="11.1.3 pp." DocPartId="f98cafc7801644f4ba2b85f559ef3b47" PartId="00ef7af2461941ca9bc3822f963ae66f"/>
          <Part Type="papunktis" Nr="11.1.4" Abbr="11.1.4 pp." DocPartId="bcfa9678ca3d4c85b4ecfce6f124977d" PartId="4053e9a11eba4026852f331d7a4fae7f"/>
        </Part>
        <Part Type="papunktis" Nr="11.2" Abbr="11.2 pp." DocPartId="d1fb09ddd247436996e967d07021e3ba" PartId="8b4bceb5d81e4846a7b552b93adb2104">
          <Part Type="papunktis" Nr="11.2.1" Abbr="11.2.1 pp." DocPartId="270e8c7fd3764471bc61afb21b546b37" PartId="66218fe92a444dba930723068799b002">
            <Part Type="papunktis" Nr="11.2.1.1" Abbr="11.2.1.1 pp." DocPartId="103c849935e045119198ff3df3fc711d" PartId="9ea30106757f4c1b92ee9baac8df3262"/>
            <Part Type="papunktis" Nr="11.2.1.2" Abbr="11.2.1.2 pp." DocPartId="850f4b07cd3147a080356415be88dd66" PartId="de5a49e236de499f971bd5a31a88450a"/>
            <Part Type="papunktis" Nr="11.2.1.3" Abbr="11.2.1.3 pp." DocPartId="bfb0fca5cbb648639c2bedccb43b2336" PartId="883ccc3bf1994750bef9c5526314bc72"/>
          </Part>
          <Part Type="papunktis" Nr="11.2.2" Abbr="11.2.2 pp." DocPartId="e8121bddac4e47edb43a3cb7c78dddea" PartId="024793ac872f4e10abab6ae1e3d29eb6"/>
        </Part>
        <Part Type="papunktis" Nr="11.3" Abbr="11.3 pp." DocPartId="979c3696f3074e08a1cff3d092835d39" PartId="66f1944e688240e886dc8701af177cdf"/>
        <Part Type="papunktis" Nr="11.4" Abbr="11.4 pp." DocPartId="78000544de0b42e39cedce7691bb2ff5" PartId="9833aff38be54d2f91981e86a41ef28e"/>
        <Part Type="papunktis" Nr="11.5" Abbr="11.5 pp." DocPartId="1f527439d1de48e5b2ad3039602d2234" PartId="bb69e9f5ff8b46fbaf7c480149c56b84"/>
      </Part>
      <Part Type="punktas" Nr="12" Abbr="12 p." DocPartId="984cd9d2eb244033b17d8aab3ee5a7eb" PartId="653f13f5fc96418cb6d2268b750b619a"/>
    </Part>
    <Part Type="skirsnis" Title="Lyginamasis variantas." DocPartId="aa34eba712ce4f22a3962e34489ec098" PartId="d6e10b7e00fe474d930bb1f074f2939d"/>
    <Part Type="signatura" DocPartId="9a997ee43db74d079a1389e1898973db" PartId="47f2f73196a04185bfe1e99398de95bb"/>
  </Part>
</Parts>
</file>

<file path=customXml/itemProps1.xml><?xml version="1.0" encoding="utf-8"?>
<ds:datastoreItem xmlns:ds="http://schemas.openxmlformats.org/officeDocument/2006/customXml" ds:itemID="{C08112CA-A330-4CDC-A308-254FB20913DA}">
  <ds:schemaRefs>
    <ds:schemaRef ds:uri="http://schemas.openxmlformats.org/officeDocument/2006/bibliography"/>
  </ds:schemaRefs>
</ds:datastoreItem>
</file>

<file path=customXml/itemProps2.xml><?xml version="1.0" encoding="utf-8"?>
<ds:datastoreItem xmlns:ds="http://schemas.openxmlformats.org/officeDocument/2006/customXml" ds:itemID="{5C222A8F-4CE1-4693-A9A5-C685A0E960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1692</Words>
  <Characters>11069</Characters>
  <Application>Microsoft Office Word</Application>
  <DocSecurity>4</DocSecurity>
  <Lines>481</Lines>
  <Paragraphs>327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12434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2026-05-21T10:38:00Z</dcterms:created>
  <dc:creator>Rita Chlebauskienė</dc:creator>
  <lastModifiedBy>adlibuser</lastModifiedBy>
  <lastPrinted>2026-05-21T04:55:00Z</lastPrinted>
  <dcterms:modified xsi:type="dcterms:W3CDTF">2026-05-21T10:38:00Z</dcterms:modified>
  <revision>2</revision>
</coreProperties>
</file>