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da86cfee35e4e639814ee3717013cfb"/>
        <w:lock w:val="sdtLocked"/>
        <w:richText/>
      </w:sdtPr>
      <w:sdtContent>
        <w:p w14:paraId="7B37E24B" w14:textId="77777777">
          <w:pPr>
            <w:suppressLineNumbers/>
            <w:tabs>
              <w:tab w:val="center" w:pos="8789"/>
              <w:tab w:val="right" w:pos="10771"/>
            </w:tabs>
            <w:suppressAutoHyphens/>
            <w:rPr>
              <w:b/>
              <w:bCs/>
              <w:shd w:val="clear" w:color="auto" w:fill="FFFFFF"/>
              <w:lang w:eastAsia="ar-SA"/>
            </w:rPr>
          </w:pPr>
          <w:r>
            <w:rPr>
              <w:b/>
              <w:bCs/>
              <w:shd w:val="clear" w:color="auto" w:fill="FFFFFF"/>
              <w:lang w:eastAsia="ar-SA"/>
            </w:rPr>
            <w:tab/>
            <w:t>Projektas</w:t>
          </w:r>
        </w:p>
        <w:p w14:paraId="29F15726" w14:textId="77777777">
          <w:pPr>
            <w:suppressLineNumbers/>
            <w:tabs>
              <w:tab w:val="center" w:pos="8789"/>
              <w:tab w:val="right" w:pos="10771"/>
            </w:tabs>
            <w:suppressAutoHyphens/>
            <w:rPr>
              <w:lang w:eastAsia="ar-SA"/>
            </w:rPr>
          </w:pPr>
          <w:r>
            <w:rPr>
              <w:bCs/>
              <w:color w:val="FF0000"/>
              <w:lang w:eastAsia="ar-SA"/>
            </w:rPr>
            <w:tab/>
          </w:r>
        </w:p>
        <w:p w14:paraId="5BE8A340" w14:textId="77777777">
          <w:pPr>
            <w:tabs>
              <w:tab w:val="left" w:pos="2805"/>
              <w:tab w:val="center" w:pos="4819"/>
            </w:tabs>
            <w:suppressAutoHyphens/>
            <w:ind w:right="-87"/>
            <w:jc w:val="center"/>
            <w:rPr>
              <w:b/>
              <w:szCs w:val="24"/>
              <w:lang w:eastAsia="ar-SA"/>
            </w:rPr>
          </w:pPr>
          <w:r>
            <w:rPr>
              <w:b/>
              <w:szCs w:val="24"/>
              <w:lang w:eastAsia="ar-SA"/>
            </w:rPr>
            <w:t>ŠIAULIŲ MIESTO SAVIVALDYBĖS TARYBA</w:t>
          </w:r>
        </w:p>
        <w:p w14:paraId="06CBB38F" w14:textId="77777777">
          <w:pPr>
            <w:suppressAutoHyphens/>
            <w:ind w:right="-87"/>
            <w:jc w:val="center"/>
            <w:rPr>
              <w:szCs w:val="24"/>
              <w:lang w:eastAsia="ar-SA"/>
            </w:rPr>
          </w:pPr>
        </w:p>
        <w:p w14:paraId="4FB4183D" w14:textId="77777777">
          <w:pPr>
            <w:keepNext/>
            <w:tabs>
              <w:tab w:val="left" w:pos="0"/>
            </w:tabs>
            <w:suppressAutoHyphens/>
            <w:ind w:right="-87"/>
            <w:jc w:val="center"/>
            <w:rPr>
              <w:b/>
              <w:bCs/>
              <w:szCs w:val="24"/>
              <w:lang w:eastAsia="ar-SA"/>
            </w:rPr>
          </w:pPr>
          <w:r>
            <w:rPr>
              <w:b/>
              <w:bCs/>
              <w:szCs w:val="24"/>
              <w:lang w:eastAsia="ar-SA"/>
            </w:rPr>
            <w:t>SPRENDIMAS</w:t>
          </w:r>
        </w:p>
        <w:p w14:paraId="78845850" w14:textId="65C8AB58">
          <w:pPr>
            <w:widowControl w:val="0"/>
            <w:suppressAutoHyphens/>
            <w:jc w:val="center"/>
            <w:rPr>
              <w:b/>
              <w:caps/>
              <w:color w:val="000000"/>
              <w:spacing w:val="-2"/>
              <w:szCs w:val="24"/>
            </w:rPr>
          </w:pPr>
          <w:r>
            <w:rPr>
              <w:b/>
              <w:caps/>
              <w:color w:val="000000"/>
              <w:spacing w:val="-2"/>
              <w:szCs w:val="24"/>
            </w:rPr>
            <w:t>DĖL</w:t>
          </w:r>
          <w:r>
            <w:rPr>
              <w:b/>
              <w:caps/>
            </w:rPr>
            <w:t xml:space="preserve"> žemės sklypo (gytarių g. 5, Šiauliai) dalių plano patvirtinimo</w:t>
          </w:r>
        </w:p>
        <w:p w14:paraId="2B0A6B13" w14:textId="7ABBF95E">
          <w:pPr>
            <w:suppressAutoHyphens/>
            <w:ind w:right="-87" w:firstLine="62"/>
            <w:jc w:val="center"/>
            <w:rPr>
              <w:szCs w:val="24"/>
              <w:lang w:eastAsia="ar-SA"/>
            </w:rPr>
          </w:pPr>
        </w:p>
        <w:p w14:paraId="49BA81EE" w14:textId="50CD52D4">
          <w:pPr>
            <w:suppressAutoHyphens/>
            <w:ind w:right="-87"/>
            <w:jc w:val="center"/>
            <w:rPr>
              <w:szCs w:val="24"/>
              <w:lang w:eastAsia="ar-SA"/>
            </w:rPr>
          </w:pPr>
          <w:r>
            <w:rPr>
              <w:szCs w:val="24"/>
              <w:lang w:eastAsia="ar-SA"/>
            </w:rPr>
            <w:t xml:space="preserve">2025 m.                   d. Nr. T-</w:t>
          </w:r>
        </w:p>
        <w:p w14:paraId="131772FC" w14:textId="77777777">
          <w:pPr>
            <w:suppressAutoHyphens/>
            <w:ind w:right="-87"/>
            <w:jc w:val="center"/>
            <w:rPr>
              <w:szCs w:val="24"/>
              <w:lang w:eastAsia="ar-SA"/>
            </w:rPr>
          </w:pPr>
          <w:r>
            <w:rPr>
              <w:szCs w:val="24"/>
              <w:lang w:eastAsia="ar-SA"/>
            </w:rPr>
            <w:t xml:space="preserve">Šiauliai </w:t>
          </w:r>
        </w:p>
        <w:p w14:paraId="05A2FA21" w14:textId="77777777">
          <w:pPr>
            <w:suppressAutoHyphens/>
            <w:ind w:right="-87"/>
            <w:jc w:val="center"/>
            <w:rPr>
              <w:szCs w:val="24"/>
              <w:lang w:eastAsia="ar-SA"/>
            </w:rPr>
          </w:pPr>
        </w:p>
        <w:sdt>
          <w:sdtPr>
            <w:alias w:val="preambule"/>
            <w:tag w:val="part_9d5f237e83c54da989d9276529a6041c"/>
            <w:lock w:val="sdtLocked"/>
            <w:richText/>
          </w:sdtPr>
          <w:sdtContent>
            <w:p w14:paraId="45EB4943" w14:textId="44C31341">
              <w:pPr>
                <w:tabs>
                  <w:tab w:val="left" w:pos="709"/>
                </w:tabs>
                <w:suppressAutoHyphens/>
                <w:ind w:firstLine="709"/>
                <w:jc w:val="both"/>
                <w:rPr>
                  <w:szCs w:val="24"/>
                  <w:lang w:eastAsia="ar-SA"/>
                </w:rPr>
              </w:pPr>
              <w:r>
                <w:rPr>
                  <w:szCs w:val="24"/>
                  <w:lang w:eastAsia="ar-SA"/>
                </w:rPr>
                <w:t>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12.3 papunkčiu, Kitos paskirties valstybinės žemės sklypų, parduodamų ar išnuomojamų ne aukciono būdu, administravimo metodikos, patvirtintos Lietuvos Respublikos aplinkos ministro 2024 m. liepos 19 d. įsakymu Nr. D1-247 „Dėl Kitos paskirties valstybinės žemės sklypų, parduodamų ar išnuomojamų ne aukciono būdu, administravimo metodikos patvirtinimo“, 21 punktu, atsižvelgdama į Gyvenamojo namo statybos bendrijos Gytarių g. 5 2025-02-17 prašymą (registracijos DVS „Avilys“ Nr. G-1363), Šiaulių miesto savivaldybės taryba</w:t>
              </w:r>
              <w:r>
                <w:rPr>
                  <w:spacing w:val="40"/>
                  <w:szCs w:val="24"/>
                  <w:lang w:eastAsia="ar-SA"/>
                </w:rPr>
                <w:t xml:space="preserve"> nusprendži</w:t>
              </w:r>
              <w:r>
                <w:rPr>
                  <w:szCs w:val="24"/>
                  <w:lang w:eastAsia="ar-SA"/>
                </w:rPr>
                <w:t>a:</w:t>
              </w:r>
            </w:p>
          </w:sdtContent>
        </w:sdt>
        <w:sdt>
          <w:sdtPr>
            <w:alias w:val="1 p."/>
            <w:tag w:val="part_22febc9de131456b91b2ec6d3980ffa3"/>
            <w:lock w:val="sdtLocked"/>
            <w:richText/>
          </w:sdtPr>
          <w:sdtContent>
            <w:p w14:paraId="683078A9" w14:textId="53489FB8">
              <w:pPr>
                <w:suppressAutoHyphens/>
                <w:ind w:firstLine="709"/>
                <w:jc w:val="both"/>
                <w:rPr>
                  <w:szCs w:val="24"/>
                  <w:lang w:eastAsia="ar-SA"/>
                </w:rPr>
              </w:pPr>
              <w:sdt>
                <w:sdtPr>
                  <w:alias w:val="Numeris"/>
                  <w:tag w:val="nr_22febc9de131456b91b2ec6d3980ffa3"/>
                  <w:lock w:val="sdtLocked"/>
                  <w:richText/>
                </w:sdtPr>
                <w:sdtContent>
                  <w:r>
                    <w:rPr>
                      <w:szCs w:val="24"/>
                      <w:lang w:eastAsia="ar-SA"/>
                    </w:rPr>
                    <w:t>1</w:t>
                  </w:r>
                </w:sdtContent>
              </w:sdt>
              <w:r>
                <w:rPr>
                  <w:szCs w:val="24"/>
                  <w:lang w:eastAsia="ar-SA"/>
                </w:rPr>
                <w:t>.</w:t>
                <w:tab/>
                <w:t>Patvirtinti 2025 m. sausio 10 d. MB „Altagis“ projektuotojo A. T. parengtą žemės sklypo (kadastro Nr. 2901/0027:623), esančio adresu Gytarių g. 5, Šiaulių m., (toliau – Žemės sklypas) dalių planą (pridedama), kuriame išskirtos statiniams eksploatuoti reikalingos Žemės sklypo dalys ir nustatytas šių dalių plotas.</w:t>
              </w:r>
            </w:p>
          </w:sdtContent>
        </w:sdt>
        <w:sdt>
          <w:sdtPr>
            <w:alias w:val="2 p."/>
            <w:tag w:val="part_6771cfd2e1b540b1861950b857d74648"/>
            <w:lock w:val="sdtLocked"/>
            <w:richText/>
          </w:sdtPr>
          <w:sdtContent>
            <w:p w14:paraId="6036BC77" w14:textId="1A08B18C">
              <w:pPr>
                <w:suppressAutoHyphens/>
                <w:ind w:firstLine="709"/>
                <w:jc w:val="both"/>
                <w:rPr>
                  <w:szCs w:val="24"/>
                  <w:lang w:eastAsia="ar-SA"/>
                </w:rPr>
              </w:pPr>
              <w:sdt>
                <w:sdtPr>
                  <w:alias w:val="Numeris"/>
                  <w:tag w:val="nr_6771cfd2e1b540b1861950b857d74648"/>
                  <w:lock w:val="sdtLocked"/>
                  <w:richText/>
                </w:sdtPr>
                <w:sdtContent>
                  <w:r>
                    <w:rPr>
                      <w:szCs w:val="24"/>
                      <w:lang w:eastAsia="ar-SA"/>
                    </w:rPr>
                    <w:t>2</w:t>
                  </w:r>
                </w:sdtContent>
              </w:sdt>
              <w:r>
                <w:rPr>
                  <w:szCs w:val="24"/>
                  <w:lang w:eastAsia="ar-SA"/>
                </w:rPr>
                <w:t>.</w:t>
                <w:tab/>
                <w:t>Patvirtinti:</w:t>
              </w:r>
            </w:p>
            <w:sdt>
              <w:sdtPr>
                <w:alias w:val="2.1 pp."/>
                <w:tag w:val="part_880f2405303b4c659a3ff47d7288162f"/>
                <w:lock w:val="sdtLocked"/>
                <w:richText/>
              </w:sdtPr>
              <w:sdtContent>
                <w:p w14:paraId="5DE45DC7" w14:textId="23DE41D5">
                  <w:pPr>
                    <w:suppressAutoHyphens/>
                    <w:ind w:firstLine="709"/>
                    <w:jc w:val="both"/>
                    <w:rPr>
                      <w:szCs w:val="24"/>
                      <w:lang w:eastAsia="ar-SA"/>
                    </w:rPr>
                  </w:pPr>
                  <w:sdt>
                    <w:sdtPr>
                      <w:alias w:val="Numeris"/>
                      <w:tag w:val="nr_880f2405303b4c659a3ff47d7288162f"/>
                      <w:lock w:val="sdtLocked"/>
                      <w:richText/>
                    </w:sdtPr>
                    <w:sdtContent>
                      <w:r>
                        <w:rPr>
                          <w:szCs w:val="24"/>
                          <w:lang w:eastAsia="ar-SA"/>
                        </w:rPr>
                        <w:t>2.1</w:t>
                      </w:r>
                    </w:sdtContent>
                  </w:sdt>
                  <w:r>
                    <w:rPr>
                      <w:szCs w:val="24"/>
                      <w:lang w:eastAsia="ar-SA"/>
                    </w:rPr>
                    <w:t>.</w:t>
                    <w:tab/>
                    <w:t xml:space="preserve"> pastatui – gyvenamajam namui (unikalus Nr. 2999-3002-4017) eksploatuoti reikalingą Žemės sklypo dalies dydį – 0,2166 ha, susidedantį iš 0,2137 ha ploto atskirai naudojamos dalies, pažymėtos plane štrichuota raudona spalva, ir 0,0029 ploto bendrai naudojamos dalies, pažymėtos plane geltona spalva;</w:t>
                  </w:r>
                </w:p>
              </w:sdtContent>
            </w:sdt>
            <w:sdt>
              <w:sdtPr>
                <w:alias w:val="2.2 pp."/>
                <w:tag w:val="part_2bdfe674a608404880a7e501b806a295"/>
                <w:lock w:val="sdtLocked"/>
                <w:richText/>
              </w:sdtPr>
              <w:sdtContent>
                <w:p w14:paraId="64C21CA2" w14:textId="092532CC">
                  <w:pPr>
                    <w:suppressAutoHyphens/>
                    <w:ind w:firstLine="709"/>
                    <w:jc w:val="both"/>
                    <w:rPr>
                      <w:szCs w:val="24"/>
                      <w:lang w:eastAsia="ar-SA"/>
                    </w:rPr>
                  </w:pPr>
                  <w:sdt>
                    <w:sdtPr>
                      <w:alias w:val="Numeris"/>
                      <w:tag w:val="nr_2bdfe674a608404880a7e501b806a295"/>
                      <w:lock w:val="sdtLocked"/>
                      <w:richText/>
                    </w:sdtPr>
                    <w:sdtContent>
                      <w:r>
                        <w:rPr>
                          <w:szCs w:val="24"/>
                          <w:lang w:eastAsia="ar-SA"/>
                        </w:rPr>
                        <w:t>2.2</w:t>
                      </w:r>
                    </w:sdtContent>
                  </w:sdt>
                  <w:r>
                    <w:rPr>
                      <w:szCs w:val="24"/>
                      <w:lang w:eastAsia="ar-SA"/>
                    </w:rPr>
                    <w:t>.</w:t>
                    <w:tab/>
                    <w:t>statiniui – privažiavimui iš Gytarių g. prie Gytarių g. 7 (unikalus Nr. 4400-6066-0533) eksploatuoti reikalingą Žemės sklypo dalies dydį – 0,0798 ha, susidedantį iš 0,0787 ha ploto atskirai naudojamos dalies, pažymėtos plane štrichuota mėlyna spalva, ir 0,0011 ha ploto bendrai naudojamos dalies, pažymėtos plane geltona spalva.</w:t>
                  </w:r>
                </w:p>
              </w:sdtContent>
            </w:sdt>
          </w:sdtContent>
        </w:sdt>
        <w:sdt>
          <w:sdtPr>
            <w:alias w:val="3 p."/>
            <w:tag w:val="part_b73efa593da9452f83095d351076d703"/>
            <w:lock w:val="sdtLocked"/>
            <w:richText/>
          </w:sdtPr>
          <w:sdtContent>
            <w:p w14:paraId="0AC1448C" w14:textId="45937C80">
              <w:pPr>
                <w:suppressAutoHyphens/>
                <w:ind w:firstLine="709"/>
                <w:jc w:val="both"/>
                <w:rPr>
                  <w:szCs w:val="24"/>
                  <w:lang w:eastAsia="ar-SA"/>
                </w:rPr>
              </w:pPr>
              <w:sdt>
                <w:sdtPr>
                  <w:alias w:val="Numeris"/>
                  <w:tag w:val="nr_b73efa593da9452f83095d351076d703"/>
                  <w:lock w:val="sdtLocked"/>
                  <w:richText/>
                </w:sdtPr>
                <w:sdtContent>
                  <w:r>
                    <w:rPr>
                      <w:szCs w:val="24"/>
                      <w:lang w:eastAsia="ar-SA"/>
                    </w:rPr>
                    <w:t>3</w:t>
                  </w:r>
                </w:sdtContent>
              </w:sdt>
              <w:r>
                <w:rPr>
                  <w:szCs w:val="24"/>
                  <w:lang w:eastAsia="ar-SA"/>
                </w:rPr>
                <w:t>.</w:t>
                <w:tab/>
                <w:t>Pavesti Šiaulių miesto savivaldybės administracijos Žemės valdymo skyriui šį sprendimą pateikti Nacionalinei žemės tarnybai prie Aplinkos ministerijos ir Žemės sklype esančių pastatų savininkams.</w:t>
              </w:r>
            </w:p>
            <w:p w14:paraId="425B209D" w14:textId="1A01F8D8">
              <w:pPr>
                <w:suppressAutoHyphens/>
                <w:ind w:firstLine="709"/>
                <w:jc w:val="both"/>
                <w:rPr>
                  <w:szCs w:val="24"/>
                  <w:lang w:eastAsia="ar-SA"/>
                </w:rPr>
              </w:pPr>
              <w:r>
                <w:rPr>
                  <w:szCs w:val="24"/>
                  <w:lang w:eastAsia="ar-SA"/>
                </w:rPr>
                <w:t>Šis sprendimas ne vėliau kaip per vieną mėnesį nuo jo įteikimo dienos gali būti skundžiamas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3CFEFFFA" w14:textId="77777777">
              <w:pPr>
                <w:tabs>
                  <w:tab w:val="left" w:pos="709"/>
                </w:tabs>
                <w:suppressAutoHyphens/>
                <w:ind w:firstLine="709"/>
                <w:jc w:val="both"/>
                <w:rPr>
                  <w:szCs w:val="24"/>
                  <w:lang w:eastAsia="ar-SA"/>
                </w:rPr>
              </w:pPr>
            </w:p>
            <w:p w14:paraId="4555CEB3" w14:textId="77777777">
              <w:pPr>
                <w:tabs>
                  <w:tab w:val="left" w:pos="851"/>
                  <w:tab w:val="left" w:pos="900"/>
                </w:tabs>
                <w:suppressAutoHyphens/>
                <w:ind w:firstLine="709"/>
                <w:jc w:val="both"/>
                <w:rPr>
                  <w:szCs w:val="24"/>
                  <w:lang w:eastAsia="ar-SA"/>
                </w:rPr>
              </w:pPr>
            </w:p>
            <w:p w14:paraId="56F9174E" w14:textId="77777777">
              <w:pPr>
                <w:tabs>
                  <w:tab w:val="left" w:pos="851"/>
                  <w:tab w:val="left" w:pos="900"/>
                </w:tabs>
                <w:suppressAutoHyphens/>
                <w:ind w:firstLine="709"/>
                <w:jc w:val="both"/>
                <w:rPr>
                  <w:szCs w:val="24"/>
                  <w:lang w:eastAsia="ar-SA"/>
                </w:rPr>
              </w:pPr>
            </w:p>
          </w:sdtContent>
        </w:sdt>
        <w:sdt>
          <w:sdtPr>
            <w:alias w:val="signatura"/>
            <w:tag w:val="part_82c19245d5c84dde92445f1fef7fb5d1"/>
            <w:lock w:val="sdtLocked"/>
            <w:richText/>
          </w:sdtPr>
          <w:sdtContent>
            <w:p w14:paraId="78684833" w14:textId="24B445BC">
              <w:pPr>
                <w:tabs>
                  <w:tab w:val="left" w:pos="709"/>
                </w:tabs>
                <w:suppressAutoHyphens/>
                <w:jc w:val="both"/>
                <w:rPr>
                  <w:szCs w:val="24"/>
                  <w:lang w:eastAsia="ar-SA"/>
                </w:rPr>
              </w:pPr>
              <w:r>
                <w:rPr>
                  <w:szCs w:val="24"/>
                  <w:lang w:eastAsia="ar-SA"/>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624" w:bottom="1134" w:left="1588" w:header="567" w:footer="0" w:gutter="0"/>
      <w:cols w:space="1296"/>
      <w:formProt w:val="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4ECBCF" w14:textId="77777777">
      <w:pPr>
        <w:suppressAutoHyphens/>
        <w:rPr>
          <w:lang w:eastAsia="ar-SA"/>
        </w:rPr>
      </w:pPr>
      <w:r>
        <w:rPr>
          <w:lang w:eastAsia="ar-SA"/>
        </w:rPr>
        <w:separator/>
      </w:r>
    </w:p>
  </w:endnote>
  <w:endnote w:type="continuationSeparator" w:id="0">
    <w:p w14:paraId="57AFB001" w14:textId="77777777">
      <w:pPr>
        <w:suppressAutoHyphens/>
        <w:rPr>
          <w:lang w:eastAsia="ar-SA"/>
        </w:rPr>
      </w:pPr>
      <w:r>
        <w:rPr>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DF977A" w14:textId="77777777">
    <w:pPr>
      <w:tabs>
        <w:tab w:val="center" w:pos="4153"/>
        <w:tab w:val="right" w:pos="8306"/>
      </w:tabs>
      <w:suppressAutoHyphens/>
      <w:rPr>
        <w:lang w:eastAsia="ar-SA"/>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0D06E3" w14:textId="77777777">
    <w:pPr>
      <w:tabs>
        <w:tab w:val="center" w:pos="4153"/>
        <w:tab w:val="right" w:pos="8306"/>
      </w:tabs>
      <w:suppressAutoHyphens/>
      <w:rPr>
        <w:lang w:eastAsia="ar-SA"/>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EFF7C3" w14:textId="77777777">
    <w:pPr>
      <w:tabs>
        <w:tab w:val="center" w:pos="4153"/>
        <w:tab w:val="right" w:pos="8306"/>
      </w:tabs>
      <w:suppressAutoHyphens/>
      <w:rPr>
        <w:lang w:eastAsia="ar-SA"/>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6493D9" w14:textId="77777777">
      <w:pPr>
        <w:suppressAutoHyphens/>
        <w:rPr>
          <w:lang w:eastAsia="ar-SA"/>
        </w:rPr>
      </w:pPr>
      <w:r>
        <w:rPr>
          <w:lang w:eastAsia="ar-SA"/>
        </w:rPr>
        <w:separator/>
      </w:r>
    </w:p>
  </w:footnote>
  <w:footnote w:type="continuationSeparator" w:id="0">
    <w:p w14:paraId="23122E57" w14:textId="77777777">
      <w:pPr>
        <w:suppressAutoHyphens/>
        <w:rPr>
          <w:lang w:eastAsia="ar-SA"/>
        </w:rPr>
      </w:pPr>
      <w:r>
        <w:rPr>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B0A4F9" w14:textId="77777777">
    <w:pPr>
      <w:suppressLineNumbers/>
      <w:tabs>
        <w:tab w:val="center" w:pos="5385"/>
        <w:tab w:val="right" w:pos="10771"/>
      </w:tabs>
      <w:suppressAutoHyphens/>
      <w:rPr>
        <w:lang w:eastAsia="ar-SA"/>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99408B" w14:textId="77777777">
    <w:pPr>
      <w:suppressLineNumbers/>
      <w:tabs>
        <w:tab w:val="center" w:pos="5385"/>
        <w:tab w:val="right" w:pos="10771"/>
      </w:tabs>
      <w:suppressAutoHyphens/>
      <w:jc w:val="center"/>
      <w:rPr>
        <w:lang w:eastAsia="ar-SA"/>
      </w:rPr>
    </w:pPr>
    <w:r>
      <w:rPr>
        <w:lang w:eastAsia="ar-SA"/>
      </w:rPr>
      <w:fldChar w:fldCharType="begin"/>
    </w:r>
    <w:r>
      <w:rPr>
        <w:lang w:eastAsia="ar-SA"/>
      </w:rPr>
      <w:instrText>PAGE</w:instrText>
    </w:r>
    <w:r>
      <w:rPr>
        <w:lang w:eastAsia="ar-SA"/>
      </w:rPr>
      <w:fldChar w:fldCharType="separate"/>
    </w:r>
    <w:r>
      <w:rPr>
        <w:lang w:eastAsia="ar-SA"/>
      </w:rPr>
      <w:t>0</w:t>
    </w:r>
    <w:r>
      <w:rPr>
        <w:lang w:eastAsia="ar-SA"/>
      </w:rPr>
      <w:fldChar w:fldCharType="end"/>
    </w:r>
  </w:p>
  <w:p w14:paraId="1F4E17C6" w14:textId="77777777">
    <w:pPr>
      <w:tabs>
        <w:tab w:val="center" w:pos="4819"/>
      </w:tabs>
      <w:suppressAutoHyphens/>
      <w:rPr>
        <w:b/>
        <w:bCs/>
        <w:shd w:val="clear" w:color="auto" w:fill="FFFFFF"/>
        <w:lang w:eastAsia="ar-SA"/>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A15368" w14:textId="2AA9290B">
    <w:pPr>
      <w:suppressLineNumbers/>
      <w:tabs>
        <w:tab w:val="center" w:pos="5385"/>
        <w:tab w:val="right" w:pos="10771"/>
      </w:tabs>
      <w:suppressAutoHyphens/>
      <w:rPr>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70"/>
  <w:hyphenationZone w:val="396"/>
  <w:doNotHyphenateCaps/>
  <w:characterSpacingControl w:val="doNotCompres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23B9"/>
  </w:rsids>
  <m:mathPr>
    <m:mathFont m:val="Cambria Math"/>
    <m:brkBin m:val="before"/>
    <m:brkBinSub m:val="--"/>
    <m:smallFrac m:val="0"/>
    <m:dispDef/>
    <m:lMargin m:val="0"/>
    <m:rMargin m:val="0"/>
    <m:defJc m:val="centerGroup"/>
    <m:wrapIndent m:val="1440"/>
    <m:intLim m:val="subSup"/>
    <m:naryLim m:val="undOvr"/>
  </m:mathPr>
  <w:themeFontLang w:val="lt-L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DBDCEF1"/>
  <w15:docId w15:val="{CD9058BC-9E3D-41E6-8880-F8723D5D36D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5075192">
      <w:bodyDiv w:val="1"/>
      <w:marLeft w:val="0"/>
      <w:marRight w:val="0"/>
      <w:marTop w:val="0"/>
      <w:marBottom w:val="0"/>
      <w:divBdr>
        <w:top w:val="none" w:sz="0" w:space="0" w:color="auto"/>
        <w:left w:val="none" w:sz="0" w:space="0" w:color="auto"/>
        <w:bottom w:val="none" w:sz="0" w:space="0" w:color="auto"/>
        <w:right w:val="none" w:sz="0" w:space="0" w:color="auto"/>
      </w:divBdr>
    </w:div>
    <w:div w:id="322852990">
      <w:bodyDiv w:val="1"/>
      <w:marLeft w:val="0"/>
      <w:marRight w:val="0"/>
      <w:marTop w:val="0"/>
      <w:marBottom w:val="0"/>
      <w:divBdr>
        <w:top w:val="none" w:sz="0" w:space="0" w:color="auto"/>
        <w:left w:val="none" w:sz="0" w:space="0" w:color="auto"/>
        <w:bottom w:val="none" w:sz="0" w:space="0" w:color="auto"/>
        <w:right w:val="none" w:sz="0" w:space="0" w:color="auto"/>
      </w:divBdr>
    </w:div>
    <w:div w:id="1488860755">
      <w:bodyDiv w:val="1"/>
      <w:marLeft w:val="0"/>
      <w:marRight w:val="0"/>
      <w:marTop w:val="0"/>
      <w:marBottom w:val="0"/>
      <w:divBdr>
        <w:top w:val="none" w:sz="0" w:space="0" w:color="auto"/>
        <w:left w:val="none" w:sz="0" w:space="0" w:color="auto"/>
        <w:bottom w:val="none" w:sz="0" w:space="0" w:color="auto"/>
        <w:right w:val="none" w:sz="0" w:space="0" w:color="auto"/>
      </w:divBdr>
    </w:div>
    <w:div w:id="17503434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2e9439bb73a04f058cbd2f0852063d3c" PartId="eda86cfee35e4e639814ee3717013cfb">
    <Part Type="preambule" DocPartId="e7b1336c351c41aa9d6957fbc72c9b31" PartId="9d5f237e83c54da989d9276529a6041c"/>
    <Part Type="punktas" Nr="1" Abbr="1 p." DocPartId="018581a1949c4ad8a3f1fa7c676ba181" PartId="22febc9de131456b91b2ec6d3980ffa3"/>
    <Part Type="punktas" Nr="2" Abbr="2 p." DocPartId="d5ed1fc29e6c4bc58a911ca45663432a" PartId="6771cfd2e1b540b1861950b857d74648">
      <Part Type="papunktis" Nr="2.1" Abbr="2.1 pp." DocPartId="5aac025d6e9345daa9fb7992f289490f" PartId="880f2405303b4c659a3ff47d7288162f"/>
      <Part Type="papunktis" Nr="2.2" Abbr="2.2 pp." DocPartId="6d27f4079be44a428e60dfdd645f7f93" PartId="2bdfe674a608404880a7e501b806a295"/>
    </Part>
    <Part Type="punktas" Nr="3" Abbr="3 p." DocPartId="b8bd7384db164c70b7599eaf1d669ce7" PartId="b73efa593da9452f83095d351076d703"/>
    <Part Type="signatura" DocPartId="1485a6837e16454cb8d649bdcb61b9f0" PartId="82c19245d5c84dde92445f1fef7fb5d1"/>
  </Part>
</Parts>
</file>

<file path=customXml/itemProps1.xml><?xml version="1.0" encoding="utf-8"?>
<ds:datastoreItem xmlns:ds="http://schemas.openxmlformats.org/officeDocument/2006/customXml" ds:itemID="{A445863C-9688-4C95-A086-D08F9ADE371D}">
  <ds:schemaRefs>
    <ds:schemaRef ds:uri="http://schemas.openxmlformats.org/officeDocument/2006/bibliography"/>
  </ds:schemaRefs>
</ds:datastoreItem>
</file>

<file path=customXml/itemProps2.xml><?xml version="1.0" encoding="utf-8"?>
<ds:datastoreItem xmlns:ds="http://schemas.openxmlformats.org/officeDocument/2006/customXml" ds:itemID="{16BC85AA-C602-4BD1-B525-E8E1C5194E4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355</Words>
  <Characters>2361</Characters>
  <Application>Microsoft Office Word</Application>
  <DocSecurity>4</DocSecurity>
  <Lines>43</Lines>
  <Paragraphs>15</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2701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2025-02-21T08:18:00Z</dcterms:created>
  <dc:creator>Evaldas</dc:creator>
  <dc:language>en-US</dc:language>
  <lastModifiedBy>adlibuser</lastModifiedBy>
  <lastPrinted>2024-03-13T11:16:00Z</lastPrinted>
  <dcterms:modified xsi:type="dcterms:W3CDTF">2025-02-21T08:18:00Z</dcterms:modified>
  <revision>2</revision>
</coreProperties>
</file>