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d4987496d37477ca37e3ca485be1950"/>
        <w:lock w:val="sdtLocked"/>
        <w:richText/>
      </w:sdtPr>
      <w:sdtContent>
        <w:p>
          <w:pPr>
            <w:tabs>
              <w:tab w:val="left" w:pos="6732"/>
            </w:tabs>
            <w:ind w:firstLine="6732"/>
            <w:rPr>
              <w:b/>
              <w:bCs/>
              <w:szCs w:val="24"/>
            </w:rPr>
          </w:pPr>
          <w:r>
            <w:rPr>
              <w:b/>
              <w:bCs/>
              <w:szCs w:val="24"/>
            </w:rPr>
            <w:t>Projektas</w:t>
          </w:r>
        </w:p>
        <w:p>
          <w:pPr>
            <w:tabs>
              <w:tab w:val="left" w:pos="6732"/>
            </w:tabs>
            <w:ind w:firstLine="6732"/>
            <w:rPr>
              <w:szCs w:val="24"/>
            </w:rPr>
          </w:pPr>
          <w:r>
            <w:rPr>
              <w:szCs w:val="24"/>
            </w:rPr>
            <w:t>Nr. TSP-</w:t>
          </w:r>
        </w:p>
        <w:p>
          <w:pPr>
            <w:suppressAutoHyphens/>
            <w:jc w:val="center"/>
            <w:rPr>
              <w:b/>
              <w:szCs w:val="24"/>
              <w:lang w:eastAsia="ar-SA"/>
            </w:rPr>
          </w:pPr>
        </w:p>
        <w:p>
          <w:pPr>
            <w:suppressAutoHyphens/>
            <w:jc w:val="center"/>
            <w:rPr>
              <w:b/>
              <w:szCs w:val="24"/>
              <w:lang w:eastAsia="ar-SA"/>
            </w:rPr>
          </w:pPr>
          <w:r>
            <w:rPr>
              <w:b/>
              <w:szCs w:val="24"/>
              <w:lang w:eastAsia="ar-SA"/>
            </w:rPr>
            <w:t>RADVILIŠKIO RAJONO SAVIVALDYBĖS TARYBA</w:t>
          </w:r>
        </w:p>
        <w:p>
          <w:pPr>
            <w:suppressAutoHyphens/>
            <w:jc w:val="center"/>
            <w:rPr>
              <w:b/>
              <w:szCs w:val="24"/>
              <w:lang w:eastAsia="ar-SA"/>
            </w:rPr>
          </w:pPr>
        </w:p>
        <w:p>
          <w:pPr>
            <w:suppressAutoHyphens/>
            <w:jc w:val="center"/>
            <w:rPr>
              <w:b/>
              <w:szCs w:val="24"/>
              <w:lang w:eastAsia="ar-SA"/>
            </w:rPr>
          </w:pPr>
          <w:r>
            <w:rPr>
              <w:b/>
              <w:szCs w:val="24"/>
              <w:lang w:eastAsia="ar-SA"/>
            </w:rPr>
            <w:t>SPRENDIMAS</w:t>
          </w:r>
        </w:p>
        <w:p>
          <w:pPr>
            <w:suppressAutoHyphens/>
            <w:jc w:val="center"/>
            <w:rPr>
              <w:b/>
              <w:caps/>
              <w:szCs w:val="24"/>
              <w:lang w:eastAsia="ar-SA"/>
            </w:rPr>
          </w:pPr>
          <w:r>
            <w:rPr>
              <w:b/>
              <w:szCs w:val="24"/>
              <w:lang w:eastAsia="ar-SA"/>
            </w:rPr>
            <w:t xml:space="preserve">DĖL SAVIVALDYBĖS TURTO PERDAVIMO VALDYTI, NAUDOTI IR DISPONUOTI JUO PATIKĖJIMO TEISE PAGAL PATIKĖJIMO SUTARTĮ </w:t>
          </w:r>
          <w:r>
            <w:rPr>
              <w:b/>
              <w:caps/>
              <w:szCs w:val="24"/>
              <w:lang w:eastAsia="ar-SA"/>
            </w:rPr>
            <w:t>VIEŠajai ĮSTAIGai Radviliškio rajono pirminės sveikatos priežiūros centrui</w:t>
          </w:r>
        </w:p>
        <w:p>
          <w:pPr>
            <w:suppressAutoHyphens/>
            <w:jc w:val="center"/>
            <w:rPr>
              <w:b/>
              <w:szCs w:val="24"/>
              <w:lang w:eastAsia="ar-SA"/>
            </w:rPr>
          </w:pPr>
        </w:p>
        <w:p>
          <w:pPr>
            <w:suppressAutoHyphens/>
            <w:jc w:val="center"/>
            <w:rPr>
              <w:szCs w:val="24"/>
              <w:lang w:eastAsia="ar-SA"/>
            </w:rPr>
          </w:pPr>
          <w:r>
            <w:rPr>
              <w:szCs w:val="24"/>
              <w:lang w:eastAsia="ar-SA"/>
            </w:rPr>
            <w:t xml:space="preserve">2025 m.                         d. Nr. T-</w:t>
          </w:r>
        </w:p>
        <w:p>
          <w:pPr>
            <w:suppressAutoHyphens/>
            <w:jc w:val="center"/>
            <w:rPr>
              <w:szCs w:val="24"/>
              <w:lang w:eastAsia="ar-SA"/>
            </w:rPr>
          </w:pPr>
          <w:r>
            <w:rPr>
              <w:szCs w:val="24"/>
              <w:lang w:eastAsia="ar-SA"/>
            </w:rPr>
            <w:t>Radviliškis</w:t>
          </w:r>
        </w:p>
        <w:p>
          <w:pPr>
            <w:suppressAutoHyphens/>
            <w:ind w:firstLine="720"/>
            <w:jc w:val="both"/>
            <w:rPr>
              <w:color w:val="FF0000"/>
              <w:szCs w:val="24"/>
            </w:rPr>
          </w:pPr>
        </w:p>
        <w:sdt>
          <w:sdtPr>
            <w:alias w:val="preambule"/>
            <w:tag w:val="part_53e9922c60dc4e32aa7aaec8c4137bdc"/>
            <w:lock w:val="sdtLocked"/>
            <w:richText/>
          </w:sdtPr>
          <w:sdtContent>
            <w:p>
              <w:pPr>
                <w:suppressAutoHyphens/>
                <w:ind w:firstLine="720"/>
                <w:jc w:val="both"/>
                <w:rPr>
                  <w:szCs w:val="24"/>
                  <w:lang w:eastAsia="ar-SA"/>
                </w:rPr>
              </w:pPr>
              <w:r>
                <w:rPr>
                  <w:szCs w:val="24"/>
                  <w:lang w:eastAsia="ar-SA"/>
                </w:rPr>
                <w:t xml:space="preserve">Vadovaudamasi Lietuvos Respublikos vietos savivaldos įstatymo </w:t>
              </w:r>
              <w:r>
                <w:rPr>
                  <w:szCs w:val="24"/>
                </w:rPr>
                <w:t>15 straipsnio 2 dalies 19 punktu</w:t>
              </w:r>
              <w:r>
                <w:rPr>
                  <w:szCs w:val="24"/>
                  <w:lang w:eastAsia="ar-SA"/>
                </w:rPr>
                <w:t xml:space="preserve">, Lietuvos Respublikos sveikatos priežiūros įstaigų įstatymo 36 straipsnio 3 ir 4 dalimis, Lietuvos Respublikos valstybės ir savivaldybių turto valdymo, naudojimo ir disponavimo juo įstatymo 12 straipsnio 1 ir 3 dalimis, </w:t>
              </w:r>
              <w:r>
                <w:rPr>
                  <w:kern w:val="24"/>
                  <w:szCs w:val="24"/>
                </w:rPr>
                <w:t>įgyvendindama</w:t>
              </w:r>
              <w:r>
                <w:rPr>
                  <w:szCs w:val="24"/>
                </w:rPr>
                <w:t xml:space="preserve"> </w:t>
              </w:r>
              <w:r>
                <w:rPr>
                  <w:szCs w:val="24"/>
                  <w:lang w:eastAsia="ar-SA"/>
                </w:rPr>
                <w:t xml:space="preserve">Radviliškio rajono savivaldybei nuosavybės teise priklausančio turto perdavimo savivaldybės viešosioms asmens sveikatos priežiūros įstaigoms patikėjimo teise pagal patikėjimo sutartį tvarkos aprašo, patvirtinto Radviliškio rajono savivaldybės tarybos 2020 m. rugsėjo 10 d. sprendimu Nr. T-320 „Dėl </w:t>
              </w:r>
              <w:r>
                <w:rPr>
                  <w:bCs/>
                  <w:szCs w:val="24"/>
                  <w:lang w:eastAsia="ar-SA"/>
                </w:rPr>
                <w:t xml:space="preserve">Radviliškio rajono savivaldybei nuosavybės teise priklausančio turto perdavimo savivaldybės viešosioms asmens sveikatos priežiūros įstaigoms patikėjimo teise pagal patikėjimo sutartį  tvarkos aprašo patvirtinimo“</w:t>
              </w:r>
              <w:r>
                <w:rPr>
                  <w:szCs w:val="24"/>
                  <w:lang w:eastAsia="ar-SA"/>
                </w:rPr>
                <w:t xml:space="preserve">, nuostatas, atsižvelgdama į viešosios įstaigos Radviliškio rajono pirminės sveikatos priežiūros centro 2025 m. vasario 25 d. raštą Nr. </w:t>
              </w:r>
              <w:r>
                <w:rPr>
                  <w:szCs w:val="24"/>
                  <w:lang w:eastAsia="lt-LT"/>
                </w:rPr>
                <w:t xml:space="preserve">S-241 (4.8), </w:t>
              </w:r>
              <w:r>
                <w:rPr>
                  <w:szCs w:val="24"/>
                  <w:lang w:eastAsia="ar-SA"/>
                </w:rPr>
                <w:t>Radviliškio rajono savivaldybės taryba</w:t>
              </w:r>
              <w:r>
                <w:rPr>
                  <w:spacing w:val="60"/>
                  <w:szCs w:val="24"/>
                  <w:lang w:eastAsia="ar-SA"/>
                </w:rPr>
                <w:t xml:space="preserve"> </w:t>
              </w:r>
              <w:r>
                <w:rPr>
                  <w:spacing w:val="42"/>
                  <w:szCs w:val="24"/>
                  <w:lang w:eastAsia="ar-SA"/>
                </w:rPr>
                <w:t>nusprendži</w:t>
              </w:r>
              <w:r>
                <w:rPr>
                  <w:szCs w:val="24"/>
                  <w:lang w:eastAsia="ar-SA"/>
                </w:rPr>
                <w:t>a:</w:t>
              </w:r>
            </w:p>
          </w:sdtContent>
        </w:sdt>
        <w:sdt>
          <w:sdtPr>
            <w:alias w:val="1 p."/>
            <w:tag w:val="part_9caf1e06f0e64e779d0cf81af5ead438"/>
            <w:lock w:val="sdtLocked"/>
            <w:richText/>
          </w:sdtPr>
          <w:sdtContent>
            <w:p>
              <w:pPr>
                <w:widowControl w:val="0"/>
                <w:tabs>
                  <w:tab w:val="left" w:pos="1134"/>
                </w:tabs>
                <w:suppressAutoHyphens/>
                <w:ind w:firstLine="720"/>
                <w:jc w:val="both"/>
                <w:rPr>
                  <w:szCs w:val="24"/>
                </w:rPr>
              </w:pPr>
              <w:sdt>
                <w:sdtPr>
                  <w:alias w:val="Numeris"/>
                  <w:tag w:val="nr_9caf1e06f0e64e779d0cf81af5ead438"/>
                  <w:lock w:val="sdtLocked"/>
                  <w:richText/>
                </w:sdtPr>
                <w:sdtContent>
                  <w:r>
                    <w:rPr>
                      <w:color w:val="000000"/>
                      <w:szCs w:val="24"/>
                    </w:rPr>
                    <w:t>1</w:t>
                  </w:r>
                </w:sdtContent>
              </w:sdt>
              <w:r>
                <w:rPr>
                  <w:color w:val="000000"/>
                  <w:szCs w:val="24"/>
                </w:rPr>
                <w:t xml:space="preserve">. </w:t>
              </w:r>
              <w:r>
                <w:rPr>
                  <w:szCs w:val="24"/>
                </w:rPr>
                <w:tab/>
                <w:t xml:space="preserve">Perduoti viešajai įstaigai </w:t>
              </w:r>
              <w:r>
                <w:rPr>
                  <w:szCs w:val="24"/>
                  <w:lang w:eastAsia="ar-SA"/>
                </w:rPr>
                <w:t>Radviliškio rajono pirminės sveikatos priežiūros centrui (kodas – 171448918</w:t>
              </w:r>
              <w:r>
                <w:rPr>
                  <w:szCs w:val="24"/>
                </w:rPr>
                <w:t xml:space="preserve">) jos įstatuose nustatytai veiklai vykdyti ir savarankiškajai savivaldybės funkcijai – </w:t>
              </w:r>
              <w:r>
                <w:rPr>
                  <w:color w:val="000000"/>
                  <w:szCs w:val="24"/>
                  <w:shd w:val="clear" w:color="auto" w:fill="FFFFFF"/>
                </w:rPr>
                <w:t xml:space="preserve">pirminė asmens ir visuomenės sveikatos priežiūra (įstaigų steigimas, reorganizavimas, likvidavimas, išlaikymas) </w:t>
              </w:r>
              <w:r>
                <w:rPr>
                  <w:color w:val="000000"/>
                  <w:szCs w:val="24"/>
                </w:rPr>
                <w:t>–</w:t>
              </w:r>
              <w:r>
                <w:rPr>
                  <w:szCs w:val="24"/>
                </w:rPr>
                <w:t xml:space="preserve"> įgyvendinti patikėjimo teise pagal patikėjimo sutartį </w:t>
              </w:r>
              <w:r>
                <w:rPr>
                  <w:rFonts w:eastAsia="Calibri"/>
                  <w:szCs w:val="24"/>
                </w:rPr>
                <w:t xml:space="preserve">iki 2044 m. spalio 13 d. </w:t>
              </w:r>
              <w:r>
                <w:rPr>
                  <w:szCs w:val="24"/>
                </w:rPr>
                <w:t xml:space="preserve">Radviliškio rajono savivaldybei nuosavybės teise </w:t>
              </w:r>
              <w:r>
                <w:t xml:space="preserve">priklausantį ilgalaikį ir trumpalaikį materialųjį turtą, įgytą įgyvendinus Europos Sąjungos struktūrinių fondų paramos lėšomis, Lietuvos valstybės biudžeto ir Radviliškio rajono savivaldybės biudžeto lėšomis finansuojamą projektą „VšĮ Radviliškio rajono pirminės sveikatos priežiūros centro mobilios komandos aprūpinimas įranga ir transporto </w:t>
              </w:r>
              <w:r>
                <w:rPr>
                  <w:szCs w:val="24"/>
                </w:rPr>
                <w:t>priemone“ (projekto kodas: 09-010-P-0002), ilgalaikį materialųjį turtą,</w:t>
              </w:r>
              <w:r>
                <w:rPr>
                  <w:bCs/>
                  <w:szCs w:val="24"/>
                </w:rPr>
                <w:t xml:space="preserve"> kurio bendra įsigijimo (likutinė) vertė – </w:t>
              </w:r>
              <w:r>
                <w:rPr>
                  <w:szCs w:val="24"/>
                  <w:lang w:eastAsia="lt-LT"/>
                </w:rPr>
                <w:t xml:space="preserve">40 918,00 </w:t>
              </w:r>
              <w:r>
                <w:rPr>
                  <w:bCs/>
                  <w:szCs w:val="24"/>
                </w:rPr>
                <w:t xml:space="preserve">Eur, ir </w:t>
              </w:r>
              <w:r>
                <w:rPr>
                  <w:szCs w:val="24"/>
                </w:rPr>
                <w:t xml:space="preserve">trumpalaikį materialųjį turtą, kurio bendra įsigijimo vertė – </w:t>
              </w:r>
              <w:r>
                <w:rPr>
                  <w:szCs w:val="24"/>
                  <w:lang w:eastAsia="lt-LT"/>
                </w:rPr>
                <w:t>920,09</w:t>
              </w:r>
              <w:r>
                <w:rPr>
                  <w:szCs w:val="24"/>
                  <w:lang w:eastAsia="en-GB"/>
                </w:rPr>
                <w:t xml:space="preserve"> </w:t>
              </w:r>
              <w:r>
                <w:rPr>
                  <w:szCs w:val="24"/>
                </w:rPr>
                <w:t>Eur (priedas).</w:t>
              </w:r>
            </w:p>
          </w:sdtContent>
        </w:sdt>
        <w:sdt>
          <w:sdtPr>
            <w:alias w:val="2 p."/>
            <w:tag w:val="part_80af02bb892441e6880b231762ff684d"/>
            <w:lock w:val="sdtLocked"/>
            <w:richText/>
          </w:sdtPr>
          <w:sdtContent>
            <w:p>
              <w:pPr>
                <w:widowControl w:val="0"/>
                <w:tabs>
                  <w:tab w:val="left" w:pos="1134"/>
                </w:tabs>
                <w:suppressAutoHyphens/>
                <w:ind w:firstLine="720"/>
                <w:jc w:val="both"/>
                <w:rPr>
                  <w:szCs w:val="24"/>
                </w:rPr>
              </w:pPr>
              <w:sdt>
                <w:sdtPr>
                  <w:alias w:val="Numeris"/>
                  <w:tag w:val="nr_80af02bb892441e6880b231762ff684d"/>
                  <w:lock w:val="sdtLocked"/>
                  <w:richText/>
                </w:sdtPr>
                <w:sdtContent>
                  <w:r>
                    <w:rPr>
                      <w:color w:val="000000"/>
                      <w:szCs w:val="24"/>
                    </w:rPr>
                    <w:t>2</w:t>
                  </w:r>
                </w:sdtContent>
              </w:sdt>
              <w:r>
                <w:rPr>
                  <w:color w:val="000000"/>
                  <w:szCs w:val="24"/>
                </w:rPr>
                <w:t xml:space="preserve">. </w:t>
              </w:r>
              <w:r>
                <w:rPr>
                  <w:szCs w:val="24"/>
                </w:rPr>
                <w:tab/>
              </w:r>
              <w:r>
                <w:rPr>
                  <w:szCs w:val="24"/>
                  <w:lang w:eastAsia="ar-SA"/>
                </w:rPr>
                <w:t>Įgalioti Radviliškio rajono savivaldybės administracijos direktorių Radviliškio rajono savivaldybės vardu pasirašyti turto patikėjimo sutartį</w:t>
              </w:r>
              <w:r>
                <w:rPr>
                  <w:szCs w:val="24"/>
                </w:rPr>
                <w:t>.</w:t>
              </w:r>
            </w:p>
          </w:sdtContent>
        </w:sdt>
        <w:sdt>
          <w:sdtPr>
            <w:alias w:val="3 p."/>
            <w:tag w:val="part_d0c1673a4cb947dab8aca35f9de3d390"/>
            <w:lock w:val="sdtLocked"/>
            <w:richText/>
          </w:sdtPr>
          <w:sdtContent>
            <w:p>
              <w:pPr>
                <w:widowControl w:val="0"/>
                <w:tabs>
                  <w:tab w:val="left" w:pos="1134"/>
                </w:tabs>
                <w:suppressAutoHyphens/>
                <w:ind w:firstLine="720"/>
                <w:jc w:val="both"/>
                <w:rPr>
                  <w:szCs w:val="24"/>
                </w:rPr>
              </w:pPr>
              <w:sdt>
                <w:sdtPr>
                  <w:alias w:val="Numeris"/>
                  <w:tag w:val="nr_d0c1673a4cb947dab8aca35f9de3d390"/>
                  <w:lock w:val="sdtLocked"/>
                  <w:richText/>
                </w:sdtPr>
                <w:sdtContent>
                  <w:r>
                    <w:rPr>
                      <w:color w:val="000000"/>
                      <w:szCs w:val="24"/>
                    </w:rPr>
                    <w:t>3</w:t>
                  </w:r>
                </w:sdtContent>
              </w:sdt>
              <w:r>
                <w:rPr>
                  <w:color w:val="000000"/>
                  <w:szCs w:val="24"/>
                </w:rPr>
                <w:t xml:space="preserve">. </w:t>
              </w:r>
              <w:r>
                <w:rPr>
                  <w:szCs w:val="24"/>
                </w:rPr>
                <w:tab/>
                <w:t>Įgalioti Radviliškio rajono savivaldybės administracijos Investicijų ir turto valdymo skyriaus vedėją perduoti sprendime nurodytą turtą ir pasirašyti turto perdavimo ir priėmimo aktą.</w:t>
              </w:r>
            </w:p>
          </w:sdtContent>
        </w:sdt>
        <w:sdt>
          <w:sdtPr>
            <w:alias w:val="4 p."/>
            <w:tag w:val="part_c93ed1dec28742f69ffb3cb1f2975dd4"/>
            <w:lock w:val="sdtLocked"/>
            <w:richText/>
          </w:sdtPr>
          <w:sdtContent>
            <w:p>
              <w:pPr>
                <w:widowControl w:val="0"/>
                <w:tabs>
                  <w:tab w:val="left" w:pos="1134"/>
                </w:tabs>
                <w:suppressAutoHyphens/>
                <w:ind w:firstLine="720"/>
                <w:jc w:val="both"/>
                <w:rPr>
                  <w:szCs w:val="24"/>
                </w:rPr>
              </w:pPr>
              <w:sdt>
                <w:sdtPr>
                  <w:alias w:val="Numeris"/>
                  <w:tag w:val="nr_c93ed1dec28742f69ffb3cb1f2975dd4"/>
                  <w:lock w:val="sdtLocked"/>
                  <w:richText/>
                </w:sdtPr>
                <w:sdtContent>
                  <w:r>
                    <w:rPr>
                      <w:color w:val="000000"/>
                      <w:szCs w:val="24"/>
                    </w:rPr>
                    <w:t>4</w:t>
                  </w:r>
                </w:sdtContent>
              </w:sdt>
              <w:r>
                <w:rPr>
                  <w:color w:val="000000"/>
                  <w:szCs w:val="24"/>
                </w:rPr>
                <w:t xml:space="preserve">. </w:t>
              </w:r>
              <w:r>
                <w:rPr>
                  <w:szCs w:val="24"/>
                </w:rPr>
                <w:tab/>
              </w:r>
              <w:r>
                <w:t>Nurodyti, kad šis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p>
            <w:p>
              <w:pPr>
                <w:rPr>
                  <w:kern w:val="2"/>
                  <w:szCs w:val="24"/>
                </w:rPr>
              </w:pPr>
            </w:p>
            <w:p>
              <w:pPr>
                <w:rPr>
                  <w:kern w:val="2"/>
                  <w:szCs w:val="24"/>
                </w:rPr>
              </w:pPr>
            </w:p>
            <w:p>
              <w:pPr>
                <w:rPr>
                  <w:kern w:val="2"/>
                  <w:szCs w:val="24"/>
                </w:rPr>
              </w:pPr>
            </w:p>
          </w:sdtContent>
        </w:sdt>
        <w:sdt>
          <w:sdtPr>
            <w:alias w:val="signatura"/>
            <w:tag w:val="part_f478a882fd2644aa9be25f87c10193fc"/>
            <w:lock w:val="sdtLocked"/>
            <w:richText/>
          </w:sdtPr>
          <w:sdtContent>
            <w:p>
              <w:r>
                <w:t>Savivaldybės meras</w:t>
                <w:tab/>
                <w:tab/>
                <w:tab/>
                <w:tab/>
                <w:tab/>
                <w:tab/>
                <w:tab/>
                <w:tab/>
                <w:t xml:space="preserve">  </w:t>
              </w:r>
            </w:p>
            <w:p>
              <w:r>
                <w:br w:type="page"/>
              </w:r>
            </w:p>
          </w:sdtContent>
        </w:sdt>
      </w:sdtContent>
    </w:sdt>
    <w:sdt>
      <w:sdtPr>
        <w:alias w:val="pr."/>
        <w:tag w:val="part_ef5dae7a0dff4bea987e53ecb8b105df"/>
        <w:lock w:val="sdtLocked"/>
        <w:richText/>
      </w:sdtPr>
      <w:sdtContent>
        <w:p>
          <w:pPr>
            <w:ind w:firstLine="5040"/>
            <w:rPr>
              <w:szCs w:val="24"/>
            </w:rPr>
          </w:pPr>
          <w:r>
            <w:rPr>
              <w:szCs w:val="24"/>
            </w:rPr>
            <w:t>Radviliškio rajono savivaldybės tarybos</w:t>
          </w:r>
        </w:p>
        <w:p>
          <w:pPr>
            <w:ind w:firstLine="5040"/>
            <w:rPr>
              <w:szCs w:val="24"/>
            </w:rPr>
          </w:pPr>
          <w:r>
            <w:rPr>
              <w:szCs w:val="24"/>
            </w:rPr>
            <w:t xml:space="preserve">2025 m.                  d. sprendimo Nr. T-</w:t>
          </w:r>
        </w:p>
        <w:p>
          <w:pPr>
            <w:ind w:firstLine="5040"/>
            <w:rPr>
              <w:szCs w:val="24"/>
            </w:rPr>
          </w:pPr>
          <w:r>
            <w:rPr>
              <w:szCs w:val="24"/>
            </w:rPr>
            <w:t>priedas</w:t>
          </w:r>
        </w:p>
        <w:p>
          <w:pPr>
            <w:rPr>
              <w:szCs w:val="24"/>
            </w:rPr>
          </w:pPr>
        </w:p>
        <w:p>
          <w:pPr>
            <w:jc w:val="center"/>
            <w:rPr>
              <w:b/>
              <w:bCs/>
              <w:caps/>
              <w:szCs w:val="24"/>
            </w:rPr>
          </w:pPr>
          <w:sdt>
            <w:sdtPr>
              <w:alias w:val="Pavadinimas"/>
              <w:tag w:val="title_ef5dae7a0dff4bea987e53ecb8b105df"/>
              <w:lock w:val="sdtLocked"/>
              <w:richText/>
            </w:sdtPr>
            <w:sdtContent>
              <w:r>
                <w:rPr>
                  <w:b/>
                  <w:caps/>
                  <w:szCs w:val="24"/>
                  <w:lang w:eastAsia="ar-SA"/>
                </w:rPr>
                <w:t xml:space="preserve">viešajai įstaigai Radviliškio rajono pirminės sveikatos priežiūros centrui patikėjimo teise pagal patikėjimo sutartį perduodamo </w:t>
              </w:r>
              <w:r>
                <w:rPr>
                  <w:b/>
                  <w:bCs/>
                  <w:caps/>
                  <w:szCs w:val="24"/>
                </w:rPr>
                <w:t>SAVIVALDYBĖS TURTO SĄRAŠAS</w:t>
              </w:r>
            </w:sdtContent>
          </w:sdt>
        </w:p>
        <w:p>
          <w:pPr>
            <w:jc w:val="center"/>
            <w:rPr>
              <w:b/>
              <w:bCs/>
              <w:szCs w:val="24"/>
            </w:rPr>
          </w:pPr>
        </w:p>
        <w:p>
          <w:pPr>
            <w:jc w:val="center"/>
            <w:rPr>
              <w:b/>
              <w:bCs/>
              <w:szCs w:val="24"/>
            </w:rPr>
          </w:pPr>
          <w:r>
            <w:rPr>
              <w:szCs w:val="24"/>
            </w:rPr>
            <w:t>1 lentelė. Ilgalaikis materialusis turtas</w:t>
          </w: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1"/>
            <w:gridCol w:w="5386"/>
            <w:gridCol w:w="1559"/>
            <w:gridCol w:w="1134"/>
            <w:gridCol w:w="1134"/>
          </w:tblGrid>
          <w:tr>
            <w:trPr>
              <w:trHeight w:val="340"/>
              <w:jc w:val="center"/>
            </w:trPr>
            <w:tc>
              <w:tcPr>
                <w:tcW w:w="421" w:type="dxa"/>
                <w:vMerge w:val="restart"/>
                <w:vAlign w:val="center"/>
              </w:tcPr>
              <w:p>
                <w:pPr>
                  <w:ind w:left="-113" w:right="-113"/>
                  <w:jc w:val="center"/>
                  <w:rPr>
                    <w:b/>
                    <w:bCs/>
                    <w:szCs w:val="24"/>
                    <w:lang w:eastAsia="lt-LT"/>
                  </w:rPr>
                </w:pPr>
                <w:r>
                  <w:rPr>
                    <w:b/>
                    <w:bCs/>
                    <w:szCs w:val="24"/>
                    <w:lang w:eastAsia="lt-LT"/>
                  </w:rPr>
                  <w:t>Eil.</w:t>
                </w:r>
              </w:p>
              <w:p>
                <w:pPr>
                  <w:ind w:left="-113" w:right="-113"/>
                  <w:jc w:val="center"/>
                  <w:rPr>
                    <w:b/>
                    <w:bCs/>
                    <w:szCs w:val="24"/>
                    <w:lang w:eastAsia="lt-LT"/>
                  </w:rPr>
                </w:pPr>
                <w:r>
                  <w:rPr>
                    <w:b/>
                    <w:bCs/>
                    <w:szCs w:val="24"/>
                    <w:lang w:eastAsia="lt-LT"/>
                  </w:rPr>
                  <w:t>Nr.</w:t>
                </w:r>
              </w:p>
            </w:tc>
            <w:tc>
              <w:tcPr>
                <w:tcW w:w="5386" w:type="dxa"/>
                <w:vMerge w:val="restart"/>
                <w:vAlign w:val="center"/>
              </w:tcPr>
              <w:p>
                <w:pPr>
                  <w:jc w:val="center"/>
                  <w:rPr>
                    <w:b/>
                    <w:bCs/>
                    <w:szCs w:val="24"/>
                    <w:lang w:eastAsia="lt-LT"/>
                  </w:rPr>
                </w:pPr>
                <w:r>
                  <w:rPr>
                    <w:b/>
                    <w:bCs/>
                    <w:szCs w:val="24"/>
                    <w:lang w:eastAsia="lt-LT"/>
                  </w:rPr>
                  <w:t>Turto pavadinimas, apibūdinimas</w:t>
                </w:r>
              </w:p>
            </w:tc>
            <w:tc>
              <w:tcPr>
                <w:tcW w:w="1559" w:type="dxa"/>
                <w:vMerge w:val="restart"/>
                <w:vAlign w:val="center"/>
              </w:tcPr>
              <w:p>
                <w:pPr>
                  <w:ind w:left="-113" w:right="-113"/>
                  <w:jc w:val="center"/>
                  <w:rPr>
                    <w:b/>
                    <w:bCs/>
                    <w:szCs w:val="24"/>
                    <w:lang w:eastAsia="lt-LT"/>
                  </w:rPr>
                </w:pPr>
                <w:r>
                  <w:rPr>
                    <w:b/>
                    <w:bCs/>
                    <w:szCs w:val="24"/>
                    <w:lang w:eastAsia="lt-LT"/>
                  </w:rPr>
                  <w:t xml:space="preserve">Inventoriaus </w:t>
                </w:r>
              </w:p>
              <w:p>
                <w:pPr>
                  <w:ind w:left="-113" w:right="-113"/>
                  <w:jc w:val="center"/>
                  <w:rPr>
                    <w:b/>
                    <w:bCs/>
                    <w:szCs w:val="24"/>
                    <w:lang w:eastAsia="lt-LT"/>
                  </w:rPr>
                </w:pPr>
                <w:r>
                  <w:rPr>
                    <w:b/>
                    <w:bCs/>
                    <w:szCs w:val="24"/>
                    <w:lang w:eastAsia="lt-LT"/>
                  </w:rPr>
                  <w:t>Nr.</w:t>
                </w:r>
              </w:p>
            </w:tc>
            <w:tc>
              <w:tcPr>
                <w:tcW w:w="2268" w:type="dxa"/>
                <w:gridSpan w:val="2"/>
                <w:vAlign w:val="center"/>
              </w:tcPr>
              <w:p>
                <w:pPr>
                  <w:ind w:left="-57" w:right="-57"/>
                  <w:jc w:val="center"/>
                  <w:rPr>
                    <w:b/>
                    <w:szCs w:val="24"/>
                    <w:lang w:eastAsia="lt-LT"/>
                  </w:rPr>
                </w:pPr>
                <w:r>
                  <w:rPr>
                    <w:b/>
                    <w:bCs/>
                    <w:szCs w:val="24"/>
                    <w:lang w:eastAsia="lt-LT"/>
                  </w:rPr>
                  <w:t>Vertė eurais</w:t>
                </w:r>
              </w:p>
            </w:tc>
          </w:tr>
          <w:tr>
            <w:trPr>
              <w:trHeight w:val="340"/>
              <w:jc w:val="center"/>
            </w:trPr>
            <w:tc>
              <w:tcPr>
                <w:tcW w:w="421" w:type="dxa"/>
                <w:vMerge/>
                <w:vAlign w:val="center"/>
              </w:tcPr>
              <w:p>
                <w:pPr>
                  <w:ind w:left="-113" w:right="-113"/>
                  <w:jc w:val="center"/>
                  <w:rPr>
                    <w:b/>
                    <w:bCs/>
                    <w:szCs w:val="24"/>
                    <w:lang w:eastAsia="lt-LT"/>
                  </w:rPr>
                </w:pPr>
              </w:p>
            </w:tc>
            <w:tc>
              <w:tcPr>
                <w:tcW w:w="5386" w:type="dxa"/>
                <w:vMerge/>
                <w:vAlign w:val="center"/>
              </w:tcPr>
              <w:p>
                <w:pPr>
                  <w:jc w:val="center"/>
                  <w:rPr>
                    <w:b/>
                    <w:bCs/>
                    <w:szCs w:val="24"/>
                    <w:lang w:eastAsia="lt-LT"/>
                  </w:rPr>
                </w:pPr>
              </w:p>
            </w:tc>
            <w:tc>
              <w:tcPr>
                <w:tcW w:w="1559" w:type="dxa"/>
                <w:vMerge/>
                <w:vAlign w:val="center"/>
              </w:tcPr>
              <w:p>
                <w:pPr>
                  <w:ind w:left="-113" w:right="-113"/>
                  <w:jc w:val="center"/>
                  <w:rPr>
                    <w:b/>
                    <w:bCs/>
                    <w:szCs w:val="24"/>
                    <w:lang w:eastAsia="lt-LT"/>
                  </w:rPr>
                </w:pPr>
              </w:p>
            </w:tc>
            <w:tc>
              <w:tcPr>
                <w:tcW w:w="1134" w:type="dxa"/>
                <w:vAlign w:val="center"/>
              </w:tcPr>
              <w:p>
                <w:pPr>
                  <w:ind w:left="-57" w:right="-57"/>
                  <w:jc w:val="center"/>
                  <w:rPr>
                    <w:b/>
                    <w:bCs/>
                    <w:szCs w:val="24"/>
                    <w:lang w:eastAsia="lt-LT"/>
                  </w:rPr>
                </w:pPr>
                <w:r>
                  <w:rPr>
                    <w:b/>
                    <w:bCs/>
                    <w:szCs w:val="24"/>
                    <w:lang w:eastAsia="lt-LT"/>
                  </w:rPr>
                  <w:t xml:space="preserve">įsigijimo </w:t>
                </w:r>
              </w:p>
            </w:tc>
            <w:tc>
              <w:tcPr>
                <w:tcW w:w="1134" w:type="dxa"/>
                <w:vAlign w:val="center"/>
              </w:tcPr>
              <w:p>
                <w:pPr>
                  <w:ind w:left="-57" w:right="-57"/>
                  <w:jc w:val="center"/>
                  <w:rPr>
                    <w:b/>
                    <w:szCs w:val="24"/>
                    <w:lang w:eastAsia="lt-LT"/>
                  </w:rPr>
                </w:pPr>
                <w:r>
                  <w:rPr>
                    <w:b/>
                    <w:szCs w:val="24"/>
                    <w:lang w:eastAsia="lt-LT"/>
                  </w:rPr>
                  <w:t xml:space="preserve">likutinė </w:t>
                </w:r>
              </w:p>
            </w:tc>
          </w:tr>
          <w:tr>
            <w:trPr>
              <w:trHeight w:val="413"/>
              <w:jc w:val="center"/>
            </w:trPr>
            <w:tc>
              <w:tcPr>
                <w:tcW w:w="421" w:type="dxa"/>
                <w:vAlign w:val="center"/>
              </w:tcPr>
              <w:p>
                <w:pPr>
                  <w:ind w:left="113"/>
                  <w:jc w:val="center"/>
                  <w:rPr>
                    <w:szCs w:val="24"/>
                    <w:lang w:eastAsia="lt-LT"/>
                  </w:rPr>
                </w:pPr>
                <w:r>
                  <w:rPr>
                    <w:szCs w:val="24"/>
                    <w:lang w:eastAsia="lt-LT"/>
                  </w:rPr>
                  <w:t>1.</w:t>
                  <w:tab/>
                </w:r>
              </w:p>
            </w:tc>
            <w:tc>
              <w:tcPr>
                <w:tcW w:w="5386" w:type="dxa"/>
                <w:vAlign w:val="center"/>
              </w:tcPr>
              <w:p>
                <w:pPr>
                  <w:ind w:right="-113"/>
                  <w:rPr>
                    <w:szCs w:val="24"/>
                    <w:lang w:eastAsia="lt-LT"/>
                  </w:rPr>
                </w:pPr>
                <w:r>
                  <w:rPr>
                    <w:szCs w:val="24"/>
                    <w:lang w:eastAsia="lt-LT"/>
                  </w:rPr>
                  <w:t xml:space="preserve">Automobilis VOLKSWAGEN „VW ID.3“, identifikavimo Nr. WVWZZZE17SP025815, valstybinis Nr. EC4426 </w:t>
                </w:r>
              </w:p>
            </w:tc>
            <w:tc>
              <w:tcPr>
                <w:tcW w:w="1559" w:type="dxa"/>
                <w:vAlign w:val="center"/>
              </w:tcPr>
              <w:p>
                <w:pPr>
                  <w:ind w:left="-113" w:right="-113"/>
                  <w:jc w:val="center"/>
                  <w:rPr>
                    <w:szCs w:val="24"/>
                    <w:lang w:eastAsia="lt-LT"/>
                  </w:rPr>
                </w:pPr>
                <w:r>
                  <w:rPr>
                    <w:szCs w:val="24"/>
                    <w:lang w:eastAsia="lt-LT"/>
                  </w:rPr>
                  <w:t>CA-00003789</w:t>
                </w:r>
              </w:p>
            </w:tc>
            <w:tc>
              <w:tcPr>
                <w:tcW w:w="1134" w:type="dxa"/>
                <w:vAlign w:val="center"/>
              </w:tcPr>
              <w:p>
                <w:pPr>
                  <w:ind w:left="-57"/>
                  <w:jc w:val="right"/>
                  <w:rPr>
                    <w:szCs w:val="24"/>
                    <w:lang w:eastAsia="lt-LT"/>
                  </w:rPr>
                </w:pPr>
                <w:r>
                  <w:rPr>
                    <w:szCs w:val="24"/>
                    <w:lang w:eastAsia="lt-LT"/>
                  </w:rPr>
                  <w:t>35 150,00</w:t>
                </w:r>
              </w:p>
            </w:tc>
            <w:tc>
              <w:tcPr>
                <w:tcW w:w="1134" w:type="dxa"/>
                <w:vAlign w:val="center"/>
              </w:tcPr>
              <w:p>
                <w:pPr>
                  <w:ind w:left="-57"/>
                  <w:jc w:val="right"/>
                  <w:rPr>
                    <w:szCs w:val="24"/>
                    <w:lang w:eastAsia="lt-LT"/>
                  </w:rPr>
                </w:pPr>
                <w:r>
                  <w:rPr>
                    <w:szCs w:val="24"/>
                    <w:lang w:eastAsia="lt-LT"/>
                  </w:rPr>
                  <w:t>35 150,00</w:t>
                </w:r>
              </w:p>
            </w:tc>
          </w:tr>
          <w:tr>
            <w:trPr>
              <w:trHeight w:val="624"/>
              <w:jc w:val="center"/>
            </w:trPr>
            <w:tc>
              <w:tcPr>
                <w:tcW w:w="421" w:type="dxa"/>
                <w:vAlign w:val="center"/>
              </w:tcPr>
              <w:p>
                <w:pPr>
                  <w:ind w:left="113"/>
                  <w:jc w:val="center"/>
                  <w:rPr>
                    <w:szCs w:val="24"/>
                    <w:lang w:eastAsia="lt-LT"/>
                  </w:rPr>
                </w:pPr>
                <w:r>
                  <w:rPr>
                    <w:szCs w:val="24"/>
                    <w:lang w:eastAsia="lt-LT"/>
                  </w:rPr>
                  <w:t>2.</w:t>
                  <w:tab/>
                </w:r>
              </w:p>
            </w:tc>
            <w:tc>
              <w:tcPr>
                <w:tcW w:w="5386" w:type="dxa"/>
                <w:vAlign w:val="center"/>
              </w:tcPr>
              <w:p>
                <w:pPr>
                  <w:ind w:right="-113"/>
                  <w:rPr>
                    <w:szCs w:val="24"/>
                    <w:lang w:eastAsia="lt-LT"/>
                  </w:rPr>
                </w:pPr>
                <w:r>
                  <w:rPr>
                    <w:szCs w:val="24"/>
                    <w:lang w:eastAsia="lt-LT"/>
                  </w:rPr>
                  <w:t>Elektromobilio įkrovimo stotelė „TAC-W22-G5-R-0“ (22 kW su 5 m. įkrovimo laidu)</w:t>
                </w:r>
              </w:p>
            </w:tc>
            <w:tc>
              <w:tcPr>
                <w:tcW w:w="1559" w:type="dxa"/>
                <w:vAlign w:val="center"/>
              </w:tcPr>
              <w:p>
                <w:pPr>
                  <w:ind w:left="-113" w:right="-113"/>
                  <w:jc w:val="center"/>
                  <w:rPr>
                    <w:szCs w:val="24"/>
                    <w:lang w:eastAsia="lt-LT"/>
                  </w:rPr>
                </w:pPr>
                <w:r>
                  <w:rPr>
                    <w:szCs w:val="24"/>
                    <w:lang w:eastAsia="lt-LT"/>
                  </w:rPr>
                  <w:t>CA-00003788</w:t>
                </w:r>
              </w:p>
            </w:tc>
            <w:tc>
              <w:tcPr>
                <w:tcW w:w="1134" w:type="dxa"/>
                <w:vAlign w:val="center"/>
              </w:tcPr>
              <w:p>
                <w:pPr>
                  <w:ind w:left="-57"/>
                  <w:jc w:val="right"/>
                  <w:rPr>
                    <w:szCs w:val="24"/>
                    <w:lang w:eastAsia="lt-LT"/>
                  </w:rPr>
                </w:pPr>
                <w:r>
                  <w:rPr>
                    <w:szCs w:val="24"/>
                    <w:lang w:eastAsia="lt-LT"/>
                  </w:rPr>
                  <w:t>5 768,00</w:t>
                </w:r>
              </w:p>
            </w:tc>
            <w:tc>
              <w:tcPr>
                <w:tcW w:w="1134" w:type="dxa"/>
                <w:vAlign w:val="center"/>
              </w:tcPr>
              <w:p>
                <w:pPr>
                  <w:ind w:left="-57"/>
                  <w:jc w:val="right"/>
                  <w:rPr>
                    <w:szCs w:val="24"/>
                    <w:lang w:eastAsia="lt-LT"/>
                  </w:rPr>
                </w:pPr>
                <w:r>
                  <w:rPr>
                    <w:szCs w:val="24"/>
                    <w:lang w:eastAsia="lt-LT"/>
                  </w:rPr>
                  <w:t>5 768,00</w:t>
                </w:r>
              </w:p>
            </w:tc>
          </w:tr>
          <w:tr>
            <w:trPr>
              <w:trHeight w:val="340"/>
              <w:jc w:val="center"/>
            </w:trPr>
            <w:tc>
              <w:tcPr>
                <w:tcW w:w="7366" w:type="dxa"/>
                <w:gridSpan w:val="3"/>
                <w:vAlign w:val="center"/>
              </w:tcPr>
              <w:p>
                <w:pPr>
                  <w:jc w:val="right"/>
                  <w:rPr>
                    <w:b/>
                    <w:bCs/>
                    <w:szCs w:val="24"/>
                    <w:lang w:eastAsia="lt-LT"/>
                  </w:rPr>
                </w:pPr>
                <w:r>
                  <w:rPr>
                    <w:b/>
                    <w:bCs/>
                    <w:szCs w:val="24"/>
                    <w:lang w:eastAsia="lt-LT"/>
                  </w:rPr>
                  <w:t>Iš viso:</w:t>
                </w:r>
              </w:p>
            </w:tc>
            <w:tc>
              <w:tcPr>
                <w:tcW w:w="1134" w:type="dxa"/>
                <w:vAlign w:val="center"/>
              </w:tcPr>
              <w:p>
                <w:pPr>
                  <w:ind w:left="-57"/>
                  <w:jc w:val="right"/>
                  <w:rPr>
                    <w:b/>
                    <w:bCs/>
                    <w:lang w:eastAsia="lt-LT"/>
                  </w:rPr>
                </w:pPr>
                <w:r>
                  <w:rPr>
                    <w:b/>
                    <w:bCs/>
                    <w:szCs w:val="24"/>
                    <w:lang w:eastAsia="lt-LT"/>
                  </w:rPr>
                  <w:t>40 918,00</w:t>
                </w:r>
              </w:p>
            </w:tc>
            <w:tc>
              <w:tcPr>
                <w:tcW w:w="1134" w:type="dxa"/>
                <w:vAlign w:val="center"/>
              </w:tcPr>
              <w:p>
                <w:pPr>
                  <w:ind w:left="-57"/>
                  <w:jc w:val="right"/>
                  <w:rPr>
                    <w:b/>
                    <w:bCs/>
                    <w:lang w:eastAsia="lt-LT"/>
                  </w:rPr>
                </w:pPr>
                <w:r>
                  <w:rPr>
                    <w:b/>
                    <w:bCs/>
                    <w:szCs w:val="24"/>
                    <w:lang w:eastAsia="lt-LT"/>
                  </w:rPr>
                  <w:t>40 918,00</w:t>
                </w:r>
              </w:p>
            </w:tc>
          </w:tr>
        </w:tbl>
        <w:p>
          <w:pPr>
            <w:rPr>
              <w:color w:val="ED0000"/>
              <w:sz w:val="22"/>
              <w:szCs w:val="22"/>
            </w:rPr>
          </w:pPr>
        </w:p>
        <w:p>
          <w:pPr>
            <w:ind w:hanging="20"/>
            <w:jc w:val="center"/>
            <w:rPr>
              <w:bCs/>
              <w:kern w:val="24"/>
              <w:szCs w:val="24"/>
            </w:rPr>
          </w:pPr>
          <w:r>
            <w:rPr>
              <w:bCs/>
              <w:kern w:val="24"/>
              <w:szCs w:val="24"/>
            </w:rPr>
            <w:t>2 lentelė. Trumpalaikis materialusis turtas</w:t>
          </w:r>
        </w:p>
        <w:tbl>
          <w:tblPr>
            <w:tblW w:w="96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2"/>
            <w:gridCol w:w="5103"/>
            <w:gridCol w:w="1134"/>
            <w:gridCol w:w="1472"/>
            <w:gridCol w:w="1347"/>
          </w:tblGrid>
          <w:tr>
            <w:trPr>
              <w:trHeight w:val="680"/>
              <w:jc w:val="center"/>
            </w:trPr>
            <w:tc>
              <w:tcPr>
                <w:tcW w:w="562" w:type="dxa"/>
                <w:shd w:val="clear" w:color="auto" w:fill="auto"/>
                <w:vAlign w:val="center"/>
              </w:tcPr>
              <w:p>
                <w:pPr>
                  <w:ind w:left="-113" w:right="-113"/>
                  <w:jc w:val="center"/>
                  <w:rPr>
                    <w:b/>
                    <w:szCs w:val="24"/>
                  </w:rPr>
                </w:pPr>
                <w:r>
                  <w:rPr>
                    <w:b/>
                    <w:szCs w:val="24"/>
                  </w:rPr>
                  <w:t>Eil. Nr.</w:t>
                </w:r>
              </w:p>
            </w:tc>
            <w:tc>
              <w:tcPr>
                <w:tcW w:w="5103" w:type="dxa"/>
                <w:shd w:val="clear" w:color="auto" w:fill="auto"/>
                <w:vAlign w:val="center"/>
                <w:hideMark/>
              </w:tcPr>
              <w:p>
                <w:pPr>
                  <w:jc w:val="center"/>
                  <w:rPr>
                    <w:b/>
                    <w:szCs w:val="24"/>
                  </w:rPr>
                </w:pPr>
                <w:r>
                  <w:rPr>
                    <w:b/>
                    <w:szCs w:val="24"/>
                  </w:rPr>
                  <w:t>Turto pavadinimas</w:t>
                </w:r>
              </w:p>
            </w:tc>
            <w:tc>
              <w:tcPr>
                <w:tcW w:w="1134" w:type="dxa"/>
                <w:shd w:val="clear" w:color="auto" w:fill="auto"/>
                <w:vAlign w:val="center"/>
                <w:hideMark/>
              </w:tcPr>
              <w:p>
                <w:pPr>
                  <w:jc w:val="center"/>
                  <w:rPr>
                    <w:b/>
                    <w:szCs w:val="24"/>
                  </w:rPr>
                </w:pPr>
                <w:r>
                  <w:rPr>
                    <w:b/>
                    <w:szCs w:val="24"/>
                  </w:rPr>
                  <w:t>Kiekis vienetais</w:t>
                </w:r>
              </w:p>
            </w:tc>
            <w:tc>
              <w:tcPr>
                <w:tcW w:w="1472" w:type="dxa"/>
                <w:shd w:val="clear" w:color="auto" w:fill="auto"/>
                <w:vAlign w:val="center"/>
              </w:tcPr>
              <w:p>
                <w:pPr>
                  <w:ind w:left="-57" w:right="-57"/>
                  <w:jc w:val="center"/>
                  <w:rPr>
                    <w:b/>
                    <w:szCs w:val="24"/>
                  </w:rPr>
                </w:pPr>
                <w:r>
                  <w:rPr>
                    <w:b/>
                    <w:szCs w:val="24"/>
                  </w:rPr>
                  <w:t>Vieneto kaina eurais</w:t>
                </w:r>
              </w:p>
            </w:tc>
            <w:tc>
              <w:tcPr>
                <w:tcW w:w="1347" w:type="dxa"/>
                <w:shd w:val="clear" w:color="auto" w:fill="auto"/>
                <w:vAlign w:val="center"/>
              </w:tcPr>
              <w:p>
                <w:pPr>
                  <w:jc w:val="center"/>
                  <w:rPr>
                    <w:b/>
                    <w:szCs w:val="24"/>
                  </w:rPr>
                </w:pPr>
                <w:r>
                  <w:rPr>
                    <w:b/>
                    <w:szCs w:val="24"/>
                  </w:rPr>
                  <w:t>Suma eurais</w:t>
                </w:r>
              </w:p>
            </w:tc>
          </w:tr>
          <w:tr>
            <w:trPr>
              <w:trHeight w:val="340"/>
              <w:jc w:val="center"/>
            </w:trPr>
            <w:tc>
              <w:tcPr>
                <w:tcW w:w="562" w:type="dxa"/>
                <w:shd w:val="clear" w:color="auto" w:fill="auto"/>
                <w:vAlign w:val="center"/>
              </w:tcPr>
              <w:p>
                <w:pPr>
                  <w:widowControl w:val="0"/>
                  <w:tabs>
                    <w:tab w:val="left" w:pos="964"/>
                  </w:tabs>
                  <w:suppressAutoHyphens/>
                  <w:ind w:left="1077" w:hanging="964"/>
                  <w:jc w:val="center"/>
                  <w:rPr>
                    <w:szCs w:val="24"/>
                  </w:rPr>
                </w:pPr>
                <w:r>
                  <w:rPr>
                    <w:szCs w:val="24"/>
                  </w:rPr>
                  <w:t>1.</w:t>
                  <w:tab/>
                </w:r>
              </w:p>
            </w:tc>
            <w:tc>
              <w:tcPr>
                <w:tcW w:w="5103" w:type="dxa"/>
                <w:shd w:val="clear" w:color="auto" w:fill="auto"/>
                <w:vAlign w:val="center"/>
              </w:tcPr>
              <w:p>
                <w:pPr>
                  <w:rPr>
                    <w:szCs w:val="24"/>
                  </w:rPr>
                </w:pPr>
                <w:r>
                  <w:rPr>
                    <w:szCs w:val="24"/>
                  </w:rPr>
                  <w:t>Didelės talpos medicininis krepšys „EM13.003“</w:t>
                </w:r>
              </w:p>
            </w:tc>
            <w:tc>
              <w:tcPr>
                <w:tcW w:w="1134" w:type="dxa"/>
                <w:shd w:val="clear" w:color="auto" w:fill="auto"/>
                <w:vAlign w:val="center"/>
              </w:tcPr>
              <w:p>
                <w:pPr>
                  <w:jc w:val="center"/>
                  <w:rPr>
                    <w:szCs w:val="24"/>
                    <w:lang w:eastAsia="lt-LT"/>
                  </w:rPr>
                </w:pPr>
                <w:r>
                  <w:rPr>
                    <w:szCs w:val="24"/>
                  </w:rPr>
                  <w:t>11</w:t>
                </w:r>
              </w:p>
            </w:tc>
            <w:tc>
              <w:tcPr>
                <w:tcW w:w="1472" w:type="dxa"/>
                <w:shd w:val="clear" w:color="auto" w:fill="auto"/>
                <w:vAlign w:val="center"/>
              </w:tcPr>
              <w:p>
                <w:pPr>
                  <w:ind w:right="57"/>
                  <w:jc w:val="right"/>
                  <w:rPr>
                    <w:szCs w:val="24"/>
                    <w:lang w:eastAsia="lt-LT"/>
                  </w:rPr>
                </w:pPr>
                <w:r>
                  <w:rPr>
                    <w:szCs w:val="24"/>
                  </w:rPr>
                  <w:t>82,00</w:t>
                </w:r>
              </w:p>
            </w:tc>
            <w:tc>
              <w:tcPr>
                <w:tcW w:w="1347" w:type="dxa"/>
                <w:shd w:val="clear" w:color="auto" w:fill="auto"/>
                <w:vAlign w:val="center"/>
              </w:tcPr>
              <w:p>
                <w:pPr>
                  <w:ind w:right="57"/>
                  <w:jc w:val="right"/>
                  <w:rPr>
                    <w:szCs w:val="24"/>
                    <w:lang w:eastAsia="lt-LT"/>
                  </w:rPr>
                </w:pPr>
                <w:r>
                  <w:rPr>
                    <w:szCs w:val="24"/>
                  </w:rPr>
                  <w:t>902,00</w:t>
                </w:r>
              </w:p>
            </w:tc>
          </w:tr>
          <w:tr>
            <w:trPr>
              <w:trHeight w:val="624"/>
              <w:jc w:val="center"/>
            </w:trPr>
            <w:tc>
              <w:tcPr>
                <w:tcW w:w="562" w:type="dxa"/>
                <w:shd w:val="clear" w:color="auto" w:fill="auto"/>
                <w:vAlign w:val="center"/>
              </w:tcPr>
              <w:p>
                <w:pPr>
                  <w:widowControl w:val="0"/>
                  <w:tabs>
                    <w:tab w:val="left" w:pos="964"/>
                  </w:tabs>
                  <w:suppressAutoHyphens/>
                  <w:ind w:left="1077" w:hanging="964"/>
                  <w:jc w:val="center"/>
                  <w:rPr>
                    <w:szCs w:val="24"/>
                  </w:rPr>
                </w:pPr>
                <w:r>
                  <w:rPr>
                    <w:szCs w:val="24"/>
                  </w:rPr>
                  <w:t>2.</w:t>
                  <w:tab/>
                </w:r>
              </w:p>
            </w:tc>
            <w:tc>
              <w:tcPr>
                <w:tcW w:w="5103" w:type="dxa"/>
                <w:shd w:val="clear" w:color="auto" w:fill="auto"/>
                <w:vAlign w:val="center"/>
              </w:tcPr>
              <w:p>
                <w:pPr>
                  <w:rPr>
                    <w:szCs w:val="24"/>
                  </w:rPr>
                </w:pPr>
                <w:r>
                  <w:rPr>
                    <w:szCs w:val="24"/>
                  </w:rPr>
                  <w:t>„Contour Plus Elite“ gliukomatis (N1, 5 vnt. komplektas)</w:t>
                </w:r>
              </w:p>
            </w:tc>
            <w:tc>
              <w:tcPr>
                <w:tcW w:w="1134" w:type="dxa"/>
                <w:shd w:val="clear" w:color="auto" w:fill="auto"/>
                <w:vAlign w:val="center"/>
              </w:tcPr>
              <w:p>
                <w:pPr>
                  <w:jc w:val="center"/>
                  <w:rPr>
                    <w:szCs w:val="24"/>
                    <w:lang w:eastAsia="lt-LT"/>
                  </w:rPr>
                </w:pPr>
                <w:r>
                  <w:rPr>
                    <w:szCs w:val="24"/>
                  </w:rPr>
                  <w:t>1</w:t>
                </w:r>
              </w:p>
            </w:tc>
            <w:tc>
              <w:tcPr>
                <w:tcW w:w="1472" w:type="dxa"/>
                <w:shd w:val="clear" w:color="auto" w:fill="auto"/>
                <w:vAlign w:val="center"/>
              </w:tcPr>
              <w:p>
                <w:pPr>
                  <w:ind w:right="57"/>
                  <w:jc w:val="right"/>
                  <w:rPr>
                    <w:szCs w:val="24"/>
                    <w:lang w:eastAsia="lt-LT"/>
                  </w:rPr>
                </w:pPr>
                <w:r>
                  <w:rPr>
                    <w:szCs w:val="24"/>
                  </w:rPr>
                  <w:t>18,09</w:t>
                </w:r>
              </w:p>
            </w:tc>
            <w:tc>
              <w:tcPr>
                <w:tcW w:w="1347" w:type="dxa"/>
                <w:shd w:val="clear" w:color="auto" w:fill="auto"/>
                <w:vAlign w:val="center"/>
              </w:tcPr>
              <w:p>
                <w:pPr>
                  <w:ind w:right="57"/>
                  <w:jc w:val="right"/>
                  <w:rPr>
                    <w:szCs w:val="24"/>
                    <w:lang w:eastAsia="lt-LT"/>
                  </w:rPr>
                </w:pPr>
                <w:r>
                  <w:rPr>
                    <w:szCs w:val="24"/>
                  </w:rPr>
                  <w:t>18,09</w:t>
                </w:r>
              </w:p>
            </w:tc>
          </w:tr>
          <w:tr>
            <w:trPr>
              <w:trHeight w:val="340"/>
              <w:jc w:val="center"/>
            </w:trPr>
            <w:tc>
              <w:tcPr>
                <w:tcW w:w="5665" w:type="dxa"/>
                <w:gridSpan w:val="2"/>
                <w:shd w:val="clear" w:color="auto" w:fill="auto"/>
                <w:vAlign w:val="center"/>
              </w:tcPr>
              <w:p>
                <w:pPr>
                  <w:jc w:val="right"/>
                  <w:rPr>
                    <w:b/>
                    <w:bCs/>
                    <w:szCs w:val="24"/>
                    <w:lang w:eastAsia="lt-LT"/>
                  </w:rPr>
                </w:pPr>
                <w:r>
                  <w:rPr>
                    <w:b/>
                    <w:bCs/>
                    <w:szCs w:val="24"/>
                    <w:lang w:eastAsia="lt-LT"/>
                  </w:rPr>
                  <w:t>Iš viso:</w:t>
                </w:r>
              </w:p>
            </w:tc>
            <w:tc>
              <w:tcPr>
                <w:tcW w:w="1134" w:type="dxa"/>
                <w:shd w:val="clear" w:color="auto" w:fill="auto"/>
                <w:vAlign w:val="center"/>
              </w:tcPr>
              <w:p>
                <w:pPr>
                  <w:jc w:val="center"/>
                  <w:rPr>
                    <w:b/>
                    <w:bCs/>
                    <w:szCs w:val="24"/>
                    <w:lang w:eastAsia="lt-LT"/>
                  </w:rPr>
                </w:pPr>
                <w:r>
                  <w:rPr>
                    <w:b/>
                    <w:bCs/>
                    <w:szCs w:val="24"/>
                    <w:lang w:eastAsia="lt-LT"/>
                  </w:rPr>
                  <w:t>12</w:t>
                </w:r>
              </w:p>
            </w:tc>
            <w:tc>
              <w:tcPr>
                <w:tcW w:w="1472" w:type="dxa"/>
                <w:shd w:val="clear" w:color="auto" w:fill="auto"/>
                <w:vAlign w:val="center"/>
              </w:tcPr>
              <w:p>
                <w:pPr>
                  <w:ind w:right="170"/>
                  <w:jc w:val="right"/>
                  <w:rPr>
                    <w:b/>
                    <w:bCs/>
                    <w:szCs w:val="24"/>
                    <w:lang w:eastAsia="lt-LT"/>
                  </w:rPr>
                </w:pPr>
                <w:r>
                  <w:rPr>
                    <w:b/>
                    <w:bCs/>
                    <w:szCs w:val="24"/>
                    <w:lang w:eastAsia="lt-LT"/>
                  </w:rPr>
                  <w:t>– </w:t>
                </w:r>
              </w:p>
            </w:tc>
            <w:tc>
              <w:tcPr>
                <w:tcW w:w="1347" w:type="dxa"/>
                <w:shd w:val="clear" w:color="auto" w:fill="auto"/>
                <w:vAlign w:val="center"/>
              </w:tcPr>
              <w:p>
                <w:pPr>
                  <w:ind w:right="57"/>
                  <w:jc w:val="right"/>
                  <w:rPr>
                    <w:b/>
                    <w:bCs/>
                    <w:szCs w:val="24"/>
                    <w:lang w:eastAsia="lt-LT"/>
                  </w:rPr>
                </w:pPr>
                <w:r>
                  <w:rPr>
                    <w:b/>
                    <w:bCs/>
                    <w:szCs w:val="24"/>
                  </w:rPr>
                  <w:t>920,09</w:t>
                </w:r>
              </w:p>
            </w:tc>
          </w:tr>
        </w:tbl>
        <w:p>
          <w:pPr>
            <w:jc w:val="center"/>
            <w:rPr>
              <w:szCs w:val="24"/>
            </w:rPr>
          </w:pPr>
        </w:p>
        <w:p>
          <w:pPr>
            <w:jc w:val="center"/>
            <w:rPr>
              <w:szCs w:val="24"/>
            </w:rPr>
          </w:pPr>
          <w:r>
            <w:rPr>
              <w:szCs w:val="24"/>
            </w:rPr>
            <w:t>______________________</w:t>
          </w:r>
        </w:p>
        <w:p>
          <w:pPr>
            <w:spacing w:line="259" w:lineRule="auto"/>
            <w:rPr>
              <w:szCs w:val="24"/>
            </w:rPr>
          </w:pPr>
          <w:r>
            <w:rPr>
              <w:szCs w:val="24"/>
            </w:rPr>
            <w:br w:type="page"/>
          </w:r>
        </w:p>
        <w:p>
          <w:pPr>
            <w:rPr>
              <w:sz w:val="14"/>
              <w:szCs w:val="14"/>
            </w:rPr>
          </w:pPr>
        </w:p>
        <w:sdt>
          <w:sdtPr>
            <w:alias w:val="skirsnis"/>
            <w:tag w:val="part_6a856e42f458441ab6c22547b4d1ab3a"/>
            <w:lock w:val="sdtLocked"/>
            <w:richText/>
          </w:sdtPr>
          <w:sdtContent>
            <w:p>
              <w:pPr>
                <w:suppressAutoHyphens/>
                <w:spacing w:line="290" w:lineRule="exact"/>
                <w:jc w:val="center"/>
                <w:rPr>
                  <w:b/>
                </w:rPr>
              </w:pPr>
              <w:sdt>
                <w:sdtPr>
                  <w:alias w:val="Pavadinimas"/>
                  <w:tag w:val="title_6a856e42f458441ab6c22547b4d1ab3a"/>
                  <w:lock w:val="sdtLocked"/>
                  <w:richText/>
                </w:sdtPr>
                <w:sdtContent>
                  <w:r>
                    <w:rPr>
                      <w:b/>
                    </w:rPr>
                    <w:t>RADVILIŠKIO RAJONO SAVIVALDYBĖS TARYBOS 2025-03-27 SPRENDIMO PROJEKTO „D</w:t>
                  </w:r>
                  <w:r>
                    <w:rPr>
                      <w:b/>
                      <w:szCs w:val="24"/>
                      <w:lang w:eastAsia="ar-SA"/>
                    </w:rPr>
                    <w:t xml:space="preserve">ĖL SAVIVALDYBĖS TURTO PERDAVIMO VALDYTI, NAUDOTI IR DISPONUOTI JUO PATIKĖJIMO TEISE PAGAL PATIKĖJIMO SUTARTĮ </w:t>
                  </w:r>
                  <w:r>
                    <w:rPr>
                      <w:b/>
                      <w:caps/>
                      <w:szCs w:val="24"/>
                      <w:lang w:eastAsia="ar-SA"/>
                    </w:rPr>
                    <w:t>VIEŠajai ĮSTAIGai Radviliškio rajono pirminės sveikatos priežiūros centrui</w:t>
                  </w:r>
                  <w:r>
                    <w:rPr>
                      <w:b/>
                    </w:rPr>
                    <w:t>“</w:t>
                    <w:br/>
                    <w:t>AIŠKINAMASIS RAŠTAS</w:t>
                  </w:r>
                </w:sdtContent>
              </w:sdt>
            </w:p>
            <w:p>
              <w:pPr>
                <w:suppressAutoHyphens/>
                <w:spacing w:line="290" w:lineRule="exact"/>
                <w:jc w:val="center"/>
                <w:rPr>
                  <w:b/>
                  <w:caps/>
                  <w:szCs w:val="24"/>
                  <w:lang w:eastAsia="ar-SA"/>
                </w:rPr>
              </w:pPr>
            </w:p>
            <w:p>
              <w:pPr>
                <w:spacing w:line="290" w:lineRule="exact"/>
                <w:jc w:val="center"/>
              </w:pPr>
              <w:r>
                <w:t>2025-02-25</w:t>
              </w:r>
            </w:p>
            <w:p>
              <w:pPr>
                <w:spacing w:line="290" w:lineRule="exact"/>
                <w:jc w:val="center"/>
              </w:pPr>
              <w:r>
                <w:t xml:space="preserve">Radviliškis </w:t>
              </w:r>
            </w:p>
            <w:p>
              <w:pPr>
                <w:spacing w:line="290" w:lineRule="exact"/>
                <w:jc w:val="center"/>
              </w:pPr>
            </w:p>
            <w:sdt>
              <w:sdtPr>
                <w:alias w:val="pr. 1 p."/>
                <w:tag w:val="part_60554247675d4b7c85540ae513030396"/>
                <w:lock w:val="sdtLocked"/>
                <w:richText/>
              </w:sdtPr>
              <w:sdtContent>
                <w:p>
                  <w:pPr>
                    <w:spacing w:line="290" w:lineRule="exact"/>
                    <w:ind w:firstLine="720"/>
                    <w:jc w:val="both"/>
                    <w:rPr>
                      <w:b/>
                      <w:bCs/>
                      <w:szCs w:val="24"/>
                    </w:rPr>
                  </w:pPr>
                  <w:sdt>
                    <w:sdtPr>
                      <w:alias w:val="Numeris"/>
                      <w:tag w:val="nr_60554247675d4b7c85540ae513030396"/>
                      <w:lock w:val="sdtLocked"/>
                      <w:richText/>
                    </w:sdtPr>
                    <w:sdtContent>
                      <w:r>
                        <w:rPr>
                          <w:b/>
                          <w:bCs/>
                          <w:iCs/>
                          <w:szCs w:val="24"/>
                        </w:rPr>
                        <w:t>1</w:t>
                      </w:r>
                    </w:sdtContent>
                  </w:sdt>
                  <w:r>
                    <w:rPr>
                      <w:b/>
                      <w:bCs/>
                      <w:iCs/>
                      <w:szCs w:val="24"/>
                    </w:rPr>
                    <w:t xml:space="preserve">. </w:t>
                  </w:r>
                  <w:r>
                    <w:rPr>
                      <w:b/>
                      <w:szCs w:val="24"/>
                      <w:lang w:bidi="he-IL"/>
                    </w:rPr>
                    <w:t>Projekto rengimą paskatinusios priežastys, parengto sprendimo projekto tikslai ir uždaviniai</w:t>
                  </w:r>
                  <w:r>
                    <w:rPr>
                      <w:b/>
                      <w:bCs/>
                      <w:iCs/>
                      <w:szCs w:val="24"/>
                    </w:rPr>
                    <w:t>.</w:t>
                  </w:r>
                </w:p>
                <w:p>
                  <w:pPr>
                    <w:spacing w:line="290" w:lineRule="exact"/>
                    <w:ind w:firstLine="720"/>
                    <w:jc w:val="both"/>
                    <w:rPr>
                      <w:bCs/>
                    </w:rPr>
                  </w:pPr>
                  <w:r>
                    <w:rPr>
                      <w:szCs w:val="24"/>
                    </w:rPr>
                    <w:t xml:space="preserve">Perduoti VšĮ </w:t>
                  </w:r>
                  <w:r>
                    <w:rPr>
                      <w:szCs w:val="24"/>
                      <w:lang w:eastAsia="ar-SA"/>
                    </w:rPr>
                    <w:t xml:space="preserve">Radviliškio rajono pirminės sveikatos priežiūros centrui </w:t>
                  </w:r>
                  <w:r>
                    <w:rPr>
                      <w:szCs w:val="24"/>
                    </w:rPr>
                    <w:t xml:space="preserve">patikėjimo teise pagal patikėjimo sutartį </w:t>
                  </w:r>
                  <w:r>
                    <w:rPr>
                      <w:szCs w:val="24"/>
                      <w:lang w:eastAsia="ar-SA"/>
                    </w:rPr>
                    <w:t xml:space="preserve">valdyti, naudoti ir disponuoti Savivaldybei nuosavybės teise priklausantį ilgalaikį ir trumpalaikį materialųjį turtą, įgytą įgyvendinus </w:t>
                  </w:r>
                  <w:r>
                    <w:rPr>
                      <w:szCs w:val="24"/>
                    </w:rPr>
                    <w:t xml:space="preserve">ES struktūrinių fondų, Lietuvos valstybės biudžeto ir Radviliškio rajono savivaldybės biudžeto lėšomis finansuojamą projektą </w:t>
                  </w:r>
                  <w:r>
                    <w:t>„VšĮ Radviliškio rajono pirminės sveikatos priežiūros centro mobilios komandos aprūpinimas įranga ir transporto priemone“</w:t>
                  </w:r>
                  <w:r>
                    <w:rPr>
                      <w:bCs/>
                    </w:rPr>
                    <w:t xml:space="preserve">. VšĮ Radviliškio rajono PSPC yra minėto projekto įgyvendinimo partnerė. Dalis šio projekto įgyvendinimo metu įgyto turto buvo perduota </w:t>
                  </w:r>
                  <w:r>
                    <w:rPr>
                      <w:szCs w:val="24"/>
                    </w:rPr>
                    <w:t xml:space="preserve">2024-10-14 patikėjimo sutartimi </w:t>
                  </w:r>
                  <w:r>
                    <w:rPr>
                      <w:bCs/>
                    </w:rPr>
                    <w:t xml:space="preserve">iki </w:t>
                  </w:r>
                  <w:r>
                    <w:rPr>
                      <w:rFonts w:eastAsia="Calibri"/>
                      <w:szCs w:val="24"/>
                    </w:rPr>
                    <w:t>2044-10-13. Todėl tam pačiam laikotarpiui perduodamas ir sprendimo projekte nurodytas turtas.</w:t>
                  </w:r>
                </w:p>
              </w:sdtContent>
            </w:sdt>
            <w:sdt>
              <w:sdtPr>
                <w:alias w:val="pr. 2 p."/>
                <w:tag w:val="part_075d6a7e97d24d5eb5892cad30f8cb77"/>
                <w:lock w:val="sdtLocked"/>
                <w:richText/>
              </w:sdtPr>
              <w:sdtContent>
                <w:p>
                  <w:pPr>
                    <w:spacing w:line="290" w:lineRule="exact"/>
                    <w:ind w:firstLine="720"/>
                    <w:rPr>
                      <w:b/>
                      <w:bCs/>
                      <w:iCs/>
                      <w:szCs w:val="24"/>
                    </w:rPr>
                  </w:pPr>
                  <w:sdt>
                    <w:sdtPr>
                      <w:alias w:val="Numeris"/>
                      <w:tag w:val="nr_075d6a7e97d24d5eb5892cad30f8cb77"/>
                      <w:lock w:val="sdtLocked"/>
                      <w:richText/>
                    </w:sdtPr>
                    <w:sdtContent>
                      <w:r>
                        <w:rPr>
                          <w:b/>
                          <w:bCs/>
                          <w:iCs/>
                          <w:szCs w:val="24"/>
                        </w:rPr>
                        <w:t>2</w:t>
                      </w:r>
                    </w:sdtContent>
                  </w:sdt>
                  <w:r>
                    <w:rPr>
                      <w:b/>
                      <w:bCs/>
                      <w:iCs/>
                      <w:szCs w:val="24"/>
                    </w:rPr>
                    <w:t>. Projekto iniciatoriai (institucija, asmenys ar piliečių atstovai) ir rengėjai.</w:t>
                  </w:r>
                </w:p>
                <w:p>
                  <w:pPr>
                    <w:spacing w:line="290" w:lineRule="exact"/>
                    <w:ind w:firstLine="720"/>
                    <w:jc w:val="both"/>
                    <w:rPr>
                      <w:iCs/>
                      <w:spacing w:val="-2"/>
                      <w:szCs w:val="24"/>
                    </w:rPr>
                  </w:pPr>
                  <w:r>
                    <w:rPr>
                      <w:iCs/>
                      <w:szCs w:val="24"/>
                    </w:rPr>
                    <w:t xml:space="preserve">Projekto iniciatorius – </w:t>
                  </w:r>
                  <w:r>
                    <w:rPr>
                      <w:iCs/>
                      <w:spacing w:val="-2"/>
                      <w:szCs w:val="24"/>
                    </w:rPr>
                    <w:t>Radviliškio rajono savivaldybės administracija.</w:t>
                  </w:r>
                </w:p>
                <w:p>
                  <w:pPr>
                    <w:spacing w:line="290" w:lineRule="exact"/>
                    <w:ind w:firstLine="720"/>
                    <w:jc w:val="both"/>
                    <w:rPr>
                      <w:iCs/>
                      <w:szCs w:val="24"/>
                    </w:rPr>
                  </w:pPr>
                  <w:r>
                    <w:rPr>
                      <w:iCs/>
                      <w:szCs w:val="24"/>
                    </w:rPr>
                    <w:t>Projekto rengėjas – Savivaldybės administracijos Investicijų ir turto valdymo skyriaus vyriausioji specialistė Diana Skaburskienė.</w:t>
                  </w:r>
                </w:p>
              </w:sdtContent>
            </w:sdt>
            <w:sdt>
              <w:sdtPr>
                <w:alias w:val="pr. 3 p."/>
                <w:tag w:val="part_5a95d33ff7c14e498beb244a02df4b48"/>
                <w:lock w:val="sdtLocked"/>
                <w:richText/>
              </w:sdtPr>
              <w:sdtContent>
                <w:p>
                  <w:pPr>
                    <w:spacing w:line="290" w:lineRule="exact"/>
                    <w:ind w:firstLine="720"/>
                    <w:rPr>
                      <w:b/>
                      <w:bCs/>
                      <w:szCs w:val="24"/>
                    </w:rPr>
                  </w:pPr>
                  <w:sdt>
                    <w:sdtPr>
                      <w:alias w:val="Numeris"/>
                      <w:tag w:val="nr_5a95d33ff7c14e498beb244a02df4b48"/>
                      <w:lock w:val="sdtLocked"/>
                      <w:richText/>
                    </w:sdtPr>
                    <w:sdtContent>
                      <w:r>
                        <w:rPr>
                          <w:b/>
                          <w:bCs/>
                          <w:iCs/>
                          <w:szCs w:val="24"/>
                        </w:rPr>
                        <w:t>3</w:t>
                      </w:r>
                    </w:sdtContent>
                  </w:sdt>
                  <w:r>
                    <w:rPr>
                      <w:b/>
                      <w:bCs/>
                      <w:iCs/>
                      <w:szCs w:val="24"/>
                    </w:rPr>
                    <w:t xml:space="preserve">. </w:t>
                  </w:r>
                  <w:r>
                    <w:rPr>
                      <w:b/>
                      <w:szCs w:val="24"/>
                    </w:rPr>
                    <w:t>Kaip šiuo metu yra reguliuojami sprendimo projekte aptarti teisiniai santykiai</w:t>
                  </w:r>
                  <w:r>
                    <w:rPr>
                      <w:b/>
                      <w:bCs/>
                      <w:iCs/>
                      <w:szCs w:val="24"/>
                    </w:rPr>
                    <w:t>.</w:t>
                  </w:r>
                </w:p>
                <w:p>
                  <w:pPr>
                    <w:shd w:val="clear" w:color="auto" w:fill="FFFFFF"/>
                    <w:spacing w:line="290" w:lineRule="exact"/>
                    <w:ind w:firstLine="720"/>
                    <w:jc w:val="both"/>
                    <w:rPr>
                      <w:szCs w:val="24"/>
                      <w:lang w:eastAsia="lt-LT"/>
                    </w:rPr>
                  </w:pPr>
                  <w:hyperlink r:id="rId4" w:history="1">
                    <w:r>
                      <w:rPr>
                        <w:szCs w:val="24"/>
                        <w:lang w:eastAsia="lt-LT"/>
                      </w:rPr>
                      <w:t>Lietuvos Respublikos vietos savivaldos įstatymo</w:t>
                    </w:r>
                  </w:hyperlink>
                  <w:r>
                    <w:rPr>
                      <w:szCs w:val="24"/>
                      <w:lang w:eastAsia="lt-LT"/>
                    </w:rPr>
                    <w:t xml:space="preserve"> </w:t>
                  </w:r>
                  <w:r>
                    <w:rPr>
                      <w:spacing w:val="-4"/>
                      <w:szCs w:val="24"/>
                      <w:lang w:eastAsia="lt-LT"/>
                    </w:rPr>
                    <w:t xml:space="preserve">15 straipsnio 2 dalies 19 punktu nustatyta, kad išimtinė savivaldybės tarybos kompetencija yra </w:t>
                  </w:r>
                  <w:r>
                    <w:rPr>
                      <w:szCs w:val="24"/>
                      <w:shd w:val="clear" w:color="auto" w:fill="FFFFFF"/>
                      <w:lang w:eastAsia="lt-LT"/>
                    </w:rPr>
                    <w:t xml:space="preserve">savivaldybei nuosavybės teise priklausančio turto savininko funkcijų įgyvendinimas įstatymų nustatyta tvarka. Šio įstatymo </w:t>
                  </w:r>
                  <w:r>
                    <w:rPr>
                      <w:szCs w:val="24"/>
                      <w:lang w:eastAsia="lt-LT"/>
                    </w:rPr>
                    <w:t xml:space="preserve">6 straipsnio 17 dalimi nustatyta, kad savivaldybių savarankiškoji funkcija yra </w:t>
                  </w:r>
                  <w:r>
                    <w:rPr>
                      <w:szCs w:val="24"/>
                      <w:shd w:val="clear" w:color="auto" w:fill="FFFFFF"/>
                      <w:lang w:eastAsia="lt-LT"/>
                    </w:rPr>
                    <w:t>pirminė asmens ir visuomenės sveikatos priežiūra (įstaigų steigimas, reorganizavimas, likvidavimas, išlaikymas</w:t>
                  </w:r>
                  <w:r>
                    <w:rPr>
                      <w:szCs w:val="24"/>
                      <w:lang w:eastAsia="lt-LT"/>
                    </w:rPr>
                    <w:t>).</w:t>
                  </w:r>
                </w:p>
                <w:p>
                  <w:pPr>
                    <w:spacing w:line="290" w:lineRule="exact"/>
                    <w:ind w:firstLine="720"/>
                    <w:jc w:val="both"/>
                    <w:rPr>
                      <w:bCs/>
                      <w:szCs w:val="24"/>
                    </w:rPr>
                  </w:pPr>
                  <w:r>
                    <w:rPr>
                      <w:bCs/>
                      <w:szCs w:val="24"/>
                    </w:rPr>
                    <w:t>Lietuvos Respublikos sveikatos priežiūros įstaigų įstatymo 36 straipsnio:</w:t>
                  </w:r>
                </w:p>
                <w:p>
                  <w:pPr>
                    <w:spacing w:line="290" w:lineRule="exact"/>
                    <w:ind w:firstLine="720"/>
                    <w:jc w:val="both"/>
                    <w:rPr>
                      <w:bCs/>
                      <w:szCs w:val="24"/>
                    </w:rPr>
                  </w:pPr>
                  <w:r>
                    <w:rPr>
                      <w:bCs/>
                      <w:szCs w:val="24"/>
                    </w:rPr>
                    <w:t xml:space="preserve">– 3 dalyje nurodoma, kad savivaldybė jai nuosavybės teise priklausantį ilgalaikį materialųjį turtą savivaldybės tarybos nustatyta tvarka perduoda savivaldybių viešosioms įstaigoms patikėjimo teise pagal patikėjimo sutartį. Sprendimą dėl savivaldybės turto perdavimo patikėjimo teise pagal patikėjimo sutartį priima savivaldybės taryba. Tokiame sprendime turi būti nurodyta savivaldybės institucija ar įstaiga, įgaliota sudaryti savivaldybės turto patikėjimo sutartį. </w:t>
                  </w:r>
                </w:p>
                <w:p>
                  <w:pPr>
                    <w:spacing w:line="290" w:lineRule="exact"/>
                    <w:ind w:firstLine="720"/>
                    <w:jc w:val="both"/>
                    <w:rPr>
                      <w:bCs/>
                      <w:szCs w:val="24"/>
                    </w:rPr>
                  </w:pPr>
                  <w:r>
                    <w:rPr>
                      <w:bCs/>
                      <w:szCs w:val="24"/>
                    </w:rPr>
                    <w:t xml:space="preserve">– 4 dalyje nurodoma, kad savivaldybės turto patikėjimo sutartis sudaroma ne ilgesniam kaip 99 metų terminui. </w:t>
                  </w:r>
                  <w:r>
                    <w:rPr>
                      <w:szCs w:val="24"/>
                    </w:rPr>
                    <w:t>Patikėjimo sutarties pavyzdinę formą tvirtina Lietuvos Respublikos Vyriausybė.</w:t>
                  </w:r>
                </w:p>
                <w:p>
                  <w:pPr>
                    <w:spacing w:line="290" w:lineRule="exact"/>
                    <w:ind w:firstLine="720"/>
                    <w:jc w:val="both"/>
                    <w:rPr>
                      <w:bCs/>
                      <w:szCs w:val="24"/>
                    </w:rPr>
                  </w:pPr>
                  <w:r>
                    <w:rPr>
                      <w:bCs/>
                      <w:szCs w:val="24"/>
                    </w:rPr>
                    <w:t xml:space="preserve">Lietuvos Respublikos valstybės ir savivaldybių turto valdymo, </w:t>
                  </w:r>
                  <w:r>
                    <w:rPr>
                      <w:bCs/>
                      <w:spacing w:val="-2"/>
                      <w:szCs w:val="24"/>
                    </w:rPr>
                    <w:t>naudojimo ir disponavimo juo įstatymo 12</w:t>
                  </w:r>
                  <w:r>
                    <w:rPr>
                      <w:bCs/>
                      <w:szCs w:val="24"/>
                    </w:rPr>
                    <w:t xml:space="preserve"> straipsnio 1 dalyje nurodoma, kad savivaldybėms nuosavybės teise priklausančio turto savininko funkcijas, vadovaudamosi įstatymais, įgyvendina savivaldybių tarybos. Šio įstatymo 3 dalyje nurodyta, kad kitiems, šio straipsnio 2 dalyje nenurodytiems, juridiniams asmenims savivaldybių turtas patikėjimo teise gali būti perduodamas pagal paprasta rašytine forma sudaromą turto patikėjimo sutartį savivaldybių funkcijoms įgyvendinti ir tik tais atvejais, kai šie juridiniai asmenys pagal įstatymus gali atlikti savivaldybių funkcijas. Sprendimą dėl turto perdavimo patikėjimo teise kitiems juridiniams asmenims priima savivaldybės taryba. Savivaldybei nuosavybės teise priklausantis turtas patikėjimo teise valdyti, naudoti ir disponuoti juo perduodamas savivaldybės tarybos nustatyta tvarka.</w:t>
                  </w:r>
                  <w:r>
                    <w:rPr>
                      <w:szCs w:val="24"/>
                      <w:lang w:eastAsia="ar-SA"/>
                    </w:rPr>
                    <w:t xml:space="preserve"> Radviliškio rajono savivaldybei nuosavybės teise priklausančio turto perdavimo savivaldybės viešosioms asmens sveikatos priežiūros įstaigoms patikėjimo teise pagal patikėjimo sutartį tvarkos aprašas</w:t>
                  </w:r>
                  <w:r>
                    <w:rPr>
                      <w:bCs/>
                      <w:szCs w:val="24"/>
                    </w:rPr>
                    <w:t xml:space="preserve"> patvirtintas </w:t>
                  </w:r>
                  <w:r>
                    <w:rPr>
                      <w:bCs/>
                      <w:spacing w:val="-2"/>
                      <w:szCs w:val="24"/>
                    </w:rPr>
                    <w:t>Radviliškio rajono s</w:t>
                  </w:r>
                  <w:r>
                    <w:rPr>
                      <w:szCs w:val="24"/>
                      <w:lang w:eastAsia="ar-SA"/>
                    </w:rPr>
                    <w:t xml:space="preserve">avivaldybės tarybos 2020-09-10 sprendimu Nr. T-320. </w:t>
                  </w:r>
                </w:p>
              </w:sdtContent>
            </w:sdt>
            <w:sdt>
              <w:sdtPr>
                <w:alias w:val="pr. 4 p."/>
                <w:tag w:val="part_647221f619554af692f27bcfa6d7a52f"/>
                <w:lock w:val="sdtLocked"/>
                <w:richText/>
              </w:sdtPr>
              <w:sdtContent>
                <w:p>
                  <w:pPr>
                    <w:spacing w:line="290" w:lineRule="exact"/>
                    <w:ind w:firstLine="720"/>
                    <w:jc w:val="both"/>
                    <w:rPr>
                      <w:b/>
                      <w:bCs/>
                      <w:iCs/>
                      <w:szCs w:val="24"/>
                    </w:rPr>
                  </w:pPr>
                  <w:sdt>
                    <w:sdtPr>
                      <w:alias w:val="Numeris"/>
                      <w:tag w:val="nr_647221f619554af692f27bcfa6d7a52f"/>
                      <w:lock w:val="sdtLocked"/>
                      <w:richText/>
                    </w:sdtPr>
                    <w:sdtContent>
                      <w:r>
                        <w:rPr>
                          <w:b/>
                          <w:bCs/>
                          <w:iCs/>
                          <w:szCs w:val="24"/>
                        </w:rPr>
                        <w:t>4</w:t>
                      </w:r>
                    </w:sdtContent>
                  </w:sdt>
                  <w:r>
                    <w:rPr>
                      <w:b/>
                      <w:bCs/>
                      <w:iCs/>
                      <w:szCs w:val="24"/>
                    </w:rPr>
                    <w:t>.</w:t>
                  </w:r>
                  <w:r>
                    <w:rPr>
                      <w:b/>
                      <w:bCs/>
                      <w:szCs w:val="24"/>
                    </w:rPr>
                    <w:t xml:space="preserve"> Kokių teigiamų rezultatų laukiama</w:t>
                  </w:r>
                  <w:r>
                    <w:rPr>
                      <w:b/>
                      <w:bCs/>
                      <w:iCs/>
                      <w:szCs w:val="24"/>
                    </w:rPr>
                    <w:t>.</w:t>
                  </w:r>
                </w:p>
                <w:p>
                  <w:pPr>
                    <w:spacing w:line="290" w:lineRule="exact"/>
                    <w:ind w:firstLine="720"/>
                    <w:jc w:val="both"/>
                    <w:rPr>
                      <w:szCs w:val="24"/>
                    </w:rPr>
                  </w:pPr>
                  <w:r>
                    <w:rPr>
                      <w:bCs/>
                      <w:szCs w:val="24"/>
                    </w:rPr>
                    <w:t>Radviliškio rajono savivaldybės asmens sveikatos priežiūros įstaigai patikėjimo teise pagal patikėjimo sutartį bus perduotas</w:t>
                  </w:r>
                  <w:r>
                    <w:rPr>
                      <w:szCs w:val="24"/>
                    </w:rPr>
                    <w:t xml:space="preserve"> turtas, reikalingas mobilios komandai, teikiančiai pacientams ambulatorines slaugos paslaugas pacientų namuose, veiklai.</w:t>
                  </w:r>
                </w:p>
              </w:sdtContent>
            </w:sdt>
            <w:sdt>
              <w:sdtPr>
                <w:alias w:val="pr. 5 p."/>
                <w:tag w:val="part_99d7dedf816343c5a4be43306b462ba4"/>
                <w:lock w:val="sdtLocked"/>
                <w:richText/>
              </w:sdtPr>
              <w:sdtContent>
                <w:p>
                  <w:pPr>
                    <w:spacing w:line="290" w:lineRule="exact"/>
                    <w:ind w:firstLine="720"/>
                    <w:jc w:val="both"/>
                    <w:rPr>
                      <w:b/>
                      <w:bCs/>
                      <w:iCs/>
                      <w:szCs w:val="24"/>
                    </w:rPr>
                  </w:pPr>
                  <w:sdt>
                    <w:sdtPr>
                      <w:alias w:val="Numeris"/>
                      <w:tag w:val="nr_99d7dedf816343c5a4be43306b462ba4"/>
                      <w:lock w:val="sdtLocked"/>
                      <w:richText/>
                    </w:sdtPr>
                    <w:sdtContent>
                      <w:r>
                        <w:rPr>
                          <w:b/>
                          <w:bCs/>
                          <w:iCs/>
                          <w:szCs w:val="24"/>
                        </w:rPr>
                        <w:t>5</w:t>
                      </w:r>
                    </w:sdtContent>
                  </w:sdt>
                  <w:r>
                    <w:rPr>
                      <w:b/>
                      <w:bCs/>
                      <w:iCs/>
                      <w:szCs w:val="24"/>
                    </w:rPr>
                    <w:t xml:space="preserve">. </w:t>
                  </w:r>
                  <w:r>
                    <w:rPr>
                      <w:b/>
                      <w:bCs/>
                      <w:szCs w:val="24"/>
                    </w:rPr>
                    <w:t>Galimos neigiamos priimto sprendimo projekto pasekmės ir kokių priemonių reikėtų imtis, kad tokių pasekmių būtų išvengta</w:t>
                  </w:r>
                  <w:r>
                    <w:rPr>
                      <w:b/>
                      <w:bCs/>
                      <w:iCs/>
                      <w:szCs w:val="24"/>
                    </w:rPr>
                    <w:t>.</w:t>
                  </w:r>
                </w:p>
                <w:p>
                  <w:pPr>
                    <w:spacing w:line="290" w:lineRule="exact"/>
                    <w:ind w:firstLine="720"/>
                    <w:jc w:val="both"/>
                    <w:rPr>
                      <w:szCs w:val="24"/>
                    </w:rPr>
                  </w:pPr>
                  <w:r>
                    <w:rPr>
                      <w:szCs w:val="24"/>
                    </w:rPr>
                    <w:t>Priėmus sprendimo projektą, neigiamų pasekmių nenumatoma.</w:t>
                  </w:r>
                </w:p>
              </w:sdtContent>
            </w:sdt>
            <w:sdt>
              <w:sdtPr>
                <w:alias w:val="pr. 6 p."/>
                <w:tag w:val="part_88f538f11d764c7596350e62665e83fc"/>
                <w:lock w:val="sdtLocked"/>
                <w:richText/>
              </w:sdtPr>
              <w:sdtContent>
                <w:p>
                  <w:pPr>
                    <w:spacing w:line="290" w:lineRule="exact"/>
                    <w:ind w:firstLine="720"/>
                    <w:jc w:val="both"/>
                    <w:rPr>
                      <w:b/>
                      <w:szCs w:val="24"/>
                    </w:rPr>
                  </w:pPr>
                  <w:sdt>
                    <w:sdtPr>
                      <w:alias w:val="Numeris"/>
                      <w:tag w:val="nr_88f538f11d764c7596350e62665e83fc"/>
                      <w:lock w:val="sdtLocked"/>
                      <w:richText/>
                    </w:sdtPr>
                    <w:sdtContent>
                      <w:r>
                        <w:rPr>
                          <w:b/>
                          <w:bCs/>
                          <w:iCs/>
                          <w:szCs w:val="24"/>
                        </w:rPr>
                        <w:t>6</w:t>
                      </w:r>
                    </w:sdtContent>
                  </w:sdt>
                  <w:r>
                    <w:rPr>
                      <w:b/>
                      <w:bCs/>
                      <w:iCs/>
                      <w:szCs w:val="24"/>
                    </w:rPr>
                    <w:t xml:space="preserve">. </w:t>
                  </w:r>
                  <w:r>
                    <w:rPr>
                      <w:b/>
                      <w:bCs/>
                      <w:szCs w:val="24"/>
                    </w:rPr>
                    <w:t>Kokius teisės aktus būtina priimti, kokius galiojančius teisės aktus būtina pakeisti ar pripažinti netekusiais galios priėmus sprendimo projektą</w:t>
                  </w:r>
                  <w:r>
                    <w:rPr>
                      <w:b/>
                      <w:szCs w:val="24"/>
                    </w:rPr>
                    <w:t>.</w:t>
                  </w:r>
                </w:p>
                <w:p>
                  <w:pPr>
                    <w:spacing w:line="290" w:lineRule="exact"/>
                    <w:ind w:firstLine="720"/>
                    <w:jc w:val="both"/>
                    <w:rPr>
                      <w:szCs w:val="24"/>
                    </w:rPr>
                  </w:pPr>
                  <w:r>
                    <w:rPr>
                      <w:szCs w:val="24"/>
                    </w:rPr>
                    <w:t>Priėmus sprendimą galiojančių teisės aktų keisti nereikės.</w:t>
                  </w:r>
                </w:p>
              </w:sdtContent>
            </w:sdt>
            <w:sdt>
              <w:sdtPr>
                <w:alias w:val="pr. 7 p."/>
                <w:tag w:val="part_09abaf7174cf4bab9ec85682a8b34221"/>
                <w:lock w:val="sdtLocked"/>
                <w:richText/>
              </w:sdtPr>
              <w:sdtContent>
                <w:p>
                  <w:pPr>
                    <w:spacing w:line="290" w:lineRule="exact"/>
                    <w:ind w:firstLine="720"/>
                    <w:jc w:val="both"/>
                    <w:rPr>
                      <w:b/>
                      <w:bCs/>
                      <w:iCs/>
                      <w:szCs w:val="24"/>
                    </w:rPr>
                  </w:pPr>
                  <w:sdt>
                    <w:sdtPr>
                      <w:alias w:val="Numeris"/>
                      <w:tag w:val="nr_09abaf7174cf4bab9ec85682a8b34221"/>
                      <w:lock w:val="sdtLocked"/>
                      <w:richText/>
                    </w:sdtPr>
                    <w:sdtContent>
                      <w:r>
                        <w:rPr>
                          <w:b/>
                          <w:szCs w:val="24"/>
                        </w:rPr>
                        <w:t>7</w:t>
                      </w:r>
                    </w:sdtContent>
                  </w:sdt>
                  <w:r>
                    <w:rPr>
                      <w:b/>
                      <w:szCs w:val="24"/>
                    </w:rPr>
                    <w:t>. Sprendimo projektui įgyvendinti reikalingos lėšos, finansavimo šaltiniai.</w:t>
                  </w:r>
                  <w:r>
                    <w:rPr>
                      <w:b/>
                      <w:bCs/>
                      <w:iCs/>
                      <w:szCs w:val="24"/>
                    </w:rPr>
                    <w:t xml:space="preserve"> </w:t>
                  </w:r>
                </w:p>
                <w:p>
                  <w:pPr>
                    <w:spacing w:line="290" w:lineRule="exact"/>
                    <w:ind w:firstLine="720"/>
                    <w:jc w:val="both"/>
                    <w:rPr>
                      <w:szCs w:val="24"/>
                    </w:rPr>
                  </w:pPr>
                  <w:r>
                    <w:rPr>
                      <w:szCs w:val="24"/>
                    </w:rPr>
                    <w:t xml:space="preserve">Sprendimo įgyvendinimui Savivaldybės biudžeto lėšų nereikės. </w:t>
                  </w:r>
                </w:p>
              </w:sdtContent>
            </w:sdt>
            <w:sdt>
              <w:sdtPr>
                <w:alias w:val="pr. 8 p."/>
                <w:tag w:val="part_c0cef4a8a44a455498c52966d88fc95a"/>
                <w:lock w:val="sdtLocked"/>
                <w:richText/>
              </w:sdtPr>
              <w:sdtContent>
                <w:p>
                  <w:pPr>
                    <w:spacing w:line="290" w:lineRule="exact"/>
                    <w:ind w:firstLine="720"/>
                    <w:jc w:val="both"/>
                    <w:rPr>
                      <w:b/>
                      <w:bCs/>
                      <w:iCs/>
                      <w:szCs w:val="24"/>
                    </w:rPr>
                  </w:pPr>
                  <w:sdt>
                    <w:sdtPr>
                      <w:alias w:val="Numeris"/>
                      <w:tag w:val="nr_c0cef4a8a44a455498c52966d88fc95a"/>
                      <w:lock w:val="sdtLocked"/>
                      <w:richText/>
                    </w:sdtPr>
                    <w:sdtContent>
                      <w:r>
                        <w:rPr>
                          <w:b/>
                          <w:bCs/>
                          <w:iCs/>
                          <w:szCs w:val="24"/>
                        </w:rPr>
                        <w:t>8</w:t>
                      </w:r>
                    </w:sdtContent>
                  </w:sdt>
                  <w:r>
                    <w:rPr>
                      <w:b/>
                      <w:bCs/>
                      <w:iCs/>
                      <w:szCs w:val="24"/>
                    </w:rPr>
                    <w:t xml:space="preserve">. </w:t>
                  </w:r>
                  <w:r>
                    <w:rPr>
                      <w:b/>
                      <w:szCs w:val="24"/>
                    </w:rPr>
                    <w:t>Sprendimo projekto rengimo metu gauti specialistų vertinimai ir išvados.</w:t>
                  </w:r>
                </w:p>
                <w:p>
                  <w:pPr>
                    <w:spacing w:line="290" w:lineRule="exact"/>
                    <w:ind w:firstLine="720"/>
                    <w:jc w:val="both"/>
                    <w:rPr>
                      <w:b/>
                      <w:bCs/>
                      <w:iCs/>
                      <w:szCs w:val="24"/>
                    </w:rPr>
                  </w:pPr>
                  <w:r>
                    <w:rPr>
                      <w:bCs/>
                      <w:szCs w:val="24"/>
                    </w:rPr>
                    <w:t>Sprendimo projektas</w:t>
                  </w:r>
                  <w:r>
                    <w:rPr>
                      <w:b/>
                      <w:szCs w:val="24"/>
                    </w:rPr>
                    <w:t xml:space="preserve"> </w:t>
                  </w:r>
                  <w:r>
                    <w:rPr>
                      <w:bCs/>
                      <w:szCs w:val="24"/>
                    </w:rPr>
                    <w:t>suderintas su Savivaldybės administracijos direktore, juristu, kalbininku, Investicijų ir turto valdymo skyriaus vedėju.</w:t>
                  </w:r>
                </w:p>
              </w:sdtContent>
            </w:sdt>
            <w:sdt>
              <w:sdtPr>
                <w:alias w:val="pr. 9 p."/>
                <w:tag w:val="part_3dc328d508f343de854a14f29242aefb"/>
                <w:lock w:val="sdtLocked"/>
                <w:richText/>
              </w:sdtPr>
              <w:sdtContent>
                <w:p>
                  <w:pPr>
                    <w:spacing w:line="290" w:lineRule="exact"/>
                    <w:ind w:firstLine="720"/>
                    <w:jc w:val="both"/>
                    <w:rPr>
                      <w:b/>
                      <w:bCs/>
                      <w:iCs/>
                      <w:szCs w:val="24"/>
                    </w:rPr>
                  </w:pPr>
                  <w:sdt>
                    <w:sdtPr>
                      <w:alias w:val="Numeris"/>
                      <w:tag w:val="nr_3dc328d508f343de854a14f29242aefb"/>
                      <w:lock w:val="sdtLocked"/>
                      <w:richText/>
                    </w:sdtPr>
                    <w:sdtContent>
                      <w:r>
                        <w:rPr>
                          <w:b/>
                          <w:bCs/>
                          <w:iCs/>
                          <w:szCs w:val="24"/>
                        </w:rPr>
                        <w:t>9</w:t>
                      </w:r>
                    </w:sdtContent>
                  </w:sdt>
                  <w:r>
                    <w:rPr>
                      <w:b/>
                      <w:bCs/>
                      <w:iCs/>
                      <w:szCs w:val="24"/>
                    </w:rPr>
                    <w:t xml:space="preserve">. Numatomo teisinio reguliavimo poveikio vertinimo rezultatai. </w:t>
                  </w:r>
                </w:p>
                <w:p>
                  <w:pPr>
                    <w:spacing w:line="290" w:lineRule="exact"/>
                    <w:ind w:firstLine="720"/>
                    <w:jc w:val="both"/>
                    <w:rPr>
                      <w:b/>
                      <w:bCs/>
                      <w:iCs/>
                      <w:spacing w:val="-4"/>
                      <w:szCs w:val="24"/>
                    </w:rPr>
                  </w:pPr>
                  <w:r>
                    <w:rPr>
                      <w:color w:val="000000"/>
                      <w:szCs w:val="24"/>
                      <w:shd w:val="clear" w:color="auto" w:fill="FFFFFF"/>
                    </w:rPr>
                    <w:t xml:space="preserve">Šiuo sprendimo projektu nenumatoma reglamentuoti iki tol nereglamentuotus santykius, taip pat iš </w:t>
                  </w:r>
                  <w:r>
                    <w:rPr>
                      <w:color w:val="000000"/>
                      <w:spacing w:val="-3"/>
                      <w:szCs w:val="24"/>
                      <w:shd w:val="clear" w:color="auto" w:fill="FFFFFF"/>
                    </w:rPr>
                    <w:t>esmės</w:t>
                  </w:r>
                  <w:r>
                    <w:rPr>
                      <w:color w:val="000000"/>
                      <w:spacing w:val="-2"/>
                      <w:szCs w:val="24"/>
                      <w:shd w:val="clear" w:color="auto" w:fill="FFFFFF"/>
                    </w:rPr>
                    <w:t xml:space="preserve"> nekeičiamas</w:t>
                  </w:r>
                  <w:r>
                    <w:rPr>
                      <w:color w:val="000000"/>
                      <w:spacing w:val="-3"/>
                      <w:szCs w:val="24"/>
                      <w:shd w:val="clear" w:color="auto" w:fill="FFFFFF"/>
                    </w:rPr>
                    <w:t xml:space="preserve"> </w:t>
                  </w:r>
                  <w:r>
                    <w:rPr>
                      <w:color w:val="000000"/>
                      <w:spacing w:val="-2"/>
                      <w:szCs w:val="24"/>
                      <w:shd w:val="clear" w:color="auto" w:fill="FFFFFF"/>
                    </w:rPr>
                    <w:t>teisinis</w:t>
                  </w:r>
                  <w:r>
                    <w:rPr>
                      <w:color w:val="000000"/>
                      <w:spacing w:val="-3"/>
                      <w:szCs w:val="24"/>
                      <w:shd w:val="clear" w:color="auto" w:fill="FFFFFF"/>
                    </w:rPr>
                    <w:t xml:space="preserve"> </w:t>
                  </w:r>
                  <w:r>
                    <w:rPr>
                      <w:color w:val="000000"/>
                      <w:spacing w:val="-2"/>
                      <w:szCs w:val="24"/>
                      <w:shd w:val="clear" w:color="auto" w:fill="FFFFFF"/>
                    </w:rPr>
                    <w:t>reguliavimas</w:t>
                  </w:r>
                  <w:r>
                    <w:rPr>
                      <w:color w:val="000000"/>
                      <w:spacing w:val="-4"/>
                      <w:szCs w:val="24"/>
                      <w:shd w:val="clear" w:color="auto" w:fill="FFFFFF"/>
                    </w:rPr>
                    <w:t xml:space="preserve">, </w:t>
                  </w:r>
                  <w:r>
                    <w:rPr>
                      <w:color w:val="000000"/>
                      <w:spacing w:val="-2"/>
                      <w:szCs w:val="24"/>
                      <w:shd w:val="clear" w:color="auto" w:fill="FFFFFF"/>
                    </w:rPr>
                    <w:t>todėl</w:t>
                  </w:r>
                  <w:r>
                    <w:rPr>
                      <w:color w:val="000000"/>
                      <w:spacing w:val="-4"/>
                      <w:szCs w:val="24"/>
                      <w:shd w:val="clear" w:color="auto" w:fill="FFFFFF"/>
                    </w:rPr>
                    <w:t xml:space="preserve"> </w:t>
                  </w:r>
                  <w:r>
                    <w:rPr>
                      <w:color w:val="000000"/>
                      <w:spacing w:val="-2"/>
                      <w:szCs w:val="24"/>
                      <w:shd w:val="clear" w:color="auto" w:fill="FFFFFF"/>
                    </w:rPr>
                    <w:t>numatomo teisinio reguliavimo poveikio vertinimas neatliekamas</w:t>
                  </w:r>
                  <w:r>
                    <w:rPr>
                      <w:color w:val="000000"/>
                      <w:spacing w:val="-4"/>
                      <w:szCs w:val="24"/>
                      <w:shd w:val="clear" w:color="auto" w:fill="FFFFFF"/>
                    </w:rPr>
                    <w:t>.</w:t>
                  </w:r>
                </w:p>
              </w:sdtContent>
            </w:sdt>
            <w:sdt>
              <w:sdtPr>
                <w:alias w:val="pr. 10 p."/>
                <w:tag w:val="part_57ab8c81961b4592972a5f9feb595e74"/>
                <w:lock w:val="sdtLocked"/>
                <w:richText/>
              </w:sdtPr>
              <w:sdtContent>
                <w:p>
                  <w:pPr>
                    <w:spacing w:line="290" w:lineRule="exact"/>
                    <w:ind w:firstLine="720"/>
                    <w:jc w:val="both"/>
                    <w:rPr>
                      <w:b/>
                      <w:bCs/>
                      <w:iCs/>
                      <w:szCs w:val="24"/>
                    </w:rPr>
                  </w:pPr>
                  <w:sdt>
                    <w:sdtPr>
                      <w:alias w:val="Numeris"/>
                      <w:tag w:val="nr_57ab8c81961b4592972a5f9feb595e74"/>
                      <w:lock w:val="sdtLocked"/>
                      <w:richText/>
                    </w:sdtPr>
                    <w:sdtContent>
                      <w:r>
                        <w:rPr>
                          <w:b/>
                          <w:bCs/>
                          <w:iCs/>
                          <w:szCs w:val="24"/>
                        </w:rPr>
                        <w:t>10</w:t>
                      </w:r>
                    </w:sdtContent>
                  </w:sdt>
                  <w:r>
                    <w:rPr>
                      <w:b/>
                      <w:bCs/>
                      <w:iCs/>
                      <w:szCs w:val="24"/>
                    </w:rPr>
                    <w:t xml:space="preserve">. </w:t>
                  </w:r>
                  <w:r>
                    <w:rPr>
                      <w:rFonts w:eastAsia="Calibri"/>
                      <w:b/>
                      <w:szCs w:val="24"/>
                      <w:lang w:eastAsia="ar-SA"/>
                    </w:rPr>
                    <w:t>Sprendimo projekto antikorupcinis vertinimas.</w:t>
                  </w:r>
                </w:p>
                <w:p>
                  <w:pPr>
                    <w:spacing w:line="290" w:lineRule="exact"/>
                    <w:ind w:firstLine="720"/>
                    <w:jc w:val="both"/>
                    <w:rPr>
                      <w:szCs w:val="24"/>
                    </w:rPr>
                  </w:pPr>
                  <w:r>
                    <w:rPr>
                      <w:rFonts w:eastAsia="Calibri"/>
                      <w:szCs w:val="24"/>
                    </w:rPr>
                    <w:t>Teisės akto projektas antikorupciniam vertinimui neteikiamas</w:t>
                  </w:r>
                  <w:r>
                    <w:rPr>
                      <w:szCs w:val="24"/>
                    </w:rPr>
                    <w:t>.</w:t>
                  </w:r>
                </w:p>
              </w:sdtContent>
            </w:sdt>
            <w:sdt>
              <w:sdtPr>
                <w:alias w:val="pr. 11 p."/>
                <w:tag w:val="part_d94b2b14f3ca498a90a3a6105c061a68"/>
                <w:lock w:val="sdtLocked"/>
                <w:richText/>
              </w:sdtPr>
              <w:sdtContent>
                <w:p>
                  <w:pPr>
                    <w:spacing w:line="290" w:lineRule="exact"/>
                    <w:ind w:firstLine="720"/>
                    <w:jc w:val="both"/>
                    <w:rPr>
                      <w:b/>
                      <w:bCs/>
                      <w:iCs/>
                      <w:szCs w:val="24"/>
                    </w:rPr>
                  </w:pPr>
                  <w:sdt>
                    <w:sdtPr>
                      <w:alias w:val="Numeris"/>
                      <w:tag w:val="nr_d94b2b14f3ca498a90a3a6105c061a68"/>
                      <w:lock w:val="sdtLocked"/>
                      <w:richText/>
                    </w:sdtPr>
                    <w:sdtContent>
                      <w:r>
                        <w:rPr>
                          <w:b/>
                          <w:bCs/>
                          <w:iCs/>
                          <w:szCs w:val="24"/>
                        </w:rPr>
                        <w:t>11</w:t>
                      </w:r>
                    </w:sdtContent>
                  </w:sdt>
                  <w:r>
                    <w:rPr>
                      <w:b/>
                      <w:bCs/>
                      <w:iCs/>
                      <w:szCs w:val="24"/>
                    </w:rPr>
                    <w:t xml:space="preserve">. Kiti, iniciatoriaus nuomone, reikalingi pagrindimai ir paaiškinimai. </w:t>
                  </w:r>
                </w:p>
                <w:p>
                  <w:pPr>
                    <w:spacing w:line="290" w:lineRule="exact"/>
                    <w:ind w:firstLine="720"/>
                    <w:jc w:val="both"/>
                    <w:rPr>
                      <w:iCs/>
                      <w:szCs w:val="24"/>
                    </w:rPr>
                  </w:pPr>
                  <w:r>
                    <w:rPr>
                      <w:iCs/>
                      <w:szCs w:val="24"/>
                    </w:rPr>
                    <w:t>Papildomų paaiškinimų nėra</w:t>
                  </w:r>
                </w:p>
              </w:sdtContent>
            </w:sdt>
            <w:sdt>
              <w:sdtPr>
                <w:alias w:val="pr. 12 p."/>
                <w:tag w:val="part_c38e3ec9f4994fa284dd7520a2eb82c5"/>
                <w:lock w:val="sdtLocked"/>
                <w:richText/>
              </w:sdtPr>
              <w:sdtContent>
                <w:p>
                  <w:pPr>
                    <w:spacing w:line="290" w:lineRule="exact"/>
                    <w:ind w:firstLine="720"/>
                    <w:jc w:val="both"/>
                    <w:rPr>
                      <w:b/>
                      <w:bCs/>
                      <w:iCs/>
                      <w:szCs w:val="24"/>
                    </w:rPr>
                  </w:pPr>
                  <w:sdt>
                    <w:sdtPr>
                      <w:alias w:val="Numeris"/>
                      <w:tag w:val="nr_c38e3ec9f4994fa284dd7520a2eb82c5"/>
                      <w:lock w:val="sdtLocked"/>
                      <w:richText/>
                    </w:sdtPr>
                    <w:sdtContent>
                      <w:r>
                        <w:rPr>
                          <w:b/>
                          <w:bCs/>
                          <w:iCs/>
                          <w:szCs w:val="24"/>
                        </w:rPr>
                        <w:t>12</w:t>
                      </w:r>
                    </w:sdtContent>
                  </w:sdt>
                  <w:r>
                    <w:rPr>
                      <w:b/>
                      <w:bCs/>
                      <w:iCs/>
                      <w:szCs w:val="24"/>
                    </w:rPr>
                    <w:t xml:space="preserve">. Pridedami dokumentai. </w:t>
                  </w:r>
                </w:p>
                <w:p>
                  <w:pPr>
                    <w:spacing w:line="290" w:lineRule="exact"/>
                    <w:ind w:firstLine="709"/>
                    <w:jc w:val="both"/>
                    <w:rPr>
                      <w:szCs w:val="24"/>
                    </w:rPr>
                  </w:pPr>
                  <w:r>
                    <w:rPr>
                      <w:szCs w:val="24"/>
                      <w:lang w:eastAsia="ar-SA"/>
                    </w:rPr>
                    <w:t xml:space="preserve">VšĮ Radviliškio rajono pirminės sveikatos priežiūros centro 2025-02-25 raštas Nr. </w:t>
                  </w:r>
                  <w:r>
                    <w:rPr>
                      <w:szCs w:val="24"/>
                      <w:lang w:eastAsia="lt-LT"/>
                    </w:rPr>
                    <w:t>S-241(4.8).</w:t>
                  </w:r>
                </w:p>
                <w:p/>
                <w:p/>
                <w:p/>
                <w:p>
                  <w:r>
                    <w:t xml:space="preserve">Investicijų ir turto valdymo skyriaus </w:t>
                  </w:r>
                  <w:r>
                    <w:rPr>
                      <w:bCs/>
                    </w:rPr>
                    <w:t>vyriausioji specialistė</w:t>
                    <w:tab/>
                    <w:tab/>
                    <w:tab/>
                    <w:t xml:space="preserve">        Diana Skaburskienė</w:t>
                  </w:r>
                </w:p>
              </w:sdtContent>
            </w:sdt>
          </w:sdtContent>
        </w:sdt>
      </w:sdtContent>
    </w:sdt>
    <w:sectPr>
      <w:footnotePr>
        <w:pos w:val="beneathText"/>
      </w:footnotePr>
      <w:pgSz w:w="11905" w:h="16837" w:code="9"/>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rawingGridHorizontalSpacing w:val="120"/>
  <w:displayHorizontalDrawingGridEvery w:val="2"/>
  <w:displayVerticalDrawingGridEvery w:val="2"/>
  <w:characterSpacingControl w:val="doNotCompress"/>
  <w:footnotePr>
    <w:pos w:val="beneathText"/>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00D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5C9A3BE-B076-4B3C-A37A-FFA637F8DE8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hyperlink" TargetMode="External" Target="http://www3.lrs.lt/pls/inter3/dokpaieska.showdoc_l?p_id=454354"/>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4944a3b0b514dbc8f4fa96941e4b4d4" PartId="5d4987496d37477ca37e3ca485be1950">
    <Part Type="preambule" DocPartId="b953ba1713504400a0d75c1984b64268" PartId="53e9922c60dc4e32aa7aaec8c4137bdc"/>
    <Part Type="punktas" Nr="1" Abbr="1 p." DocPartId="e493b656849c488094af5f5b008aa2b0" PartId="9caf1e06f0e64e779d0cf81af5ead438"/>
    <Part Type="punktas" Nr="2" Abbr="2 p." DocPartId="67eb43adcbc34c25afb291e3a717ce2f" PartId="80af02bb892441e6880b231762ff684d"/>
    <Part Type="punktas" Nr="3" Abbr="3 p." DocPartId="c99b603cd34d4af6813a66085af94272" PartId="d0c1673a4cb947dab8aca35f9de3d390"/>
    <Part Type="punktas" Nr="4" Abbr="4 p." DocPartId="ee2e142b67494cafac9100705855fcae" PartId="c93ed1dec28742f69ffb3cb1f2975dd4"/>
    <Part Type="signatura" DocPartId="53d0a5afcfc24e709a20f88015c60dbe" PartId="f478a882fd2644aa9be25f87c10193fc"/>
  </Part>
  <Part Type="priedas" Abbr="pr." Title="VIEŠAJAI ĮSTAIGAI RADVILIŠKIO RAJONO PIRMINĖS SVEIKATOS PRIEŽIŪROS CENTRUI PATIKĖJIMO TEISE PAGAL PATIKĖJIMO SUTARTĮ PERDUODAMO SAVIVALDYBĖS TURTO SĄRAŠAS" DocPartId="e4422c334a86458aa48e1369c9347301" PartId="ef5dae7a0dff4bea987e53ecb8b105df">
    <Part Type="skirsnis" Title="RADVILIŠKIO RAJONO SAVIVALDYBĖS TARYBOS 2025-03-27 SPRENDIMO PROJEKTO „DĖL SAVIVALDYBĖS TURTO PERDAVIMO VALDYTI, NAUDOTI IR DISPONUOTI JUO PATIKĖJIMO TEISE PAGAL PATIKĖJIMO SUTARTĮ VIEŠAJAI ĮSTAIGAI RADVILIŠKIO RAJONO PIRMINĖS SVEIKATOS PRIEŽIŪROS CENTRUI“ AIŠKINAMASIS RAŠTAS" DocPartId="4511ad35f4964b5f924d6d36981576d2" PartId="6a856e42f458441ab6c22547b4d1ab3a">
      <Part Type="punktas" Nr="1" Abbr="pr. 1 p." DocPartId="7457f2cd50404ab9883eb164919cb216" PartId="60554247675d4b7c85540ae513030396"/>
      <Part Type="punktas" Nr="2" Abbr="pr. 2 p." DocPartId="3cf6c96d0366457ebcc0d8121fb1d479" PartId="075d6a7e97d24d5eb5892cad30f8cb77"/>
      <Part Type="punktas" Nr="3" Abbr="pr. 3 p." DocPartId="68e5f78c2e1c4ade9f68a58aaa480f6f" PartId="5a95d33ff7c14e498beb244a02df4b48"/>
      <Part Type="punktas" Nr="4" Abbr="pr. 4 p." DocPartId="a50e751e0e52470c86f15c78d02a5210" PartId="647221f619554af692f27bcfa6d7a52f"/>
      <Part Type="punktas" Nr="5" Abbr="pr. 5 p." DocPartId="7d3600a3872d447e8fec5b7bd9dee6e1" PartId="99d7dedf816343c5a4be43306b462ba4"/>
      <Part Type="punktas" Nr="6" Abbr="pr. 6 p." DocPartId="6ee640ede035422d90760e88238aa4c6" PartId="88f538f11d764c7596350e62665e83fc"/>
      <Part Type="punktas" Nr="7" Abbr="pr. 7 p." DocPartId="bdf81c045d9947679268a1cb046b02f0" PartId="09abaf7174cf4bab9ec85682a8b34221"/>
      <Part Type="punktas" Nr="8" Abbr="pr. 8 p." DocPartId="cb938453388e462db2702f5a45d08230" PartId="c0cef4a8a44a455498c52966d88fc95a"/>
      <Part Type="punktas" Nr="9" Abbr="pr. 9 p." DocPartId="61b914342cad4e0f9379c47a540a4ce3" PartId="3dc328d508f343de854a14f29242aefb"/>
      <Part Type="punktas" Nr="10" Abbr="pr. 10 p." DocPartId="c533c423bd42418aae65d97f14f8adda" PartId="57ab8c81961b4592972a5f9feb595e74"/>
      <Part Type="punktas" Nr="11" Abbr="pr. 11 p." DocPartId="10442b4659ea4e1ba0baf79f87edb222" PartId="d94b2b14f3ca498a90a3a6105c061a68"/>
      <Part Type="punktas" Nr="12" Abbr="pr. 12 p." DocPartId="1a51dc3b080e4ab69062c80c797a17ec" PartId="c38e3ec9f4994fa284dd7520a2eb82c5"/>
    </Part>
  </Part>
</Parts>
</file>

<file path=customXml/itemProps1.xml><?xml version="1.0" encoding="utf-8"?>
<ds:datastoreItem xmlns:ds="http://schemas.openxmlformats.org/officeDocument/2006/customXml" ds:itemID="{80008FC2-C446-44D5-9C74-ED91144FC59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1142</Words>
  <Characters>8561</Characters>
  <Application>Microsoft Office Word</Application>
  <DocSecurity>4</DocSecurity>
  <Lines>203</Lines>
  <Paragraphs>105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9598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2025-03-13T12:26:00Z</dcterms:created>
  <dc:creator>Diana Skaburskienė</dc:creator>
  <lastModifiedBy>adlibuser</lastModifiedBy>
  <dcterms:modified xsi:type="dcterms:W3CDTF">2025-03-13T12:26:00Z</dcterms:modified>
  <revision>2</revision>
</coreProperties>
</file>