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6fa3bc00b1d4928ad659012f94c35f4"/>
        <w:lock w:val="sdtLocked"/>
        <w:richText/>
      </w:sdtPr>
      <w:sdtContent>
        <w:p w14:paraId="385064F7" w14:textId="77777777">
          <w:pPr>
            <w:suppressAutoHyphens/>
            <w:ind w:left="6480"/>
            <w:jc w:val="center"/>
            <w:rPr>
              <w:b/>
              <w:lang w:eastAsia="lt-LT"/>
            </w:rPr>
          </w:pPr>
        </w:p>
        <w:p w14:paraId="7F3E2F8B" w14:textId="77777777">
          <w:pPr>
            <w:suppressAutoHyphens/>
            <w:ind w:left="6480"/>
            <w:jc w:val="center"/>
            <w:rPr>
              <w:b/>
              <w:lang w:eastAsia="lt-LT"/>
            </w:rPr>
          </w:pPr>
        </w:p>
        <w:p w14:paraId="0FB2E335" w14:textId="77777777">
          <w:pPr>
            <w:suppressAutoHyphens/>
            <w:ind w:left="6480" w:firstLine="1296"/>
            <w:jc w:val="center"/>
            <w:rPr>
              <w:lang w:eastAsia="lt-LT"/>
            </w:rPr>
          </w:pPr>
          <w:r>
            <w:rPr>
              <w:b/>
              <w:lang w:eastAsia="lt-LT"/>
            </w:rPr>
            <w:t>Projektas</w:t>
          </w:r>
        </w:p>
        <w:p w14:paraId="4327D787" w14:textId="56D63A51">
          <w:pPr>
            <w:suppressAutoHyphens/>
            <w:jc w:val="center"/>
            <w:rPr>
              <w:b/>
              <w:lang w:eastAsia="lt-LT"/>
            </w:rPr>
          </w:pPr>
        </w:p>
        <w:p w14:paraId="73881388" w14:textId="77777777">
          <w:pPr>
            <w:suppressAutoHyphens/>
            <w:jc w:val="center"/>
            <w:rPr>
              <w:b/>
              <w:lang w:eastAsia="lt-LT"/>
            </w:rPr>
          </w:pPr>
        </w:p>
        <w:p w14:paraId="4327D788" w14:textId="77777777">
          <w:pPr>
            <w:suppressAutoHyphens/>
            <w:jc w:val="center"/>
            <w:rPr>
              <w:b/>
              <w:lang w:eastAsia="lt-LT"/>
            </w:rPr>
          </w:pPr>
          <w:r>
            <w:rPr>
              <w:b/>
              <w:lang w:eastAsia="lt-LT"/>
            </w:rPr>
            <w:t>ŠIAULIŲ MIESTO SAVIVALDYBĖS TARYBA</w:t>
          </w:r>
        </w:p>
        <w:p w14:paraId="4327D789" w14:textId="77777777">
          <w:pPr>
            <w:suppressAutoHyphens/>
            <w:jc w:val="center"/>
            <w:rPr>
              <w:b/>
              <w:lang w:eastAsia="lt-LT"/>
            </w:rPr>
          </w:pPr>
        </w:p>
        <w:p w14:paraId="4327D78A" w14:textId="77777777">
          <w:pPr>
            <w:jc w:val="center"/>
            <w:rPr>
              <w:b/>
              <w:szCs w:val="24"/>
              <w:lang w:eastAsia="lt-LT"/>
            </w:rPr>
          </w:pPr>
          <w:r>
            <w:rPr>
              <w:b/>
              <w:szCs w:val="24"/>
              <w:lang w:eastAsia="lt-LT"/>
            </w:rPr>
            <w:t>SPRENDIMAS</w:t>
          </w:r>
        </w:p>
        <w:p w14:paraId="2A5AE034" w14:textId="77777777">
          <w:pPr>
            <w:keepNext/>
            <w:suppressAutoHyphens/>
            <w:jc w:val="center"/>
            <w:outlineLvl w:val="1"/>
            <w:rPr>
              <w:b/>
              <w:bCs/>
              <w:color w:val="000000"/>
              <w:szCs w:val="24"/>
              <w:lang w:eastAsia="ar-SA"/>
            </w:rPr>
          </w:pPr>
          <w:r>
            <w:rPr>
              <w:b/>
              <w:bCs/>
              <w:iCs/>
              <w:color w:val="000000"/>
              <w:lang w:eastAsia="lt-LT"/>
            </w:rPr>
            <w:t>DĖL ŠIAULIŲ MIESTO SAVIVALDYBĖS TARYBOS 2022 M. LIEPOS 7 D. SPRENDIMO NR. T-293 „DĖL</w:t>
          </w:r>
          <w:r>
            <w:rPr>
              <w:b/>
              <w:bCs/>
              <w:color w:val="000000"/>
              <w:szCs w:val="24"/>
              <w:lang w:eastAsia="ar-SA"/>
            </w:rPr>
            <w:t xml:space="preserve"> LOŠIMŲ ORGANIZAVIMO VIETOS POVEIKIO VERTINIMO KRITERIJŲ IR PRAŠYMŲ NAGRINĖJIMO TVARKOS APRAŠO PATVIRTINIMO</w:t>
          </w:r>
          <w:r>
            <w:rPr>
              <w:b/>
              <w:bCs/>
              <w:iCs/>
              <w:color w:val="000000"/>
              <w:lang w:eastAsia="lt-LT"/>
            </w:rPr>
            <w:t>“ PAKEITIMO</w:t>
          </w:r>
        </w:p>
        <w:p w14:paraId="4327D78B" w14:textId="1484165E">
          <w:pPr>
            <w:widowControl w:val="0"/>
            <w:suppressAutoHyphens/>
            <w:ind w:firstLine="62"/>
            <w:jc w:val="center"/>
            <w:rPr>
              <w:rFonts w:eastAsia="HG Mincho Light J"/>
              <w:b/>
              <w:color w:val="000000"/>
              <w:szCs w:val="24"/>
              <w:lang w:eastAsia="lt-LT"/>
            </w:rPr>
          </w:pPr>
        </w:p>
        <w:p w14:paraId="4327D78C" w14:textId="77777777">
          <w:pPr>
            <w:suppressAutoHyphens/>
            <w:rPr>
              <w:szCs w:val="24"/>
              <w:lang w:eastAsia="lt-LT"/>
            </w:rPr>
          </w:pPr>
        </w:p>
        <w:p w14:paraId="4327D78D" w14:textId="7100A01A">
          <w:pPr>
            <w:jc w:val="center"/>
            <w:rPr>
              <w:szCs w:val="24"/>
              <w:lang w:eastAsia="lt-LT"/>
            </w:rPr>
          </w:pPr>
          <w:r>
            <w:rPr>
              <w:szCs w:val="24"/>
              <w:lang w:eastAsia="lt-LT"/>
            </w:rPr>
            <w:t xml:space="preserve">2025 m.                   d. Nr. T- </w:t>
          </w:r>
        </w:p>
        <w:p w14:paraId="4327D78E" w14:textId="77777777">
          <w:pPr>
            <w:suppressAutoHyphens/>
            <w:jc w:val="center"/>
            <w:rPr>
              <w:lang w:eastAsia="lt-LT"/>
            </w:rPr>
          </w:pPr>
          <w:r>
            <w:rPr>
              <w:lang w:eastAsia="lt-LT"/>
            </w:rPr>
            <w:t>Šiauliai</w:t>
          </w:r>
        </w:p>
        <w:p w14:paraId="4534D049" w14:textId="77777777">
          <w:pPr>
            <w:suppressAutoHyphens/>
            <w:jc w:val="both"/>
            <w:rPr>
              <w:lang w:eastAsia="lt-LT"/>
            </w:rPr>
          </w:pPr>
        </w:p>
        <w:sdt>
          <w:sdtPr>
            <w:alias w:val="preambule"/>
            <w:tag w:val="part_1f5d5521570b428fa00b3d8dbb0ff436"/>
            <w:lock w:val="sdtLocked"/>
            <w:richText/>
          </w:sdtPr>
          <w:sdtContent>
            <w:p w14:paraId="5C9D6DAC" w14:textId="6BD6146B">
              <w:pPr>
                <w:widowControl w:val="0"/>
                <w:suppressAutoHyphens/>
                <w:ind w:firstLine="851"/>
                <w:jc w:val="both"/>
                <w:rPr>
                  <w:rFonts w:eastAsia="Andale Sans UI"/>
                  <w:bCs/>
                  <w:kern w:val="2"/>
                  <w:szCs w:val="24"/>
                  <w:shd w:val="clear" w:color="auto" w:fill="FFFFFF"/>
                  <w:lang w:eastAsia="ar-SA"/>
                </w:rPr>
              </w:pPr>
              <w:r>
                <w:rPr>
                  <w:rFonts w:eastAsia="Andale Sans UI"/>
                  <w:bCs/>
                  <w:kern w:val="2"/>
                  <w:szCs w:val="24"/>
                  <w:lang w:eastAsia="ar-SA"/>
                </w:rPr>
                <w:t xml:space="preserve">Vadovaudamasi Lietuvos Respublikos vietos savivaldos įstatymo </w:t>
              </w:r>
              <w:r>
                <w:rPr>
                  <w:lang w:eastAsia="lt-LT"/>
                </w:rPr>
                <w:t>15 straipsnio 4 dalimi</w:t>
              </w:r>
              <w:r>
                <w:rPr>
                  <w:rFonts w:eastAsia="Andale Sans UI"/>
                  <w:bCs/>
                  <w:kern w:val="2"/>
                  <w:szCs w:val="24"/>
                  <w:lang w:eastAsia="ar-SA"/>
                </w:rPr>
                <w:t xml:space="preserve">, </w:t>
              </w:r>
              <w:r>
                <w:rPr>
                  <w:lang w:eastAsia="lt-LT"/>
                </w:rPr>
                <w:t>27 straipsnio 2 dalies 26 punktu,</w:t>
              </w:r>
              <w:r>
                <w:rPr>
                  <w:rFonts w:eastAsia="Andale Sans UI"/>
                  <w:bCs/>
                  <w:kern w:val="2"/>
                  <w:szCs w:val="24"/>
                  <w:lang w:eastAsia="ar-SA"/>
                </w:rPr>
                <w:t xml:space="preserve"> Lietuvos Respublikos azartinių lošimų įstatymo 24</w:t>
              </w:r>
              <w:r>
                <w:rPr>
                  <w:rFonts w:eastAsia="Andale Sans UI"/>
                  <w:bCs/>
                  <w:kern w:val="2"/>
                  <w:szCs w:val="24"/>
                  <w:vertAlign w:val="superscript"/>
                  <w:lang w:eastAsia="ar-SA"/>
                </w:rPr>
                <w:t>1</w:t>
              </w:r>
              <w:r>
                <w:rPr>
                  <w:szCs w:val="24"/>
                  <w:lang w:eastAsia="lt-LT"/>
                </w:rPr>
                <w:t xml:space="preserve"> straipsnio 2 dalimi, </w:t>
              </w:r>
              <w:r>
                <w:rPr>
                  <w:rFonts w:eastAsia="Andale Sans UI"/>
                  <w:bCs/>
                  <w:kern w:val="2"/>
                  <w:szCs w:val="24"/>
                  <w:lang w:eastAsia="ar-SA"/>
                </w:rPr>
                <w:t xml:space="preserve">Šiaulių miesto savivaldybės taryba </w:t>
              </w:r>
              <w:r>
                <w:rPr>
                  <w:rFonts w:eastAsia="Andale Sans UI"/>
                  <w:bCs/>
                  <w:spacing w:val="80"/>
                  <w:kern w:val="2"/>
                  <w:szCs w:val="24"/>
                  <w:shd w:val="clear" w:color="auto" w:fill="FFFFFF"/>
                  <w:lang w:eastAsia="ar-SA"/>
                </w:rPr>
                <w:t>nusprendži</w:t>
              </w:r>
              <w:r>
                <w:rPr>
                  <w:rFonts w:eastAsia="Andale Sans UI"/>
                  <w:bCs/>
                  <w:kern w:val="2"/>
                  <w:szCs w:val="24"/>
                  <w:shd w:val="clear" w:color="auto" w:fill="FFFFFF"/>
                  <w:lang w:eastAsia="ar-SA"/>
                </w:rPr>
                <w:t>a:</w:t>
              </w:r>
            </w:p>
          </w:sdtContent>
        </w:sdt>
        <w:sdt>
          <w:sdtPr>
            <w:alias w:val="pastraipa"/>
            <w:tag w:val="part_70d2ccbe09c14b5b97b6515778eaf079"/>
            <w:lock w:val="sdtLocked"/>
            <w:richText/>
          </w:sdtPr>
          <w:sdtContent>
            <w:p w14:paraId="481E5BFC" w14:textId="4F46B09A">
              <w:pPr>
                <w:widowControl w:val="0"/>
                <w:suppressAutoHyphens/>
                <w:ind w:firstLine="851"/>
                <w:jc w:val="both"/>
                <w:rPr>
                  <w:color w:val="000000"/>
                  <w:szCs w:val="24"/>
                  <w:lang w:eastAsia="lt-LT"/>
                </w:rPr>
              </w:pPr>
              <w:r>
                <w:rPr>
                  <w:iCs/>
                  <w:color w:val="000000"/>
                  <w:lang w:eastAsia="lt-LT"/>
                </w:rPr>
                <w:t xml:space="preserve">Pakeisti Šiaulių miesto savivaldybės tarybos 2022 m. liepos 7 d. sprendimą Nr. T-293 „Dėl </w:t>
              </w:r>
              <w:r>
                <w:rPr>
                  <w:color w:val="000000"/>
                  <w:lang w:eastAsia="lt-LT"/>
                </w:rPr>
                <w:t>Lošimų organizavimo vietos poveikio vertinimo kriterijų ir prašymų nagrinėjimo tvarkos aprašo patvirtinimo</w:t>
              </w:r>
              <w:r>
                <w:rPr>
                  <w:iCs/>
                  <w:color w:val="000000"/>
                  <w:lang w:eastAsia="lt-LT"/>
                </w:rPr>
                <w:t>“</w:t>
              </w:r>
              <w:r>
                <w:rPr>
                  <w:color w:val="000000"/>
                  <w:szCs w:val="24"/>
                  <w:lang w:eastAsia="lt-LT"/>
                </w:rPr>
                <w:t>:</w:t>
              </w:r>
            </w:p>
          </w:sdtContent>
        </w:sdt>
        <w:sdt>
          <w:sdtPr>
            <w:alias w:val="1 p."/>
            <w:tag w:val="part_bb9df49124aa4b788b03a625395ebc36"/>
            <w:lock w:val="sdtLocked"/>
            <w:richText/>
          </w:sdtPr>
          <w:sdtContent>
            <w:p w14:paraId="6B9EA266" w14:textId="4CD6C2DA">
              <w:pPr>
                <w:widowControl w:val="0"/>
                <w:suppressAutoHyphens/>
                <w:ind w:left="1211" w:hanging="360"/>
                <w:jc w:val="both"/>
                <w:rPr>
                  <w:color w:val="000000"/>
                  <w:szCs w:val="24"/>
                  <w:lang w:eastAsia="lt-LT"/>
                </w:rPr>
              </w:pPr>
              <w:sdt>
                <w:sdtPr>
                  <w:alias w:val="Numeris"/>
                  <w:tag w:val="nr_bb9df49124aa4b788b03a625395ebc36"/>
                  <w:lock w:val="sdtLocked"/>
                  <w:richText/>
                </w:sdtPr>
                <w:sdtContent>
                  <w:r>
                    <w:rPr>
                      <w:color w:val="000000"/>
                      <w:szCs w:val="24"/>
                      <w:lang w:eastAsia="lt-LT"/>
                    </w:rPr>
                    <w:t>1</w:t>
                  </w:r>
                </w:sdtContent>
              </w:sdt>
              <w:r>
                <w:rPr>
                  <w:color w:val="000000"/>
                  <w:szCs w:val="24"/>
                  <w:lang w:eastAsia="lt-LT"/>
                </w:rPr>
                <w:t>.</w:t>
                <w:tab/>
                <w:t>Pakeisti 2 punktą ir jį išdėstyti taip:</w:t>
              </w:r>
            </w:p>
            <w:sdt>
              <w:sdtPr>
                <w:alias w:val="citata"/>
                <w:tag w:val="part_e5c59743d407418e821762d52cbba346"/>
                <w:lock w:val="sdtLocked"/>
                <w:richText/>
              </w:sdtPr>
              <w:sdtContent>
                <w:sdt>
                  <w:sdtPr>
                    <w:alias w:val="2 p."/>
                    <w:tag w:val="part_9ed4ef8192714ace89118023da454db4"/>
                    <w:lock w:val="sdtLocked"/>
                    <w:richText/>
                  </w:sdtPr>
                  <w:sdtContent>
                    <w:p w14:paraId="15BFCB94" w14:textId="47739666">
                      <w:pPr>
                        <w:suppressAutoHyphens/>
                        <w:spacing w:line="276" w:lineRule="auto"/>
                        <w:ind w:firstLine="851"/>
                        <w:jc w:val="both"/>
                        <w:rPr>
                          <w:color w:val="000000"/>
                          <w:lang w:eastAsia="lt-LT" w:bidi="he-IL"/>
                        </w:rPr>
                      </w:pPr>
                      <w:r>
                        <w:rPr>
                          <w:lang w:eastAsia="lt-LT" w:bidi="he-IL"/>
                        </w:rPr>
                        <w:t>„</w:t>
                      </w:r>
                      <w:sdt>
                        <w:sdtPr>
                          <w:alias w:val="Numeris"/>
                          <w:tag w:val="nr_9ed4ef8192714ace89118023da454db4"/>
                          <w:lock w:val="sdtLocked"/>
                          <w:richText/>
                        </w:sdtPr>
                        <w:sdtContent>
                          <w:r>
                            <w:rPr>
                              <w:lang w:eastAsia="lt-LT" w:bidi="he-IL"/>
                            </w:rPr>
                            <w:t>2</w:t>
                          </w:r>
                        </w:sdtContent>
                      </w:sdt>
                      <w:r>
                        <w:rPr>
                          <w:lang w:eastAsia="lt-LT" w:bidi="he-IL"/>
                        </w:rPr>
                        <w:t xml:space="preserve">. Pavesti Šiaulių miesto savivaldybės merui patvirtinti Prašymo sutikti </w:t>
                      </w:r>
                      <w:r>
                        <w:rPr>
                          <w:lang w:eastAsia="lt-LT"/>
                        </w:rPr>
                        <w:t xml:space="preserve">atidaryti ar steigti lošimų organizavimo vietą </w:t>
                      </w:r>
                      <w:r>
                        <w:rPr>
                          <w:lang w:eastAsia="lt-LT" w:bidi="he-IL"/>
                        </w:rPr>
                        <w:t xml:space="preserve">ir Prašymo sutikti </w:t>
                      </w:r>
                      <w:r>
                        <w:rPr>
                          <w:lang w:eastAsia="lt-LT"/>
                        </w:rPr>
                        <w:t>tęsti lošimų organizavimo veiklą lošimų organizavimo vietoje</w:t>
                      </w:r>
                      <w:r>
                        <w:rPr>
                          <w:lang w:eastAsia="lt-LT" w:bidi="he-IL"/>
                        </w:rPr>
                        <w:t xml:space="preserve"> formas ir sudaryti Lošimų organizavimo vietos poveikio vertinimo darbo grupę.“</w:t>
                      </w:r>
                      <w:r>
                        <w:rPr>
                          <w:lang w:eastAsia="lt-LT"/>
                        </w:rPr>
                        <w:t xml:space="preserve"> </w:t>
                      </w:r>
                    </w:p>
                  </w:sdtContent>
                </w:sdt>
              </w:sdtContent>
            </w:sdt>
          </w:sdtContent>
        </w:sdt>
        <w:sdt>
          <w:sdtPr>
            <w:alias w:val="2 p."/>
            <w:tag w:val="part_0229530ec1ae4d4993cc4f10ec5cc4ea"/>
            <w:lock w:val="sdtLocked"/>
            <w:richText/>
          </w:sdtPr>
          <w:sdtContent>
            <w:p w14:paraId="705E7AFE" w14:textId="03B63FBB">
              <w:pPr>
                <w:widowControl w:val="0"/>
                <w:suppressAutoHyphens/>
                <w:ind w:firstLine="851"/>
                <w:jc w:val="both"/>
                <w:rPr>
                  <w:lang w:eastAsia="lt-LT"/>
                </w:rPr>
              </w:pPr>
              <w:sdt>
                <w:sdtPr>
                  <w:alias w:val="Numeris"/>
                  <w:tag w:val="nr_0229530ec1ae4d4993cc4f10ec5cc4ea"/>
                  <w:lock w:val="sdtLocked"/>
                  <w:richText/>
                </w:sdtPr>
                <w:sdtContent>
                  <w:r>
                    <w:rPr>
                      <w:lang w:eastAsia="lt-LT"/>
                    </w:rPr>
                    <w:t>2</w:t>
                  </w:r>
                </w:sdtContent>
              </w:sdt>
              <w:r>
                <w:rPr>
                  <w:lang w:eastAsia="lt-LT"/>
                </w:rPr>
                <w:t xml:space="preserve">. Pakeisti nurodyto sprendimo 1 punktu patvirtintą </w:t>
              </w:r>
              <w:r>
                <w:rPr>
                  <w:color w:val="000000"/>
                  <w:lang w:eastAsia="lt-LT"/>
                </w:rPr>
                <w:t>Lošimų organizavimo vietos poveikio vertinimo kriterijų ir prašymų nagrinėjimo tvarkos aprašą (toliau – Aprašas)</w:t>
              </w:r>
              <w:r>
                <w:rPr>
                  <w:lang w:eastAsia="lt-LT"/>
                </w:rPr>
                <w:t xml:space="preserve">: </w:t>
              </w:r>
            </w:p>
            <w:sdt>
              <w:sdtPr>
                <w:alias w:val="2.1 pp."/>
                <w:tag w:val="part_2e23470500f44166891a4a3c27880bf6"/>
                <w:lock w:val="sdtLocked"/>
                <w:richText/>
              </w:sdtPr>
              <w:sdtContent>
                <w:p w14:paraId="422F01F1" w14:textId="5753F44A">
                  <w:pPr>
                    <w:widowControl w:val="0"/>
                    <w:suppressAutoHyphens/>
                    <w:ind w:left="851"/>
                    <w:jc w:val="both"/>
                    <w:rPr>
                      <w:lang w:eastAsia="lt-LT"/>
                    </w:rPr>
                  </w:pPr>
                  <w:sdt>
                    <w:sdtPr>
                      <w:alias w:val="Numeris"/>
                      <w:tag w:val="nr_2e23470500f44166891a4a3c27880bf6"/>
                      <w:lock w:val="sdtLocked"/>
                      <w:richText/>
                    </w:sdtPr>
                    <w:sdtContent>
                      <w:r>
                        <w:rPr>
                          <w:lang w:eastAsia="lt-LT"/>
                        </w:rPr>
                        <w:t>2.1</w:t>
                      </w:r>
                    </w:sdtContent>
                  </w:sdt>
                  <w:r>
                    <w:rPr>
                      <w:lang w:eastAsia="lt-LT"/>
                    </w:rPr>
                    <w:t>. Pakeisti 5 punktą ir jį išdėstyti taip:</w:t>
                  </w:r>
                </w:p>
                <w:sdt>
                  <w:sdtPr>
                    <w:alias w:val="citata"/>
                    <w:tag w:val="part_6d94fe4b2b28455fa131f428d5109cb1"/>
                    <w:lock w:val="sdtLocked"/>
                    <w:richText/>
                  </w:sdtPr>
                  <w:sdtContent>
                    <w:sdt>
                      <w:sdtPr>
                        <w:alias w:val="5 p."/>
                        <w:tag w:val="part_62b6495dfde04125b263d8d12310fa54"/>
                        <w:lock w:val="sdtLocked"/>
                        <w:richText/>
                      </w:sdtPr>
                      <w:sdtContent>
                        <w:p w14:paraId="7E0E2661" w14:textId="77777777">
                          <w:pPr>
                            <w:suppressAutoHyphens/>
                            <w:spacing w:line="256" w:lineRule="auto"/>
                            <w:ind w:firstLine="851"/>
                            <w:jc w:val="both"/>
                            <w:rPr>
                              <w:szCs w:val="24"/>
                              <w:lang w:eastAsia="lt-LT"/>
                            </w:rPr>
                          </w:pPr>
                          <w:r>
                            <w:rPr>
                              <w:szCs w:val="24"/>
                              <w:lang w:eastAsia="lt-LT"/>
                            </w:rPr>
                            <w:t>„</w:t>
                          </w:r>
                          <w:sdt>
                            <w:sdtPr>
                              <w:alias w:val="Numeris"/>
                              <w:tag w:val="nr_62b6495dfde04125b263d8d12310fa54"/>
                              <w:lock w:val="sdtLocked"/>
                              <w:richText/>
                            </w:sdtPr>
                            <w:sdtContent>
                              <w:r>
                                <w:rPr>
                                  <w:szCs w:val="24"/>
                                  <w:lang w:eastAsia="lt-LT"/>
                                </w:rPr>
                                <w:t>5</w:t>
                              </w:r>
                            </w:sdtContent>
                          </w:sdt>
                          <w:r>
                            <w:rPr>
                              <w:szCs w:val="24"/>
                              <w:lang w:eastAsia="lt-LT"/>
                            </w:rPr>
                            <w:t>. Bendrovė, norinti atidaryti ar steigti lošimų organizavimo vietą ar tęsti lošimų organizavimo veiklą lošimų organizavimo vietoje, Šiaulių miesto savivaldybės (toliau – Savivaldybė) administracijai pateikia Savivaldybės mero potvarkiu patvirtintą nustatytos formos prašymą (toliau – prašymas).“</w:t>
                          </w:r>
                        </w:p>
                      </w:sdtContent>
                    </w:sdt>
                  </w:sdtContent>
                </w:sdt>
              </w:sdtContent>
            </w:sdt>
            <w:sdt>
              <w:sdtPr>
                <w:alias w:val="2.2 pp."/>
                <w:tag w:val="part_612e4425e1844f9c913b61dfedee7eea"/>
                <w:lock w:val="sdtLocked"/>
                <w:richText/>
              </w:sdtPr>
              <w:sdtContent>
                <w:p w14:paraId="4666B84C" w14:textId="73928864">
                  <w:pPr>
                    <w:suppressAutoHyphens/>
                    <w:spacing w:line="256" w:lineRule="auto"/>
                    <w:ind w:left="851"/>
                    <w:jc w:val="both"/>
                    <w:rPr>
                      <w:szCs w:val="24"/>
                      <w:lang w:eastAsia="lt-LT"/>
                    </w:rPr>
                  </w:pPr>
                  <w:sdt>
                    <w:sdtPr>
                      <w:alias w:val="Numeris"/>
                      <w:tag w:val="nr_612e4425e1844f9c913b61dfedee7eea"/>
                      <w:lock w:val="sdtLocked"/>
                      <w:richText/>
                    </w:sdtPr>
                    <w:sdtContent>
                      <w:r>
                        <w:rPr>
                          <w:lang w:eastAsia="lt-LT"/>
                        </w:rPr>
                        <w:t>2.2</w:t>
                      </w:r>
                    </w:sdtContent>
                  </w:sdt>
                  <w:r>
                    <w:rPr>
                      <w:lang w:eastAsia="lt-LT"/>
                    </w:rPr>
                    <w:t>. Pakeisti 11 punktą ir jį išdėstyti taip:</w:t>
                  </w:r>
                </w:p>
                <w:sdt>
                  <w:sdtPr>
                    <w:alias w:val="citata"/>
                    <w:tag w:val="part_7f047992ea86421a8c08ed9a11f92d27"/>
                    <w:lock w:val="sdtLocked"/>
                    <w:richText/>
                  </w:sdtPr>
                  <w:sdtContent>
                    <w:sdt>
                      <w:sdtPr>
                        <w:alias w:val="11 p."/>
                        <w:tag w:val="part_96ffae6780114825b4008be7f4295ece"/>
                        <w:lock w:val="sdtLocked"/>
                        <w:richText/>
                      </w:sdtPr>
                      <w:sdtContent>
                        <w:p w14:paraId="4340B977" w14:textId="7402022B">
                          <w:pPr>
                            <w:suppressAutoHyphens/>
                            <w:spacing w:line="256" w:lineRule="auto"/>
                            <w:ind w:firstLine="851"/>
                            <w:jc w:val="both"/>
                            <w:rPr>
                              <w:lang w:eastAsia="lt-LT"/>
                            </w:rPr>
                          </w:pPr>
                          <w:r>
                            <w:rPr>
                              <w:szCs w:val="24"/>
                              <w:lang w:eastAsia="lt-LT"/>
                            </w:rPr>
                            <w:t>„</w:t>
                          </w:r>
                          <w:sdt>
                            <w:sdtPr>
                              <w:alias w:val="Numeris"/>
                              <w:tag w:val="nr_96ffae6780114825b4008be7f4295ece"/>
                              <w:lock w:val="sdtLocked"/>
                              <w:richText/>
                            </w:sdtPr>
                            <w:sdtContent>
                              <w:r>
                                <w:rPr>
                                  <w:szCs w:val="24"/>
                                  <w:lang w:eastAsia="lt-LT"/>
                                </w:rPr>
                                <w:t>11</w:t>
                              </w:r>
                            </w:sdtContent>
                          </w:sdt>
                          <w:r>
                            <w:rPr>
                              <w:szCs w:val="24"/>
                              <w:lang w:eastAsia="lt-LT"/>
                            </w:rPr>
                            <w:t>. Savivaldybės mero potvarkiu</w:t>
                          </w:r>
                          <w:r>
                            <w:rPr>
                              <w:lang w:eastAsia="lt-LT"/>
                            </w:rPr>
                            <w:t xml:space="preserve"> </w:t>
                          </w:r>
                          <w:r>
                            <w:rPr>
                              <w:szCs w:val="24"/>
                              <w:lang w:eastAsia="lt-LT"/>
                            </w:rPr>
                            <w:t>sudaryta darbo grupė (toliau – Darbo grupė), nustačiusi, kad bendrovė pateikė visus privalomus pateikti dokumentus ir informaciją, atlieka konkrečios prašyme nurodytos lošimų organizavimo vietos poveikio viešajai tvarkai, švietimui, kultūrai, visuomenės sveikatai, gyvenamajai aplinkai ir kriminogeninei situacijai vertinimą.“</w:t>
                          </w:r>
                          <w:r>
                            <w:rPr>
                              <w:lang w:eastAsia="lt-LT"/>
                            </w:rPr>
                            <w:t xml:space="preserve"> </w:t>
                          </w:r>
                        </w:p>
                      </w:sdtContent>
                    </w:sdt>
                  </w:sdtContent>
                </w:sdt>
              </w:sdtContent>
            </w:sdt>
            <w:sdt>
              <w:sdtPr>
                <w:alias w:val="2.3 pp."/>
                <w:tag w:val="part_a4fbc1f8dd6b404899930b48fa30f68f"/>
                <w:lock w:val="sdtLocked"/>
                <w:richText/>
              </w:sdtPr>
              <w:sdtContent>
                <w:p w14:paraId="4086FE81" w14:textId="78255C63">
                  <w:pPr>
                    <w:suppressAutoHyphens/>
                    <w:spacing w:line="256" w:lineRule="auto"/>
                    <w:ind w:left="851"/>
                    <w:jc w:val="both"/>
                    <w:rPr>
                      <w:szCs w:val="24"/>
                      <w:lang w:eastAsia="lt-LT"/>
                    </w:rPr>
                  </w:pPr>
                  <w:sdt>
                    <w:sdtPr>
                      <w:alias w:val="Numeris"/>
                      <w:tag w:val="nr_a4fbc1f8dd6b404899930b48fa30f68f"/>
                      <w:lock w:val="sdtLocked"/>
                      <w:richText/>
                    </w:sdtPr>
                    <w:sdtContent>
                      <w:r>
                        <w:rPr>
                          <w:lang w:eastAsia="lt-LT"/>
                        </w:rPr>
                        <w:t>2.3</w:t>
                      </w:r>
                    </w:sdtContent>
                  </w:sdt>
                  <w:r>
                    <w:rPr>
                      <w:lang w:eastAsia="lt-LT"/>
                    </w:rPr>
                    <w:t>. Pakeisti 14 punktą ir jį išdėstyti taip:</w:t>
                  </w:r>
                </w:p>
                <w:sdt>
                  <w:sdtPr>
                    <w:alias w:val="citata"/>
                    <w:tag w:val="part_94eb974e2e6f44eca239f3819b978e08"/>
                    <w:lock w:val="sdtLocked"/>
                    <w:richText/>
                  </w:sdtPr>
                  <w:sdtContent>
                    <w:sdt>
                      <w:sdtPr>
                        <w:alias w:val="14 p."/>
                        <w:tag w:val="part_eff975ef67c14aa4b6c94cee0631d3aa"/>
                        <w:lock w:val="sdtLocked"/>
                        <w:richText/>
                      </w:sdtPr>
                      <w:sdtContent>
                        <w:p w14:paraId="00BE54EA" w14:textId="7B27098D">
                          <w:pPr>
                            <w:suppressAutoHyphens/>
                            <w:spacing w:line="256" w:lineRule="auto"/>
                            <w:ind w:firstLine="851"/>
                            <w:jc w:val="both"/>
                            <w:rPr>
                              <w:szCs w:val="24"/>
                              <w:lang w:eastAsia="lt-LT"/>
                            </w:rPr>
                          </w:pPr>
                          <w:r>
                            <w:rPr>
                              <w:lang w:eastAsia="lt-LT"/>
                            </w:rPr>
                            <w:t>„</w:t>
                          </w:r>
                          <w:sdt>
                            <w:sdtPr>
                              <w:alias w:val="Numeris"/>
                              <w:tag w:val="nr_eff975ef67c14aa4b6c94cee0631d3aa"/>
                              <w:lock w:val="sdtLocked"/>
                              <w:richText/>
                            </w:sdtPr>
                            <w:sdtContent>
                              <w:r>
                                <w:rPr>
                                  <w:szCs w:val="24"/>
                                  <w:lang w:eastAsia="lt-LT"/>
                                </w:rPr>
                                <w:t>14</w:t>
                              </w:r>
                            </w:sdtContent>
                          </w:sdt>
                          <w:r>
                            <w:rPr>
                              <w:szCs w:val="24"/>
                              <w:lang w:eastAsia="lt-LT"/>
                            </w:rPr>
                            <w:t>. Bendrą poveikio vertinimą atlieka Darbo grupė, užpildydama nustatytos formos Lošimų organizavimo vietos poveikio viešajai tvarkai, švietimui, kultūrai, visuomenės sveikatai, gyvenamajai aplinkai ir kriminogeninei situacijai vertinimo lentelę (Aprašo priedas). Nevertinami kriterijai lentelės skiltyje „Tenkina / netenkina kriterijų“ pažymimi įrašant žodį „Nevertinama“.“</w:t>
                          </w:r>
                          <w:r>
                            <w:rPr>
                              <w:lang w:eastAsia="lt-LT"/>
                            </w:rPr>
                            <w:t xml:space="preserve"> </w:t>
                          </w:r>
                        </w:p>
                      </w:sdtContent>
                    </w:sdt>
                  </w:sdtContent>
                </w:sdt>
              </w:sdtContent>
            </w:sdt>
            <w:sdt>
              <w:sdtPr>
                <w:alias w:val="2.4 pp."/>
                <w:tag w:val="part_85aa9367c0424751816026970a3510f3"/>
                <w:lock w:val="sdtLocked"/>
                <w:richText/>
              </w:sdtPr>
              <w:sdtContent>
                <w:p w14:paraId="415559B0" w14:textId="4C56405E">
                  <w:pPr>
                    <w:suppressAutoHyphens/>
                    <w:spacing w:line="256" w:lineRule="auto"/>
                    <w:ind w:left="851"/>
                    <w:jc w:val="both"/>
                    <w:rPr>
                      <w:lang w:eastAsia="lt-LT"/>
                    </w:rPr>
                  </w:pPr>
                  <w:sdt>
                    <w:sdtPr>
                      <w:alias w:val="Numeris"/>
                      <w:tag w:val="nr_85aa9367c0424751816026970a3510f3"/>
                      <w:lock w:val="sdtLocked"/>
                      <w:richText/>
                    </w:sdtPr>
                    <w:sdtContent>
                      <w:r>
                        <w:rPr>
                          <w:lang w:eastAsia="lt-LT"/>
                        </w:rPr>
                        <w:t>2.4</w:t>
                      </w:r>
                    </w:sdtContent>
                  </w:sdt>
                  <w:r>
                    <w:rPr>
                      <w:lang w:eastAsia="lt-LT"/>
                    </w:rPr>
                    <w:t>. Pakeisti 15 punktą ir jį išdėstyti taip:</w:t>
                  </w:r>
                </w:p>
                <w:sdt>
                  <w:sdtPr>
                    <w:alias w:val="citata"/>
                    <w:tag w:val="part_c453b45159334af389e3c9914622a91c"/>
                    <w:lock w:val="sdtLocked"/>
                    <w:richText/>
                  </w:sdtPr>
                  <w:sdtContent>
                    <w:sdt>
                      <w:sdtPr>
                        <w:alias w:val="15 p."/>
                        <w:tag w:val="part_035faf0b8c484816823db803698c14d9"/>
                        <w:lock w:val="sdtLocked"/>
                        <w:richText/>
                      </w:sdtPr>
                      <w:sdtContent>
                        <w:p w14:paraId="45779334" w14:textId="5A0ADFDD">
                          <w:pPr>
                            <w:suppressAutoHyphens/>
                            <w:ind w:firstLine="851"/>
                            <w:jc w:val="both"/>
                            <w:rPr>
                              <w:color w:val="000000"/>
                              <w:szCs w:val="24"/>
                              <w:lang w:eastAsia="lt-LT"/>
                            </w:rPr>
                          </w:pPr>
                          <w:r>
                            <w:rPr>
                              <w:lang w:eastAsia="lt-LT"/>
                            </w:rPr>
                            <w:t>„</w:t>
                          </w:r>
                          <w:sdt>
                            <w:sdtPr>
                              <w:alias w:val="Numeris"/>
                              <w:tag w:val="nr_035faf0b8c484816823db803698c14d9"/>
                              <w:lock w:val="sdtLocked"/>
                              <w:richText/>
                            </w:sdtPr>
                            <w:sdtContent>
                              <w:r>
                                <w:rPr>
                                  <w:szCs w:val="24"/>
                                  <w:lang w:eastAsia="lt-LT"/>
                                </w:rPr>
                                <w:t>15</w:t>
                              </w:r>
                            </w:sdtContent>
                          </w:sdt>
                          <w:r>
                            <w:rPr>
                              <w:szCs w:val="24"/>
                              <w:lang w:eastAsia="lt-LT"/>
                            </w:rPr>
                            <w:t xml:space="preserve">. Kiti Savivaldybės administracijos padaliniai ir (ar) įstaigos, </w:t>
                          </w:r>
                          <w:r>
                            <w:rPr>
                              <w:szCs w:val="24"/>
                              <w:lang w:eastAsia="zh-CN"/>
                            </w:rPr>
                            <w:t>ŠMRPK</w:t>
                          </w:r>
                          <w:r>
                            <w:rPr>
                              <w:szCs w:val="24"/>
                              <w:lang w:eastAsia="lt-LT"/>
                            </w:rPr>
                            <w:t xml:space="preserve"> prireikus pagal kompetenciją privalo Darbo grupei, nagrinėjančiai bendrovės prašymą ir atliekančiai bendrą poveikio vertinimą, ne vėliau kaip per 3 darbo </w:t>
                          </w:r>
                          <w:r>
                            <w:rPr>
                              <w:color w:val="000000"/>
                              <w:szCs w:val="24"/>
                              <w:lang w:eastAsia="lt-LT"/>
                            </w:rPr>
                            <w:t>dienas raštu suteikti prašomą informaciją, susijusią su konkrečios lošimų organizavimo vietos bendru poveikio vertinimu.“</w:t>
                          </w:r>
                          <w:r>
                            <w:rPr>
                              <w:lang w:eastAsia="lt-LT"/>
                            </w:rPr>
                            <w:t xml:space="preserve"> </w:t>
                          </w:r>
                        </w:p>
                      </w:sdtContent>
                    </w:sdt>
                  </w:sdtContent>
                </w:sdt>
              </w:sdtContent>
            </w:sdt>
            <w:sdt>
              <w:sdtPr>
                <w:alias w:val="2.5 pp."/>
                <w:tag w:val="part_3620db1cb4d8441880d9b9986a8a3d76"/>
                <w:lock w:val="sdtLocked"/>
                <w:richText/>
              </w:sdtPr>
              <w:sdtContent>
                <w:p w14:paraId="6A89AC39" w14:textId="23F04079">
                  <w:pPr>
                    <w:suppressAutoHyphens/>
                    <w:spacing w:line="256" w:lineRule="auto"/>
                    <w:ind w:left="851"/>
                    <w:jc w:val="both"/>
                    <w:rPr>
                      <w:lang w:eastAsia="lt-LT"/>
                    </w:rPr>
                  </w:pPr>
                  <w:sdt>
                    <w:sdtPr>
                      <w:alias w:val="Numeris"/>
                      <w:tag w:val="nr_3620db1cb4d8441880d9b9986a8a3d76"/>
                      <w:lock w:val="sdtLocked"/>
                      <w:richText/>
                    </w:sdtPr>
                    <w:sdtContent>
                      <w:r>
                        <w:rPr>
                          <w:lang w:eastAsia="lt-LT"/>
                        </w:rPr>
                        <w:t>2.5</w:t>
                      </w:r>
                    </w:sdtContent>
                  </w:sdt>
                  <w:r>
                    <w:rPr>
                      <w:lang w:eastAsia="lt-LT"/>
                    </w:rPr>
                    <w:t>. Pakeisti 16 punktą ir jį išdėstyti taip:</w:t>
                  </w:r>
                </w:p>
                <w:sdt>
                  <w:sdtPr>
                    <w:alias w:val="citata"/>
                    <w:tag w:val="part_3641e76398f646598e56741de581927a"/>
                    <w:lock w:val="sdtLocked"/>
                    <w:richText/>
                  </w:sdtPr>
                  <w:sdtContent>
                    <w:sdt>
                      <w:sdtPr>
                        <w:alias w:val="16 p."/>
                        <w:tag w:val="part_2617fc3d438a4e43bcb21ba13ea3d1e1"/>
                        <w:lock w:val="sdtLocked"/>
                        <w:richText/>
                      </w:sdtPr>
                      <w:sdtContent>
                        <w:p w14:paraId="1041B1C7" w14:textId="2B3F4871">
                          <w:pPr>
                            <w:suppressAutoHyphens/>
                            <w:spacing w:line="256" w:lineRule="auto"/>
                            <w:ind w:firstLine="851"/>
                            <w:jc w:val="both"/>
                            <w:rPr>
                              <w:lang w:eastAsia="lt-LT"/>
                            </w:rPr>
                          </w:pPr>
                          <w:r>
                            <w:rPr>
                              <w:lang w:eastAsia="lt-LT"/>
                            </w:rPr>
                            <w:t>„</w:t>
                          </w:r>
                          <w:sdt>
                            <w:sdtPr>
                              <w:alias w:val="Numeris"/>
                              <w:tag w:val="nr_2617fc3d438a4e43bcb21ba13ea3d1e1"/>
                              <w:lock w:val="sdtLocked"/>
                              <w:richText/>
                            </w:sdtPr>
                            <w:sdtContent>
                              <w:r>
                                <w:rPr>
                                  <w:szCs w:val="24"/>
                                  <w:lang w:eastAsia="lt-LT"/>
                                </w:rPr>
                                <w:t>16</w:t>
                              </w:r>
                            </w:sdtContent>
                          </w:sdt>
                          <w:r>
                            <w:rPr>
                              <w:szCs w:val="24"/>
                              <w:lang w:eastAsia="lt-LT"/>
                            </w:rPr>
                            <w:t>. Darbo grupė, atlikusi bendrą poveikio vertinimą, per Savivaldybės merą teikia pasiūlymus pritarti ar nepritarti sprendimui dėl sutikimo atidaryti ar steigti lošimų organizavimo vietą ar tęsti lošimų organizavimo veiklą lošimų organizavimo vietoje. Savivaldybės administracijos kompetentingas padalinys rengia du alternatyvius (dėl sutikimo ir dėl nesutikimo) Savivaldybės tarybos sprendimų projektus ir teisės aktų nustatyta tvarka teikia juos svarstyti Savivaldybės tarybai. Bendrą poveikio vertinimą pagrindžiantys ir kiti prašymo nagrinėjimo metu gauti dokumentai pridedami Savivaldybės dokumentų valdymo sistemoje prie sprendimo projekto.</w:t>
                          </w:r>
                          <w:r>
                            <w:rPr>
                              <w:lang w:eastAsia="lt-LT"/>
                            </w:rPr>
                            <w:t>“</w:t>
                          </w:r>
                        </w:p>
                      </w:sdtContent>
                    </w:sdt>
                  </w:sdtContent>
                </w:sdt>
              </w:sdtContent>
            </w:sdt>
            <w:sdt>
              <w:sdtPr>
                <w:alias w:val="2.6 pp."/>
                <w:tag w:val="part_80f5d922b77e42d78275d1af2890633f"/>
                <w:lock w:val="sdtLocked"/>
                <w:richText/>
              </w:sdtPr>
              <w:sdtContent>
                <w:p w14:paraId="40F92102" w14:textId="19858170">
                  <w:pPr>
                    <w:suppressAutoHyphens/>
                    <w:spacing w:line="256" w:lineRule="auto"/>
                    <w:ind w:left="851"/>
                    <w:jc w:val="both"/>
                    <w:rPr>
                      <w:lang w:eastAsia="lt-LT"/>
                    </w:rPr>
                  </w:pPr>
                  <w:sdt>
                    <w:sdtPr>
                      <w:alias w:val="Numeris"/>
                      <w:tag w:val="nr_80f5d922b77e42d78275d1af2890633f"/>
                      <w:lock w:val="sdtLocked"/>
                      <w:richText/>
                    </w:sdtPr>
                    <w:sdtContent>
                      <w:r>
                        <w:rPr>
                          <w:lang w:eastAsia="lt-LT"/>
                        </w:rPr>
                        <w:t>2.6</w:t>
                      </w:r>
                    </w:sdtContent>
                  </w:sdt>
                  <w:r>
                    <w:rPr>
                      <w:lang w:eastAsia="lt-LT"/>
                    </w:rPr>
                    <w:t>. Pakeisti 17 punkto pirmąją pastraipą ir ją išdėstyti taip:</w:t>
                  </w:r>
                </w:p>
                <w:sdt>
                  <w:sdtPr>
                    <w:alias w:val="citata"/>
                    <w:tag w:val="part_91471c88af394228a8eb0c72960825bc"/>
                    <w:lock w:val="sdtLocked"/>
                    <w:richText/>
                  </w:sdtPr>
                  <w:sdtContent>
                    <w:sdt>
                      <w:sdtPr>
                        <w:alias w:val="17 p."/>
                        <w:tag w:val="part_2a93d36ca87540bda19eb63eed98e102"/>
                        <w:lock w:val="sdtLocked"/>
                        <w:richText/>
                      </w:sdtPr>
                      <w:sdtContent>
                        <w:p w14:paraId="5580AE08" w14:textId="31C367ED">
                          <w:pPr>
                            <w:suppressAutoHyphens/>
                            <w:spacing w:line="256" w:lineRule="auto"/>
                            <w:ind w:firstLine="851"/>
                            <w:jc w:val="both"/>
                            <w:rPr>
                              <w:szCs w:val="24"/>
                              <w:lang w:eastAsia="lt-LT"/>
                            </w:rPr>
                          </w:pPr>
                          <w:r>
                            <w:rPr>
                              <w:lang w:eastAsia="lt-LT"/>
                            </w:rPr>
                            <w:t>„</w:t>
                          </w:r>
                          <w:sdt>
                            <w:sdtPr>
                              <w:alias w:val="Numeris"/>
                              <w:tag w:val="nr_2a93d36ca87540bda19eb63eed98e102"/>
                              <w:lock w:val="sdtLocked"/>
                              <w:richText/>
                            </w:sdtPr>
                            <w:sdtContent>
                              <w:r>
                                <w:rPr>
                                  <w:szCs w:val="24"/>
                                  <w:lang w:eastAsia="lt-LT"/>
                                </w:rPr>
                                <w:t>17</w:t>
                              </w:r>
                            </w:sdtContent>
                          </w:sdt>
                          <w:r>
                            <w:rPr>
                              <w:szCs w:val="24"/>
                              <w:lang w:eastAsia="lt-LT"/>
                            </w:rPr>
                            <w:t>. Darbo grupė rekomenduoja pritarti sprendimo projektui dėl sutikimo:“.</w:t>
                          </w:r>
                        </w:p>
                      </w:sdtContent>
                    </w:sdt>
                  </w:sdtContent>
                </w:sdt>
              </w:sdtContent>
            </w:sdt>
            <w:sdt>
              <w:sdtPr>
                <w:alias w:val="2.7 pp."/>
                <w:tag w:val="part_09e7b59b1f3a4b8aa36071ceca374ffc"/>
                <w:lock w:val="sdtLocked"/>
                <w:richText/>
              </w:sdtPr>
              <w:sdtContent>
                <w:p w14:paraId="3CB1A062" w14:textId="641E0376">
                  <w:pPr>
                    <w:suppressAutoHyphens/>
                    <w:spacing w:line="256" w:lineRule="auto"/>
                    <w:ind w:left="851"/>
                    <w:jc w:val="both"/>
                    <w:rPr>
                      <w:lang w:eastAsia="lt-LT"/>
                    </w:rPr>
                  </w:pPr>
                  <w:sdt>
                    <w:sdtPr>
                      <w:alias w:val="Numeris"/>
                      <w:tag w:val="nr_09e7b59b1f3a4b8aa36071ceca374ffc"/>
                      <w:lock w:val="sdtLocked"/>
                      <w:richText/>
                    </w:sdtPr>
                    <w:sdtContent>
                      <w:r>
                        <w:rPr>
                          <w:lang w:eastAsia="lt-LT"/>
                        </w:rPr>
                        <w:t>2.7</w:t>
                      </w:r>
                    </w:sdtContent>
                  </w:sdt>
                  <w:r>
                    <w:rPr>
                      <w:lang w:eastAsia="lt-LT"/>
                    </w:rPr>
                    <w:t>. Pakeisti 18 punktą ir jį išdėstyti taip:</w:t>
                  </w:r>
                </w:p>
                <w:sdt>
                  <w:sdtPr>
                    <w:alias w:val="citata"/>
                    <w:tag w:val="part_2bf5452248ce4a2e8dea54c9c22d09c1"/>
                    <w:lock w:val="sdtLocked"/>
                    <w:richText/>
                  </w:sdtPr>
                  <w:sdtContent>
                    <w:sdt>
                      <w:sdtPr>
                        <w:alias w:val="18 p."/>
                        <w:tag w:val="part_3ac74562fb2f4dfd90f991436beb1de0"/>
                        <w:lock w:val="sdtLocked"/>
                        <w:richText/>
                      </w:sdtPr>
                      <w:sdtContent>
                        <w:p w14:paraId="57FAABF4" w14:textId="59DA4A48">
                          <w:pPr>
                            <w:suppressAutoHyphens/>
                            <w:spacing w:line="256" w:lineRule="auto"/>
                            <w:ind w:firstLine="851"/>
                            <w:jc w:val="both"/>
                            <w:rPr>
                              <w:lang w:eastAsia="lt-LT"/>
                            </w:rPr>
                          </w:pPr>
                          <w:r>
                            <w:rPr>
                              <w:lang w:eastAsia="lt-LT"/>
                            </w:rPr>
                            <w:t>„</w:t>
                          </w:r>
                          <w:sdt>
                            <w:sdtPr>
                              <w:alias w:val="Numeris"/>
                              <w:tag w:val="nr_3ac74562fb2f4dfd90f991436beb1de0"/>
                              <w:lock w:val="sdtLocked"/>
                              <w:richText/>
                            </w:sdtPr>
                            <w:sdtContent>
                              <w:r>
                                <w:rPr>
                                  <w:szCs w:val="24"/>
                                  <w:lang w:eastAsia="lt-LT"/>
                                </w:rPr>
                                <w:t>18</w:t>
                              </w:r>
                            </w:sdtContent>
                          </w:sdt>
                          <w:r>
                            <w:rPr>
                              <w:szCs w:val="24"/>
                              <w:lang w:eastAsia="lt-LT"/>
                            </w:rPr>
                            <w:t xml:space="preserve">. Darbo grupė rekomenduoja nepritarti sprendimo projektui dėl sutikimo atidaryti ar steigti lošimų organizavimo vietą ar tęsti </w:t>
                          </w:r>
                          <w:r>
                            <w:rPr>
                              <w:color w:val="000000"/>
                              <w:szCs w:val="24"/>
                              <w:lang w:eastAsia="lt-LT"/>
                            </w:rPr>
                            <w:t>lošimų organizavimo veiklą lošimų organizavimo vietoje,</w:t>
                          </w:r>
                          <w:r>
                            <w:rPr>
                              <w:szCs w:val="24"/>
                              <w:lang w:eastAsia="lt-LT"/>
                            </w:rPr>
                            <w:t xml:space="preserve"> kai</w:t>
                          </w:r>
                          <w:r>
                            <w:rPr>
                              <w:color w:val="000000"/>
                              <w:szCs w:val="24"/>
                              <w:lang w:eastAsia="lt-LT"/>
                            </w:rPr>
                            <w:t xml:space="preserve"> </w:t>
                          </w:r>
                          <w:r>
                            <w:rPr>
                              <w:szCs w:val="24"/>
                              <w:lang w:eastAsia="lt-LT"/>
                            </w:rPr>
                            <w:t>nėra tenkinami visi nustatyti kriterijai.</w:t>
                          </w:r>
                          <w:r>
                            <w:rPr>
                              <w:lang w:eastAsia="lt-LT"/>
                            </w:rPr>
                            <w:t>“</w:t>
                          </w:r>
                        </w:p>
                      </w:sdtContent>
                    </w:sdt>
                  </w:sdtContent>
                </w:sdt>
              </w:sdtContent>
            </w:sdt>
            <w:sdt>
              <w:sdtPr>
                <w:alias w:val="2.8 pp."/>
                <w:tag w:val="part_c66aae3f357e4ab3aeb5ee86f0aaa8a9"/>
                <w:lock w:val="sdtLocked"/>
                <w:richText/>
              </w:sdtPr>
              <w:sdtContent>
                <w:p w14:paraId="3906C9F4" w14:textId="45B40C35">
                  <w:pPr>
                    <w:suppressAutoHyphens/>
                    <w:spacing w:line="256" w:lineRule="auto"/>
                    <w:ind w:left="851"/>
                    <w:jc w:val="both"/>
                    <w:rPr>
                      <w:lang w:eastAsia="lt-LT"/>
                    </w:rPr>
                  </w:pPr>
                  <w:sdt>
                    <w:sdtPr>
                      <w:alias w:val="Numeris"/>
                      <w:tag w:val="nr_c66aae3f357e4ab3aeb5ee86f0aaa8a9"/>
                      <w:lock w:val="sdtLocked"/>
                      <w:richText/>
                    </w:sdtPr>
                    <w:sdtContent>
                      <w:r>
                        <w:rPr>
                          <w:lang w:eastAsia="lt-LT"/>
                        </w:rPr>
                        <w:t>2.8</w:t>
                      </w:r>
                    </w:sdtContent>
                  </w:sdt>
                  <w:r>
                    <w:rPr>
                      <w:lang w:eastAsia="lt-LT"/>
                    </w:rPr>
                    <w:t>. Pakeisti 20 punktą ir jį išdėstyti taip:</w:t>
                  </w:r>
                </w:p>
                <w:sdt>
                  <w:sdtPr>
                    <w:alias w:val="citata"/>
                    <w:tag w:val="part_4c08fc84e96f4d3ea3f4838c800c69d9"/>
                    <w:lock w:val="sdtLocked"/>
                    <w:richText/>
                  </w:sdtPr>
                  <w:sdtContent>
                    <w:sdt>
                      <w:sdtPr>
                        <w:alias w:val="20 p."/>
                        <w:tag w:val="part_611af4de91ea4d5ba42a6350eda0dff7"/>
                        <w:lock w:val="sdtLocked"/>
                        <w:richText/>
                      </w:sdtPr>
                      <w:sdtContent>
                        <w:p w14:paraId="26B02941" w14:textId="6C349A0D">
                          <w:pPr>
                            <w:suppressAutoHyphens/>
                            <w:spacing w:line="256" w:lineRule="auto"/>
                            <w:ind w:firstLine="851"/>
                            <w:jc w:val="both"/>
                            <w:rPr>
                              <w:lang w:eastAsia="lt-LT"/>
                            </w:rPr>
                          </w:pPr>
                          <w:r>
                            <w:rPr>
                              <w:szCs w:val="24"/>
                              <w:lang w:eastAsia="lt-LT"/>
                            </w:rPr>
                            <w:t>„</w:t>
                          </w:r>
                          <w:sdt>
                            <w:sdtPr>
                              <w:alias w:val="Numeris"/>
                              <w:tag w:val="nr_611af4de91ea4d5ba42a6350eda0dff7"/>
                              <w:lock w:val="sdtLocked"/>
                              <w:richText/>
                            </w:sdtPr>
                            <w:sdtContent>
                              <w:r>
                                <w:rPr>
                                  <w:szCs w:val="24"/>
                                  <w:lang w:eastAsia="lt-LT"/>
                                </w:rPr>
                                <w:t>20</w:t>
                              </w:r>
                            </w:sdtContent>
                          </w:sdt>
                          <w:r>
                            <w:rPr>
                              <w:szCs w:val="24"/>
                              <w:lang w:eastAsia="lt-LT"/>
                            </w:rPr>
                            <w:t>. Savivaldybės administracijos direktorius apie atsisakymą rengti Savivaldybės tarybos sprendimų projektus, esant Aprašo 19 punkte nustatytiems pagrindams, bendrovę informuoja raštu. Toks Savivaldybės administracijos direktoriaus sprendimas gali būti skundžiamas teisės aktų nustatyta tvarka.“</w:t>
                          </w:r>
                          <w:r>
                            <w:rPr>
                              <w:lang w:eastAsia="lt-LT"/>
                            </w:rPr>
                            <w:t xml:space="preserve"> </w:t>
                          </w:r>
                        </w:p>
                      </w:sdtContent>
                    </w:sdt>
                  </w:sdtContent>
                </w:sdt>
              </w:sdtContent>
            </w:sdt>
            <w:sdt>
              <w:sdtPr>
                <w:alias w:val="2.9 pp."/>
                <w:tag w:val="part_036ccb2a53434442a02b0af9b777c0f3"/>
                <w:lock w:val="sdtLocked"/>
                <w:richText/>
              </w:sdtPr>
              <w:sdtContent>
                <w:p w14:paraId="44500B95" w14:textId="03135C6F">
                  <w:pPr>
                    <w:widowControl w:val="0"/>
                    <w:suppressAutoHyphens/>
                    <w:ind w:left="851"/>
                    <w:jc w:val="both"/>
                    <w:rPr>
                      <w:rFonts w:cs="Calibri"/>
                      <w:bCs/>
                      <w:szCs w:val="24"/>
                      <w:lang w:eastAsia="ar-SA"/>
                    </w:rPr>
                  </w:pPr>
                  <w:sdt>
                    <w:sdtPr>
                      <w:alias w:val="Numeris"/>
                      <w:tag w:val="nr_036ccb2a53434442a02b0af9b777c0f3"/>
                      <w:lock w:val="sdtLocked"/>
                      <w:richText/>
                    </w:sdtPr>
                    <w:sdtContent>
                      <w:r>
                        <w:rPr>
                          <w:lang w:eastAsia="lt-LT"/>
                        </w:rPr>
                        <w:t>2.9</w:t>
                      </w:r>
                    </w:sdtContent>
                  </w:sdt>
                  <w:r>
                    <w:rPr>
                      <w:lang w:eastAsia="lt-LT"/>
                    </w:rPr>
                    <w:t>. Pakeisti Aprašo 1 priedą ir jį išdėstyti nauja redakcija (pridedama).</w:t>
                  </w:r>
                </w:p>
                <w:p w14:paraId="5D7A1639" w14:textId="4D9E8D23">
                  <w:pPr>
                    <w:suppressAutoHyphens/>
                    <w:ind w:firstLine="851"/>
                    <w:jc w:val="both"/>
                    <w:rPr>
                      <w:b/>
                      <w:lang w:eastAsia="lt-LT"/>
                    </w:rPr>
                  </w:pPr>
                </w:p>
                <w:p w14:paraId="0AEBB1FA" w14:textId="77777777">
                  <w:pPr>
                    <w:suppressAutoHyphens/>
                    <w:jc w:val="both"/>
                    <w:rPr>
                      <w:rFonts w:eastAsia="MS Mincho"/>
                      <w:iCs/>
                      <w:szCs w:val="24"/>
                      <w:lang w:eastAsia="lt-LT"/>
                    </w:rPr>
                  </w:pPr>
                </w:p>
              </w:sdtContent>
            </w:sdt>
          </w:sdtContent>
        </w:sdt>
        <w:sdt>
          <w:sdtPr>
            <w:alias w:val="signatura"/>
            <w:tag w:val="part_e5d8b24c177d45a791816d8a32ddb808"/>
            <w:lock w:val="sdtLocked"/>
            <w:richText/>
          </w:sdtPr>
          <w:sdtContent>
            <w:p w14:paraId="362B88DA" w14:textId="77777777">
              <w:pPr>
                <w:widowControl w:val="0"/>
                <w:suppressAutoHyphens/>
                <w:jc w:val="both"/>
                <w:rPr>
                  <w:rFonts w:eastAsia="Lucida Sans Unicode"/>
                  <w:szCs w:val="24"/>
                  <w:lang w:eastAsia="lt-LT"/>
                </w:rPr>
              </w:pPr>
              <w:r>
                <w:rPr>
                  <w:rFonts w:eastAsia="Lucida Sans Unicode"/>
                  <w:szCs w:val="24"/>
                  <w:lang w:eastAsia="lt-LT"/>
                </w:rPr>
                <w:t>Savivaldybės meras</w:t>
              </w:r>
            </w:p>
          </w:sdtContent>
        </w:sdt>
      </w:sdtContent>
    </w:sdt>
    <w:sectPr>
      <w:headerReference w:type="even" r:id="rId6"/>
      <w:headerReference w:type="default" r:id="rId7"/>
      <w:footerReference w:type="even" r:id="rId8"/>
      <w:footerReference w:type="default" r:id="rId9"/>
      <w:headerReference w:type="first" r:id="rId10"/>
      <w:footerReference w:type="first" r:id="rId11"/>
      <w:footnotePr>
        <w:pos w:val="beneathText"/>
      </w:footnotePr>
      <w:pgSz w:w="11905" w:h="16837" w:code="9"/>
      <w:pgMar w:top="1134" w:right="567" w:bottom="1134" w:left="1701" w:header="0"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CF99166" w14:textId="77777777">
      <w:pPr>
        <w:suppressAutoHyphens/>
        <w:rPr>
          <w:lang w:eastAsia="lt-LT"/>
        </w:rPr>
      </w:pPr>
      <w:r>
        <w:rPr>
          <w:lang w:eastAsia="lt-LT"/>
        </w:rPr>
        <w:separator/>
      </w:r>
    </w:p>
  </w:endnote>
  <w:endnote w:type="continuationSeparator" w:id="0">
    <w:p w14:paraId="1050D76B" w14:textId="77777777">
      <w:pPr>
        <w:suppressAutoHyphens/>
        <w:rPr>
          <w:lang w:eastAsia="lt-LT"/>
        </w:rPr>
      </w:pPr>
      <w:r>
        <w:rPr>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charset w:val="00"/>
    <w:family w:val="auto"/>
    <w:pitch w:val="variable"/>
  </w:font>
  <w:font w:name="Andale Sans UI">
    <w:altName w:val="Arial"/>
    <w:charset w:val="00"/>
    <w:family w:val="auto"/>
    <w:pitch w:val="variable"/>
  </w:font>
  <w:font w:name="Calibri">
    <w:panose1 w:val="020F0502020204030204"/>
    <w:charset w:val="BA"/>
    <w:family w:val="swiss"/>
    <w:pitch w:val="variable"/>
    <w:sig w:usb0="E0002EFF" w:usb1="C0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Lucida Sans Unicode">
    <w:panose1 w:val="020B0602030504020204"/>
    <w:charset w:val="BA"/>
    <w:family w:val="swiss"/>
    <w:pitch w:val="variable"/>
    <w:sig w:usb0="80000AFF" w:usb1="0000396B" w:usb2="00000000" w:usb3="00000000" w:csb0="000000BF" w:csb1="00000000"/>
  </w:font>
  <w:font w:name="Cambria">
    <w:panose1 w:val="02040503050406030204"/>
    <w:charset w:val="BA"/>
    <w:family w:val="roman"/>
    <w:pitch w:val="variable"/>
    <w:sig w:usb0="E00006FF" w:usb1="420024FF" w:usb2="02000000" w:usb3="00000000" w:csb0="0000019F" w:csb1="00000000"/>
  </w:font>
  <w:font w:name="Microsoft Uighur">
    <w:panose1 w:val="02000000000000000000"/>
    <w:charset w:val="00"/>
    <w:family w:val="auto"/>
    <w:pitch w:val="variable"/>
    <w:sig w:usb0="80002023" w:usb1="80000002" w:usb2="00000008" w:usb3="00000000" w:csb0="00000041"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1A2411" w14:textId="77777777">
    <w:pPr>
      <w:tabs>
        <w:tab w:val="center" w:pos="4819"/>
        <w:tab w:val="right" w:pos="9638"/>
      </w:tabs>
      <w:suppressAutoHyphens/>
      <w:rPr>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DB1D84" w14:textId="77777777">
    <w:pPr>
      <w:tabs>
        <w:tab w:val="center" w:pos="4819"/>
        <w:tab w:val="right" w:pos="9638"/>
      </w:tabs>
      <w:suppressAutoHyphens/>
      <w:rPr>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67CD12" w14:textId="77777777">
    <w:pPr>
      <w:tabs>
        <w:tab w:val="center" w:pos="4819"/>
        <w:tab w:val="right" w:pos="9638"/>
      </w:tabs>
      <w:suppressAutoHyphens/>
      <w:rPr>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81F87CC" w14:textId="77777777">
      <w:pPr>
        <w:suppressAutoHyphens/>
        <w:rPr>
          <w:lang w:eastAsia="lt-LT"/>
        </w:rPr>
      </w:pPr>
      <w:r>
        <w:rPr>
          <w:lang w:eastAsia="lt-LT"/>
        </w:rPr>
        <w:separator/>
      </w:r>
    </w:p>
  </w:footnote>
  <w:footnote w:type="continuationSeparator" w:id="0">
    <w:p w14:paraId="3FE2B062" w14:textId="77777777">
      <w:pPr>
        <w:suppressAutoHyphens/>
        <w:rPr>
          <w:lang w:eastAsia="lt-LT"/>
        </w:rPr>
      </w:pPr>
      <w:r>
        <w:rPr>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5BA05C" w14:textId="77777777">
    <w:pPr>
      <w:tabs>
        <w:tab w:val="center" w:pos="4819"/>
        <w:tab w:val="right" w:pos="9638"/>
      </w:tabs>
      <w:suppressAutoHyphens/>
      <w:rPr>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27D7B5" w14:textId="77777777">
    <w:pPr>
      <w:tabs>
        <w:tab w:val="center" w:pos="4819"/>
        <w:tab w:val="right" w:pos="9638"/>
      </w:tabs>
      <w:suppressAutoHyphens/>
      <w:jc w:val="center"/>
      <w:rPr>
        <w:lang w:eastAsia="lt-LT"/>
      </w:rPr>
    </w:pPr>
  </w:p>
  <w:p w14:paraId="7C848EE5" w14:textId="77777777">
    <w:pPr>
      <w:tabs>
        <w:tab w:val="center" w:pos="4819"/>
        <w:tab w:val="right" w:pos="9638"/>
      </w:tabs>
      <w:suppressAutoHyphens/>
      <w:jc w:val="center"/>
      <w:rPr>
        <w:lang w:eastAsia="lt-LT"/>
      </w:rPr>
    </w:pPr>
  </w:p>
  <w:p w14:paraId="4327D7B6" w14:textId="141B75D8">
    <w:pPr>
      <w:tabs>
        <w:tab w:val="center" w:pos="4819"/>
        <w:tab w:val="right" w:pos="9638"/>
      </w:tabs>
      <w:suppressAutoHyphens/>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14:paraId="4327D7B7" w14:textId="77777777">
    <w:pPr>
      <w:tabs>
        <w:tab w:val="center" w:pos="4819"/>
        <w:tab w:val="right" w:pos="9638"/>
      </w:tabs>
      <w:suppressAutoHyphens/>
      <w:rPr>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27D7BA" w14:textId="5CC31788">
    <w:pPr>
      <w:tabs>
        <w:tab w:val="center" w:pos="4819"/>
        <w:tab w:val="right" w:pos="9638"/>
      </w:tabs>
      <w:suppressAutoHyphens/>
      <w:rPr>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revisionView w:inkAnnotations="0"/>
  <w:defaultTabStop w:val="1296"/>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hdrShapeDefaults>
    <o:shapedefaults v:ext="edit" spidmax="2050"/>
  </w:hdrShapeDefaults>
  <w:footnotePr>
    <w:pos w:val="beneathText"/>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E4E40"/>
  </w:rsids>
  <m:mathPr>
    <m:mathFont m:val="Cambria Math"/>
    <m:brkBin m:val="before"/>
    <m:brkBinSub m:val="--"/>
    <m:smallFrac m:val="0"/>
    <m:dispDef/>
    <m:lMargin m:val="0"/>
    <m:rMargin m:val="0"/>
    <m:defJc m:val="centerGroup"/>
    <m:wrapIndent m:val="1440"/>
    <m:intLim m:val="subSup"/>
    <m:naryLim m:val="undOvr"/>
  </m:mathPr>
  <w:themeFontLang w:val="lt-LT" w:bidi="ug-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327D787"/>
  <w15:docId w15:val="{FDF0EA9D-27D7-47E7-B314-F07BD665210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9475803">
      <w:bodyDiv w:val="1"/>
      <w:marLeft w:val="0"/>
      <w:marRight w:val="0"/>
      <w:marTop w:val="0"/>
      <w:marBottom w:val="0"/>
      <w:divBdr>
        <w:top w:val="none" w:sz="0" w:space="0" w:color="auto"/>
        <w:left w:val="none" w:sz="0" w:space="0" w:color="auto"/>
        <w:bottom w:val="none" w:sz="0" w:space="0" w:color="auto"/>
        <w:right w:val="none" w:sz="0" w:space="0" w:color="auto"/>
      </w:divBdr>
    </w:div>
    <w:div w:id="885407151">
      <w:bodyDiv w:val="1"/>
      <w:marLeft w:val="0"/>
      <w:marRight w:val="0"/>
      <w:marTop w:val="0"/>
      <w:marBottom w:val="0"/>
      <w:divBdr>
        <w:top w:val="none" w:sz="0" w:space="0" w:color="auto"/>
        <w:left w:val="none" w:sz="0" w:space="0" w:color="auto"/>
        <w:bottom w:val="none" w:sz="0" w:space="0" w:color="auto"/>
        <w:right w:val="none" w:sz="0" w:space="0" w:color="auto"/>
      </w:divBdr>
    </w:div>
    <w:div w:id="1026515912">
      <w:bodyDiv w:val="1"/>
      <w:marLeft w:val="0"/>
      <w:marRight w:val="0"/>
      <w:marTop w:val="0"/>
      <w:marBottom w:val="0"/>
      <w:divBdr>
        <w:top w:val="none" w:sz="0" w:space="0" w:color="auto"/>
        <w:left w:val="none" w:sz="0" w:space="0" w:color="auto"/>
        <w:bottom w:val="none" w:sz="0" w:space="0" w:color="auto"/>
        <w:right w:val="none" w:sz="0" w:space="0" w:color="auto"/>
      </w:divBdr>
    </w:div>
    <w:div w:id="10528461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3c81580bbff4af1ba513f7b6d06377a" PartId="96fa3bc00b1d4928ad659012f94c35f4">
    <Part Type="preambule" DocPartId="266b5fb904b4410daf24e69d1cba4937" PartId="1f5d5521570b428fa00b3d8dbb0ff436"/>
    <Part Type="pastraipa" DocPartId="a1340899f51e492292177e83b4b59864" PartId="70d2ccbe09c14b5b97b6515778eaf079"/>
    <Part Type="punktas" Nr="1" Abbr="1 p." DocPartId="91b1b45e7115422f8af289ae24ecb8fe" PartId="bb9df49124aa4b788b03a625395ebc36">
      <Part Type="citata" DocPartId="018d697287af485bb2280985f0c50c74" PartId="e5c59743d407418e821762d52cbba346">
        <Part Type="punktas" Nr="2" Abbr="2 p." DocPartId="f0adc3d9bd1d4a1aae0e6d681d7cfd3c" PartId="9ed4ef8192714ace89118023da454db4"/>
      </Part>
    </Part>
    <Part Type="punktas" Nr="2" Abbr="2 p." DocPartId="f40c834de0124a9e87f4a95ee92465a1" PartId="0229530ec1ae4d4993cc4f10ec5cc4ea">
      <Part Type="papunktis" Nr="2.1" Abbr="2.1 pp." DocPartId="a66a132e47f14520ab22bc7a0b90f2aa" PartId="2e23470500f44166891a4a3c27880bf6">
        <Part Type="citata" DocPartId="9b941800afeb4c7f8012eb85a32a7097" PartId="6d94fe4b2b28455fa131f428d5109cb1">
          <Part Type="punktas" Nr="5" Abbr="5 p." DocPartId="908a5b25d04e41e0824f2d64e3403419" PartId="62b6495dfde04125b263d8d12310fa54"/>
        </Part>
      </Part>
      <Part Type="papunktis" Nr="2.2" Abbr="2.2 pp." DocPartId="3e012494826d4d01be0085b15cafb3c4" PartId="612e4425e1844f9c913b61dfedee7eea">
        <Part Type="citata" DocPartId="dffef1d3f5c24dc6ab6ef1c658dee2c7" PartId="7f047992ea86421a8c08ed9a11f92d27">
          <Part Type="punktas" Nr="11" Abbr="11 p." DocPartId="c1c0dd26e51f4c70bbc31f048fac4075" PartId="96ffae6780114825b4008be7f4295ece"/>
        </Part>
      </Part>
      <Part Type="papunktis" Nr="2.3" Abbr="2.3 pp." DocPartId="50edcda0e95d4be9b480825dbd7488b3" PartId="a4fbc1f8dd6b404899930b48fa30f68f">
        <Part Type="citata" DocPartId="20a39106da994c6c85f4f744da4a7d0d" PartId="94eb974e2e6f44eca239f3819b978e08">
          <Part Type="punktas" Nr="14" Abbr="14 p." DocPartId="e5f7b0ec429643b4998a55d238ca8467" PartId="eff975ef67c14aa4b6c94cee0631d3aa"/>
        </Part>
      </Part>
      <Part Type="papunktis" Nr="2.4" Abbr="2.4 pp." DocPartId="87bfe3e014f74b72a70550fd25eb919f" PartId="85aa9367c0424751816026970a3510f3">
        <Part Type="citata" DocPartId="960d880ba4aa466b94d82801a731165d" PartId="c453b45159334af389e3c9914622a91c">
          <Part Type="punktas" Nr="15" Abbr="15 p." DocPartId="7f64f51b0f9c47c7aeb5ecbb1759c66e" PartId="035faf0b8c484816823db803698c14d9"/>
        </Part>
      </Part>
      <Part Type="papunktis" Nr="2.5" Abbr="2.5 pp." DocPartId="9d11f88718f44aceaed07537be15acd6" PartId="3620db1cb4d8441880d9b9986a8a3d76">
        <Part Type="citata" DocPartId="292a36886b4f4074b7b7e6843a3b50d4" PartId="3641e76398f646598e56741de581927a">
          <Part Type="punktas" Nr="16" Abbr="16 p." DocPartId="b51a57a575ff4b31a51802acf84f1650" PartId="2617fc3d438a4e43bcb21ba13ea3d1e1"/>
        </Part>
      </Part>
      <Part Type="papunktis" Nr="2.6" Abbr="2.6 pp." DocPartId="ed45a1f00ba54b46b6134dc335cf0479" PartId="80f5d922b77e42d78275d1af2890633f">
        <Part Type="citata" DocPartId="c37976a7299f4765947de8147f2e47c5" PartId="91471c88af394228a8eb0c72960825bc">
          <Part Type="punktas" Nr="17" Abbr="17 p." DocPartId="a8b55d02d1b84bc08ba57f294f7c8ed4" PartId="2a93d36ca87540bda19eb63eed98e102"/>
        </Part>
      </Part>
      <Part Type="papunktis" Nr="2.7" Abbr="2.7 pp." DocPartId="81d94cd3fa324d7e8d606b21a1ce49f1" PartId="09e7b59b1f3a4b8aa36071ceca374ffc">
        <Part Type="citata" DocPartId="0c3492617bbe44eb9c6aa236f11dccbb" PartId="2bf5452248ce4a2e8dea54c9c22d09c1">
          <Part Type="punktas" Nr="18" Abbr="18 p." DocPartId="7b3ebba7274641bbade294ea1321b529" PartId="3ac74562fb2f4dfd90f991436beb1de0"/>
        </Part>
      </Part>
      <Part Type="papunktis" Nr="2.8" Abbr="2.8 pp." DocPartId="697357f970de400d97bcf51252b21bac" PartId="c66aae3f357e4ab3aeb5ee86f0aaa8a9">
        <Part Type="citata" DocPartId="05313ccc65b5417bb3982b0c0e77bea6" PartId="4c08fc84e96f4d3ea3f4838c800c69d9">
          <Part Type="punktas" Nr="20" Abbr="20 p." DocPartId="4decf85d36f94cdbb9bbb6e97614a89a" PartId="611af4de91ea4d5ba42a6350eda0dff7"/>
        </Part>
      </Part>
      <Part Type="papunktis" Nr="2.9" Abbr="2.9 pp." DocPartId="9f223bbd4a9441e4b2c0ab657c7b1f7a" PartId="036ccb2a53434442a02b0af9b777c0f3"/>
    </Part>
    <Part Type="signatura" DocPartId="b508eb8bfbbe4818baea0e04b74f112d" PartId="e5d8b24c177d45a791816d8a32ddb808"/>
  </Part>
</Parts>
</file>

<file path=customXml/itemProps1.xml><?xml version="1.0" encoding="utf-8"?>
<ds:datastoreItem xmlns:ds="http://schemas.openxmlformats.org/officeDocument/2006/customXml" ds:itemID="{8BDCCC38-C6E4-4562-ACBE-739E004321B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546</Words>
  <Characters>3820</Characters>
  <Application>Microsoft Office Word</Application>
  <DocSecurity>4</DocSecurity>
  <Lines>70</Lines>
  <Paragraphs>32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Tarifu skaicčiavimas 2009 - 2013m.</vt:lpstr>
      <vt:lpstr>Tarifu skaicčiavimas 2009 - 2013m.</vt:lpstr>
    </vt:vector>
  </TitlesOfParts>
  <Company/>
  <LinksUpToDate>false</LinksUpToDate>
  <CharactersWithSpaces>4334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2025-05-06T13:31:00Z</dcterms:created>
  <dc:creator>Simona Virbukienė</dc:creator>
  <lastModifiedBy>adlibuser</lastModifiedBy>
  <lastPrinted>2024-04-10T07:03:00Z</lastPrinted>
  <dcterms:modified xsi:type="dcterms:W3CDTF">2025-05-06T13:31:00Z</dcterms:modified>
  <revision>2</revision>
  <dc:title>Tarifu skaicčiavimas 2009 - 2013m.</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infolexID">
    <vt:lpwstr>A44B3CA8-49D4-4DE2-86B7-9FD2EB07C5BA</vt:lpwstr>
  </property>
</Properties>
</file>