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d1d412fee142968a1f75bad0e2b3e2"/>
        <w:lock w:val="sdtLocked"/>
        <w:richText/>
      </w:sdtPr>
      <w:sdtContent>
        <w:p>
          <w:pPr>
            <w:keepNext/>
            <w:ind w:left="6480" w:firstLine="1296"/>
            <w:outlineLvl w:val="2"/>
            <w:rPr>
              <w:b/>
              <w:bCs/>
              <w:szCs w:val="24"/>
            </w:rPr>
          </w:pPr>
          <w:r>
            <w:rPr>
              <w:b/>
              <w:bCs/>
              <w:szCs w:val="24"/>
            </w:rPr>
            <w:t>Projektas</w:t>
          </w:r>
        </w:p>
        <w:p>
          <w:pPr>
            <w:keepNext/>
            <w:ind w:left="6480" w:firstLine="1296"/>
            <w:outlineLvl w:val="2"/>
            <w:rPr>
              <w:szCs w:val="24"/>
            </w:rPr>
          </w:pPr>
          <w:r>
            <w:rPr>
              <w:sz w:val="26"/>
              <w:szCs w:val="26"/>
            </w:rPr>
            <w:t>Nr. TSP-</w:t>
          </w:r>
        </w:p>
        <w:p>
          <w:pPr>
            <w:rPr>
              <w:sz w:val="20"/>
            </w:rPr>
          </w:pPr>
        </w:p>
        <w:p>
          <w:pPr>
            <w:keepNext/>
            <w:jc w:val="center"/>
            <w:outlineLvl w:val="2"/>
            <w:rPr>
              <w:b/>
              <w:bCs/>
              <w:szCs w:val="24"/>
            </w:rPr>
          </w:pPr>
          <w:r>
            <w:rPr>
              <w:b/>
              <w:bCs/>
              <w:szCs w:val="24"/>
            </w:rPr>
            <w:t>RADVILIŠKIO RAJONO SAVIVALDYBĖS TARYBA</w:t>
          </w:r>
        </w:p>
        <w:p>
          <w:pPr>
            <w:rPr>
              <w:sz w:val="6"/>
              <w:szCs w:val="6"/>
            </w:rPr>
          </w:pPr>
        </w:p>
        <w:p>
          <w:pPr>
            <w:rPr>
              <w:rFonts w:ascii="Calibri" w:hAnsi="Calibri" w:cs="Calibri"/>
              <w:szCs w:val="24"/>
              <w:lang w:eastAsia="lt-LT"/>
            </w:rPr>
          </w:pPr>
        </w:p>
        <w:p>
          <w:pPr>
            <w:keepNext/>
            <w:jc w:val="center"/>
            <w:rPr>
              <w:b/>
              <w:szCs w:val="24"/>
            </w:rPr>
          </w:pPr>
          <w:r>
            <w:rPr>
              <w:b/>
              <w:szCs w:val="24"/>
            </w:rPr>
            <w:t>SPRENDIMAS</w:t>
          </w:r>
        </w:p>
        <w:p>
          <w:pPr>
            <w:keepNext/>
            <w:jc w:val="center"/>
            <w:rPr>
              <w:b/>
              <w:bCs/>
            </w:rPr>
          </w:pPr>
          <w:r>
            <w:rPr>
              <w:b/>
              <w:szCs w:val="24"/>
            </w:rPr>
            <w:t>DĖL</w:t>
          </w:r>
          <w:r>
            <w:rPr>
              <w:b/>
              <w:bCs/>
              <w:szCs w:val="24"/>
              <w:lang w:eastAsia="lt-LT"/>
            </w:rPr>
            <w:t xml:space="preserve"> PRITARIMO</w:t>
          </w:r>
          <w:r>
            <w:rPr>
              <w:b/>
              <w:szCs w:val="24"/>
            </w:rPr>
            <w:t xml:space="preserve"> </w:t>
          </w:r>
          <w:r>
            <w:rPr>
              <w:b/>
              <w:bCs/>
              <w:color w:val="000000"/>
              <w:szCs w:val="24"/>
            </w:rPr>
            <w:t xml:space="preserve">RADVILIŠKIO MIESTO </w:t>
          </w:r>
          <w:r>
            <w:rPr>
              <w:b/>
              <w:bCs/>
              <w:szCs w:val="24"/>
              <w:lang w:eastAsia="lt-LT"/>
            </w:rPr>
            <w:t>INFRASTRUKTŪROS PLĖTRAI REIKALINGŲ ŽEMĖS SKLYPŲ ĮSIGIJIMUI</w:t>
          </w:r>
        </w:p>
        <w:p>
          <w:pPr>
            <w:rPr>
              <w:sz w:val="20"/>
            </w:rPr>
          </w:pPr>
        </w:p>
        <w:p>
          <w:pPr>
            <w:jc w:val="center"/>
            <w:outlineLvl w:val="4"/>
            <w:rPr>
              <w:bCs/>
              <w:iCs/>
              <w:szCs w:val="24"/>
              <w:lang w:eastAsia="lt-LT"/>
            </w:rPr>
          </w:pPr>
          <w:r>
            <w:rPr>
              <w:bCs/>
              <w:iCs/>
              <w:szCs w:val="24"/>
              <w:lang w:eastAsia="lt-LT"/>
            </w:rPr>
            <w:t xml:space="preserve">2025 m.                        d. Nr. T-</w:t>
          </w:r>
        </w:p>
        <w:p>
          <w:pPr>
            <w:rPr>
              <w:sz w:val="6"/>
              <w:szCs w:val="6"/>
            </w:rPr>
          </w:pPr>
        </w:p>
        <w:p>
          <w:pPr>
            <w:jc w:val="center"/>
            <w:rPr>
              <w:szCs w:val="24"/>
              <w:lang w:eastAsia="lt-LT"/>
            </w:rPr>
          </w:pPr>
          <w:r>
            <w:rPr>
              <w:szCs w:val="24"/>
              <w:lang w:eastAsia="lt-LT"/>
            </w:rPr>
            <w:t>Radviliškis</w:t>
          </w:r>
        </w:p>
        <w:p>
          <w:pPr>
            <w:rPr>
              <w:color w:val="000000"/>
              <w:szCs w:val="24"/>
              <w:lang w:eastAsia="lt-LT"/>
            </w:rPr>
          </w:pPr>
        </w:p>
        <w:sdt>
          <w:sdtPr>
            <w:alias w:val="preambule"/>
            <w:tag w:val="part_03282ea3b88c47c1b66df1ce09ccf081"/>
            <w:lock w:val="sdtLocked"/>
            <w:richText/>
          </w:sdtPr>
          <w:sdtContent>
            <w:p>
              <w:pPr>
                <w:ind w:firstLine="720"/>
                <w:jc w:val="both"/>
                <w:rPr>
                  <w:spacing w:val="48"/>
                  <w:szCs w:val="24"/>
                  <w:lang w:eastAsia="lt-LT"/>
                </w:rPr>
              </w:pPr>
              <w:r>
                <w:rPr>
                  <w:szCs w:val="24"/>
                  <w:lang w:eastAsia="lt-LT"/>
                </w:rPr>
                <w:t>Vadovaudamasi Lietuvos Respublikos vietos savivaldos įstatymo 6 straipsnio 19 punktu, Žemės, esamų pastatų ar kitų nekilnojamųjų daiktų įsigijimo arba nuomos ar teisių į šiuos daiktus įsigijimo tvarkos aprašo, patvirtinto Lietuvos Respublikos Vyriausybės 2017 m. gruodžio 13 d. nutarimo Nr. 1036 „Dėl Žemės, esamų pastatų ar kitų nekilnojamųjų daiktų įsigijimo arba nuomos ar teisių į šiuos daiktus įsigijimo tvarkos aprašo patvirtinimo“, 72</w:t>
              </w:r>
              <w:r>
                <w:rPr>
                  <w:szCs w:val="24"/>
                  <w:vertAlign w:val="superscript"/>
                  <w:lang w:eastAsia="lt-LT"/>
                </w:rPr>
                <w:t>1</w:t>
              </w:r>
              <w:r>
                <w:rPr>
                  <w:szCs w:val="24"/>
                  <w:lang w:eastAsia="lt-LT"/>
                </w:rPr>
                <w:t xml:space="preserve"> punktu ir Radviliškio miesto teritorijos bendrojo plano sprendiniais, patvirtintais Radviliškio rajono savivaldybės tarybos 2023 m. rugpjūčio 31 d. sprendimu Nr. T-116 „Dėl Radviliškio miesto teritorijos bendrojo plano keitimo patvirtinimo“, Radviliškio rajono savivaldybės taryba </w:t>
              </w:r>
              <w:r>
                <w:rPr>
                  <w:spacing w:val="48"/>
                  <w:szCs w:val="24"/>
                  <w:lang w:eastAsia="lt-LT"/>
                </w:rPr>
                <w:t>nusprendžia:</w:t>
              </w:r>
            </w:p>
          </w:sdtContent>
        </w:sdt>
        <w:sdt>
          <w:sdtPr>
            <w:alias w:val="1 p."/>
            <w:tag w:val="part_d4b34e588fe6421a84b4c30dbdc523b0"/>
            <w:lock w:val="sdtLocked"/>
            <w:richText/>
          </w:sdtPr>
          <w:sdtContent>
            <w:p>
              <w:pPr>
                <w:ind w:firstLine="851"/>
                <w:jc w:val="both"/>
                <w:rPr>
                  <w:szCs w:val="24"/>
                  <w:lang w:eastAsia="lt-LT"/>
                </w:rPr>
              </w:pPr>
              <w:sdt>
                <w:sdtPr>
                  <w:alias w:val="Numeris"/>
                  <w:tag w:val="nr_d4b34e588fe6421a84b4c30dbdc523b0"/>
                  <w:lock w:val="sdtLocked"/>
                  <w:richText/>
                </w:sdtPr>
                <w:sdtContent>
                  <w:r>
                    <w:rPr>
                      <w:spacing w:val="48"/>
                      <w:szCs w:val="24"/>
                      <w:lang w:eastAsia="lt-LT"/>
                    </w:rPr>
                    <w:t>1</w:t>
                  </w:r>
                </w:sdtContent>
              </w:sdt>
              <w:r>
                <w:rPr>
                  <w:spacing w:val="48"/>
                  <w:szCs w:val="24"/>
                  <w:lang w:eastAsia="lt-LT"/>
                </w:rPr>
                <w:t>.</w:t>
              </w:r>
              <w:r>
                <w:rPr>
                  <w:szCs w:val="24"/>
                  <w:lang w:eastAsia="lt-LT"/>
                </w:rPr>
                <w:t xml:space="preserve"> Pritarti Savivaldybės infrastruktūros plėtrai reikalingų žemės sklypų įsigijimui: </w:t>
              </w:r>
            </w:p>
            <w:sdt>
              <w:sdtPr>
                <w:alias w:val="1.1 pp."/>
                <w:tag w:val="part_841f33e1b8fc4f2a805e5b0c5435fb48"/>
                <w:lock w:val="sdtLocked"/>
                <w:richText/>
              </w:sdtPr>
              <w:sdtContent>
                <w:p>
                  <w:pPr>
                    <w:ind w:firstLine="851"/>
                    <w:jc w:val="both"/>
                    <w:rPr>
                      <w:rFonts w:ascii="Calibri" w:hAnsi="Calibri" w:cs="Calibri"/>
                      <w:szCs w:val="24"/>
                      <w:lang w:eastAsia="lt-LT"/>
                    </w:rPr>
                  </w:pPr>
                  <w:sdt>
                    <w:sdtPr>
                      <w:alias w:val="Numeris"/>
                      <w:tag w:val="nr_841f33e1b8fc4f2a805e5b0c5435fb48"/>
                      <w:lock w:val="sdtLocked"/>
                      <w:richText/>
                    </w:sdtPr>
                    <w:sdtContent>
                      <w:r>
                        <w:rPr>
                          <w:szCs w:val="24"/>
                          <w:lang w:eastAsia="lt-LT"/>
                        </w:rPr>
                        <w:t>1.1</w:t>
                      </w:r>
                    </w:sdtContent>
                  </w:sdt>
                  <w:r>
                    <w:rPr>
                      <w:szCs w:val="24"/>
                      <w:lang w:eastAsia="lt-LT"/>
                    </w:rPr>
                    <w:t>.</w:t>
                    <w:tab/>
                  </w:r>
                  <w:r>
                    <w:rPr>
                      <w:rFonts w:ascii="Calibri" w:hAnsi="Calibri" w:cs="Calibri"/>
                      <w:szCs w:val="24"/>
                      <w:lang w:eastAsia="lt-LT"/>
                    </w:rPr>
                    <w:t xml:space="preserve"> Susisiekimo ir inžinerinių tinklų koridorių teritorijų 0,1601 ha ploto žemės sklypą (kadastrinis Nr. 7157/0019:369, unikalus Nr. 4400-6450-7895), reikalingą Alytaus gatvės tęsiniui, Radviliškio mieste įrengti (toliau – Žemės sklypas Nr. 1);</w:t>
                  </w:r>
                </w:p>
              </w:sdtContent>
            </w:sdt>
            <w:sdt>
              <w:sdtPr>
                <w:alias w:val="1.2 pp."/>
                <w:tag w:val="part_28bfb9aabca64b3087be600a14cf6746"/>
                <w:lock w:val="sdtLocked"/>
                <w:richText/>
              </w:sdtPr>
              <w:sdtContent>
                <w:p>
                  <w:pPr>
                    <w:ind w:firstLine="851"/>
                    <w:jc w:val="both"/>
                    <w:rPr>
                      <w:rFonts w:ascii="Calibri" w:hAnsi="Calibri" w:cs="Calibri"/>
                      <w:szCs w:val="24"/>
                      <w:lang w:eastAsia="lt-LT"/>
                    </w:rPr>
                  </w:pPr>
                  <w:sdt>
                    <w:sdtPr>
                      <w:alias w:val="Numeris"/>
                      <w:tag w:val="nr_28bfb9aabca64b3087be600a14cf6746"/>
                      <w:lock w:val="sdtLocked"/>
                      <w:richText/>
                    </w:sdtPr>
                    <w:sdtContent>
                      <w:r>
                        <w:rPr>
                          <w:szCs w:val="24"/>
                          <w:lang w:eastAsia="lt-LT"/>
                        </w:rPr>
                        <w:t>1.2</w:t>
                      </w:r>
                    </w:sdtContent>
                  </w:sdt>
                  <w:r>
                    <w:rPr>
                      <w:szCs w:val="24"/>
                      <w:lang w:eastAsia="lt-LT"/>
                    </w:rPr>
                    <w:t>.</w:t>
                    <w:tab/>
                  </w:r>
                  <w:r>
                    <w:rPr>
                      <w:rFonts w:ascii="Calibri" w:hAnsi="Calibri" w:cs="Calibri"/>
                      <w:szCs w:val="24"/>
                      <w:lang w:eastAsia="lt-LT"/>
                    </w:rPr>
                    <w:t xml:space="preserve"> Susisiekimo ir inžinerinių tinklų koridorių teritorijų 0,3231 ha ploto žemės sklypą (kadastrinis Nr. 7157/0018:168, unikalus Nr. 4400-2303-7872), reikalingą Perkūno ir Romualdo Petkevičiaus gatvių dalims, Radviliškio mieste įrengti (toliau – Žemės sklypas Nr. 2).</w:t>
                  </w:r>
                </w:p>
              </w:sdtContent>
            </w:sdt>
          </w:sdtContent>
        </w:sdt>
        <w:sdt>
          <w:sdtPr>
            <w:alias w:val="2 p."/>
            <w:tag w:val="part_c5ea0f6278fc4688aa7c0cd7acc02904"/>
            <w:lock w:val="sdtLocked"/>
            <w:richText/>
          </w:sdtPr>
          <w:sdtContent>
            <w:p>
              <w:pPr>
                <w:ind w:firstLine="851"/>
                <w:jc w:val="both"/>
                <w:rPr>
                  <w:rFonts w:ascii="Calibri" w:hAnsi="Calibri" w:cs="Calibri"/>
                  <w:szCs w:val="24"/>
                  <w:lang w:eastAsia="lt-LT"/>
                </w:rPr>
              </w:pPr>
              <w:sdt>
                <w:sdtPr>
                  <w:alias w:val="Numeris"/>
                  <w:tag w:val="nr_c5ea0f6278fc4688aa7c0cd7acc02904"/>
                  <w:lock w:val="sdtLocked"/>
                  <w:richText/>
                </w:sdtPr>
                <w:sdtContent>
                  <w:r>
                    <w:rPr>
                      <w:szCs w:val="24"/>
                      <w:lang w:eastAsia="lt-LT"/>
                    </w:rPr>
                    <w:t>2</w:t>
                  </w:r>
                </w:sdtContent>
              </w:sdt>
              <w:r>
                <w:rPr>
                  <w:szCs w:val="24"/>
                  <w:lang w:eastAsia="lt-LT"/>
                </w:rPr>
                <w:t>.</w:t>
                <w:tab/>
              </w:r>
              <w:r>
                <w:rPr>
                  <w:rFonts w:ascii="Calibri" w:hAnsi="Calibri" w:cs="Calibri"/>
                  <w:szCs w:val="24"/>
                  <w:lang w:eastAsia="lt-LT"/>
                </w:rPr>
                <w:t>Įpareigoti Architektūros ir urbanistikos skyrių inicijuoti Žemės sklypo Nr. 1 ir Žemės sklypo Nr. 2 individualų vertinimą Lietuvos Respublikos turto ir verslo vertinimo pagrindų įstatymo nustatyta tvarka.</w:t>
              </w:r>
            </w:p>
          </w:sdtContent>
        </w:sdt>
        <w:sdt>
          <w:sdtPr>
            <w:alias w:val="3 p."/>
            <w:tag w:val="part_d787344c97224bc7a825a3097e1c3037"/>
            <w:lock w:val="sdtLocked"/>
            <w:richText/>
          </w:sdtPr>
          <w:sdtContent>
            <w:p>
              <w:pPr>
                <w:ind w:firstLine="851"/>
                <w:jc w:val="both"/>
                <w:rPr>
                  <w:rFonts w:ascii="Calibri" w:hAnsi="Calibri" w:cs="Calibri"/>
                  <w:szCs w:val="24"/>
                  <w:lang w:eastAsia="lt-LT"/>
                </w:rPr>
              </w:pPr>
              <w:sdt>
                <w:sdtPr>
                  <w:alias w:val="Numeris"/>
                  <w:tag w:val="nr_d787344c97224bc7a825a3097e1c3037"/>
                  <w:lock w:val="sdtLocked"/>
                  <w:richText/>
                </w:sdtPr>
                <w:sdtContent>
                  <w:r>
                    <w:rPr>
                      <w:szCs w:val="24"/>
                      <w:lang w:eastAsia="lt-LT"/>
                    </w:rPr>
                    <w:t>3</w:t>
                  </w:r>
                </w:sdtContent>
              </w:sdt>
              <w:r>
                <w:rPr>
                  <w:szCs w:val="24"/>
                  <w:lang w:eastAsia="lt-LT"/>
                </w:rPr>
                <w:t>.</w:t>
                <w:tab/>
              </w:r>
              <w:r>
                <w:rPr>
                  <w:rFonts w:ascii="Calibri" w:hAnsi="Calibri" w:cs="Calibri"/>
                  <w:szCs w:val="24"/>
                  <w:lang w:eastAsia="lt-LT"/>
                </w:rPr>
                <w:t>Pavesti Savivaldybės administracijai atlikti visus su sprendimo 1 punkte nurodytų žemės sklypų įsigijimu susijusius veiksmus ir procedūras.</w:t>
              </w:r>
            </w:p>
          </w:sdtContent>
        </w:sdt>
        <w:sdt>
          <w:sdtPr>
            <w:alias w:val="4 p."/>
            <w:tag w:val="part_0e905a7a980247b9b91a035d06c72d00"/>
            <w:lock w:val="sdtLocked"/>
            <w:richText/>
          </w:sdtPr>
          <w:sdtContent>
            <w:p>
              <w:pPr>
                <w:ind w:firstLine="851"/>
                <w:jc w:val="both"/>
                <w:rPr>
                  <w:rFonts w:ascii="Calibri" w:hAnsi="Calibri" w:cs="Calibri"/>
                  <w:color w:val="000000"/>
                  <w:szCs w:val="24"/>
                  <w:lang w:eastAsia="lt-LT"/>
                </w:rPr>
              </w:pPr>
              <w:sdt>
                <w:sdtPr>
                  <w:alias w:val="Numeris"/>
                  <w:tag w:val="nr_0e905a7a980247b9b91a035d06c72d00"/>
                  <w:lock w:val="sdtLocked"/>
                  <w:richText/>
                </w:sdtPr>
                <w:sdtContent>
                  <w:r>
                    <w:rPr>
                      <w:szCs w:val="24"/>
                      <w:lang w:eastAsia="lt-LT"/>
                    </w:rPr>
                    <w:t>4</w:t>
                  </w:r>
                </w:sdtContent>
              </w:sdt>
              <w:r>
                <w:rPr>
                  <w:szCs w:val="24"/>
                  <w:lang w:eastAsia="lt-LT"/>
                </w:rPr>
                <w:t>.</w:t>
                <w:tab/>
              </w:r>
              <w:r>
                <w:rPr>
                  <w:rFonts w:ascii="Calibri" w:hAnsi="Calibri" w:cs="Calibri"/>
                  <w:color w:val="262121"/>
                  <w:szCs w:val="24"/>
                  <w:lang w:eastAsia="lt-LT"/>
                </w:rPr>
                <w:t xml:space="preserve">Nurodyti, kad šis </w:t>
              </w:r>
              <w:r>
                <w:rPr>
                  <w:rFonts w:ascii="Calibri" w:hAnsi="Calibri" w:cs="Calibri"/>
                  <w:color w:val="000000"/>
                  <w:szCs w:val="24"/>
                  <w:lang w:eastAsia="lt-LT"/>
                </w:rPr>
                <w:t>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jc w:val="both"/>
                <w:rPr>
                  <w:color w:val="000000"/>
                  <w:szCs w:val="24"/>
                  <w:lang w:eastAsia="lt-LT"/>
                </w:rPr>
              </w:pPr>
              <w:r>
                <w:rPr>
                  <w:szCs w:val="24"/>
                  <w:lang w:eastAsia="lt-LT"/>
                </w:rPr>
                <w:t xml:space="preserve">Savivaldybės meras                                                                                         </w:t>
              </w:r>
            </w:p>
            <w:p>
              <w:pPr>
                <w:rPr>
                  <w:szCs w:val="24"/>
                  <w:lang w:eastAsia="lt-LT"/>
                </w:rPr>
              </w:pPr>
            </w:p>
            <w:p>
              <w:pPr>
                <w:rPr>
                  <w:szCs w:val="24"/>
                  <w:lang w:eastAsia="lt-LT"/>
                </w:rPr>
              </w:pPr>
              <w:r>
                <w:rPr>
                  <w:szCs w:val="24"/>
                  <w:lang w:eastAsia="lt-LT"/>
                </w:rPr>
                <w:br w:type="page"/>
              </w:r>
            </w:p>
          </w:sdtContent>
        </w:sdt>
        <w:sdt>
          <w:sdtPr>
            <w:alias w:val="skirsnis"/>
            <w:tag w:val="part_8da54a43563a475586b206db819ca311"/>
            <w:lock w:val="sdtLocked"/>
            <w:richText/>
          </w:sdtPr>
          <w:sdtContent>
            <w:sdt>
              <w:sdtPr>
                <w:alias w:val="Pavadinimas"/>
                <w:tag w:val="title_8da54a43563a475586b206db819ca311"/>
                <w:lock w:val="sdtLocked"/>
                <w:richText/>
              </w:sdtPr>
              <w:sdtContent>
                <w:p>
                  <w:pPr>
                    <w:jc w:val="center"/>
                    <w:rPr>
                      <w:b/>
                      <w:bCs/>
                      <w:szCs w:val="24"/>
                      <w:lang w:eastAsia="lt-LT"/>
                    </w:rPr>
                  </w:pPr>
                  <w:r>
                    <w:rPr>
                      <w:b/>
                      <w:bCs/>
                      <w:szCs w:val="24"/>
                      <w:lang w:eastAsia="lt-LT"/>
                    </w:rPr>
                    <w:t>RADVILIŠKIO RAJONO SAVIVALDYBĖS TARYBOS SPRENDIMO PROJEKTO</w:t>
                  </w:r>
                </w:p>
                <w:p>
                  <w:pPr>
                    <w:keepNext/>
                    <w:jc w:val="center"/>
                    <w:rPr>
                      <w:b/>
                      <w:bCs/>
                    </w:rPr>
                  </w:pPr>
                  <w:r>
                    <w:rPr>
                      <w:b/>
                      <w:bCs/>
                      <w:szCs w:val="24"/>
                    </w:rPr>
                    <w:t>„DĖL</w:t>
                  </w:r>
                  <w:r>
                    <w:rPr>
                      <w:b/>
                      <w:bCs/>
                      <w:szCs w:val="24"/>
                      <w:lang w:eastAsia="lt-LT"/>
                    </w:rPr>
                    <w:t xml:space="preserve"> PRITARIMO</w:t>
                  </w:r>
                  <w:r>
                    <w:rPr>
                      <w:b/>
                      <w:bCs/>
                      <w:szCs w:val="24"/>
                    </w:rPr>
                    <w:t xml:space="preserve"> </w:t>
                  </w:r>
                  <w:r>
                    <w:rPr>
                      <w:b/>
                      <w:bCs/>
                      <w:color w:val="000000"/>
                      <w:szCs w:val="24"/>
                    </w:rPr>
                    <w:t xml:space="preserve">RADVILIŠKIO MIESTO </w:t>
                  </w:r>
                  <w:r>
                    <w:rPr>
                      <w:b/>
                      <w:bCs/>
                      <w:szCs w:val="24"/>
                      <w:lang w:eastAsia="lt-LT"/>
                    </w:rPr>
                    <w:t>INFRASTRUKTŪROS PLĖTRAI REIKALINGŲ ŽEMĖS SKLYPŲ ĮSIGIJIMUI“</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szCs w:val="24"/>
                  <w:lang w:eastAsia="lt-LT"/>
                </w:rPr>
              </w:pPr>
              <w:r>
                <w:rPr>
                  <w:szCs w:val="24"/>
                  <w:lang w:eastAsia="lt-LT"/>
                </w:rPr>
                <w:t>2025 m. sausio 23 d.</w:t>
              </w:r>
            </w:p>
            <w:p>
              <w:pPr>
                <w:jc w:val="center"/>
                <w:rPr>
                  <w:szCs w:val="24"/>
                  <w:lang w:eastAsia="lt-LT"/>
                </w:rPr>
              </w:pPr>
              <w:r>
                <w:rPr>
                  <w:szCs w:val="24"/>
                  <w:lang w:eastAsia="lt-LT"/>
                </w:rPr>
                <w:t>Radviliškis</w:t>
              </w:r>
            </w:p>
            <w:p>
              <w:pPr>
                <w:jc w:val="center"/>
                <w:rPr>
                  <w:szCs w:val="24"/>
                  <w:lang w:eastAsia="lt-LT"/>
                </w:rPr>
              </w:pPr>
            </w:p>
            <w:sdt>
              <w:sdtPr>
                <w:alias w:val="1 p."/>
                <w:tag w:val="part_e81e77b5ffab4faab91e1be4927285a1"/>
                <w:lock w:val="sdtLocked"/>
                <w:richText/>
              </w:sdtPr>
              <w:sdtContent>
                <w:p>
                  <w:pPr>
                    <w:ind w:left="1211" w:hanging="360"/>
                    <w:jc w:val="both"/>
                    <w:rPr>
                      <w:rFonts w:ascii="Calibri" w:eastAsia="Calibri" w:hAnsi="Calibri" w:cs="Calibri"/>
                      <w:b/>
                      <w:szCs w:val="24"/>
                      <w:lang w:val="pt-PT" w:eastAsia="lt-LT"/>
                    </w:rPr>
                  </w:pPr>
                  <w:sdt>
                    <w:sdtPr>
                      <w:alias w:val="Numeris"/>
                      <w:tag w:val="nr_e81e77b5ffab4faab91e1be4927285a1"/>
                      <w:lock w:val="sdtLocked"/>
                      <w:richText/>
                    </w:sdtPr>
                    <w:sdtContent>
                      <w:r>
                        <w:rPr>
                          <w:rFonts w:eastAsia="Calibri"/>
                          <w:b/>
                          <w:bCs/>
                          <w:szCs w:val="24"/>
                          <w:lang w:val="pt-PT" w:eastAsia="lt-LT"/>
                        </w:rPr>
                        <w:t>1</w:t>
                      </w:r>
                    </w:sdtContent>
                  </w:sdt>
                  <w:r>
                    <w:rPr>
                      <w:rFonts w:eastAsia="Calibri"/>
                      <w:b/>
                      <w:bCs/>
                      <w:szCs w:val="24"/>
                      <w:lang w:val="pt-PT" w:eastAsia="lt-LT"/>
                    </w:rPr>
                    <w:t>.</w:t>
                    <w:tab/>
                  </w:r>
                  <w:r>
                    <w:rPr>
                      <w:rFonts w:ascii="Calibri" w:hAnsi="Calibri" w:cs="Calibri"/>
                      <w:b/>
                      <w:szCs w:val="24"/>
                      <w:lang w:eastAsia="lt-LT"/>
                    </w:rPr>
                    <w:t xml:space="preserve">Projekto </w:t>
                  </w:r>
                  <w:r>
                    <w:rPr>
                      <w:rFonts w:ascii="Calibri" w:eastAsia="Calibri" w:hAnsi="Calibri" w:cs="Calibri"/>
                      <w:b/>
                      <w:szCs w:val="24"/>
                      <w:lang w:eastAsia="lt-LT"/>
                    </w:rPr>
                    <w:t xml:space="preserve"> rengimą paskatinusios priežastys, parengto projekto tikslai ir uždaviniai.</w:t>
                  </w:r>
                </w:p>
                <w:p>
                  <w:pPr>
                    <w:ind w:firstLine="851"/>
                    <w:jc w:val="both"/>
                    <w:rPr>
                      <w:rFonts w:eastAsia="Calibri"/>
                      <w:bCs/>
                      <w:szCs w:val="24"/>
                      <w:lang w:eastAsia="lt-LT"/>
                    </w:rPr>
                  </w:pPr>
                  <w:r>
                    <w:rPr>
                      <w:rFonts w:eastAsia="Calibri"/>
                      <w:bCs/>
                      <w:szCs w:val="24"/>
                      <w:lang w:val="pt-PT" w:eastAsia="lt-LT"/>
                    </w:rPr>
                    <w:t>Projekto rengimą paskatino infrastruktūros plėtros poreikis naujuosiuose Radviliškio miesto gyvenamuosiuose rajonuose</w:t>
                  </w:r>
                  <w:r>
                    <w:rPr>
                      <w:bCs/>
                      <w:szCs w:val="24"/>
                      <w:lang w:eastAsia="lt-LT"/>
                    </w:rPr>
                    <w:t xml:space="preserve">. Į Savivaldybę kreipėsi gyventojai dėl infrastruktūros įrengimo. </w:t>
                  </w:r>
                  <w:r>
                    <w:rPr>
                      <w:rFonts w:eastAsia="Calibri"/>
                      <w:bCs/>
                      <w:szCs w:val="24"/>
                      <w:lang w:eastAsia="lt-LT"/>
                    </w:rPr>
                    <w:t xml:space="preserve">Atsirado būtinybė įgyvendinti </w:t>
                  </w:r>
                  <w:r>
                    <w:rPr>
                      <w:bCs/>
                      <w:szCs w:val="24"/>
                      <w:lang w:eastAsia="lt-LT"/>
                    </w:rPr>
                    <w:t>Radviliškio miesto teritorijos bendrojo plano sprendinius.</w:t>
                  </w:r>
                </w:p>
                <w:sdt>
                  <w:sdtPr>
                    <w:alias w:val="1.1 pp."/>
                    <w:tag w:val="part_86fc6ec6831248e2ab80d8f20ae879cb"/>
                    <w:lock w:val="sdtLocked"/>
                    <w:richText/>
                  </w:sdtPr>
                  <w:sdtContent>
                    <w:p>
                      <w:pPr>
                        <w:ind w:firstLine="851"/>
                        <w:jc w:val="both"/>
                        <w:rPr>
                          <w:rFonts w:ascii="Calibri" w:hAnsi="Calibri" w:cs="Calibri"/>
                          <w:bCs/>
                          <w:szCs w:val="24"/>
                          <w:lang w:eastAsia="lt-LT"/>
                        </w:rPr>
                      </w:pPr>
                      <w:sdt>
                        <w:sdtPr>
                          <w:alias w:val="Numeris"/>
                          <w:tag w:val="nr_86fc6ec6831248e2ab80d8f20ae879cb"/>
                          <w:lock w:val="sdtLocked"/>
                          <w:richText/>
                        </w:sdtPr>
                        <w:sdtContent>
                          <w:r>
                            <w:rPr>
                              <w:bCs/>
                              <w:szCs w:val="24"/>
                            </w:rPr>
                            <w:t>1.1</w:t>
                          </w:r>
                        </w:sdtContent>
                      </w:sdt>
                      <w:r>
                        <w:rPr>
                          <w:bCs/>
                          <w:szCs w:val="24"/>
                        </w:rPr>
                        <w:t>.</w:t>
                        <w:tab/>
                      </w:r>
                      <w:r>
                        <w:rPr>
                          <w:rFonts w:ascii="Calibri" w:hAnsi="Calibri" w:cs="Calibri"/>
                          <w:bCs/>
                          <w:szCs w:val="24"/>
                          <w:lang w:eastAsia="lt-LT"/>
                        </w:rPr>
                        <w:t xml:space="preserve">Vadovaujantis </w:t>
                      </w:r>
                      <w:r>
                        <w:rPr>
                          <w:rFonts w:ascii="Calibri" w:hAnsi="Calibri" w:cs="Calibri"/>
                          <w:szCs w:val="24"/>
                          <w:lang w:eastAsia="lt-LT"/>
                        </w:rPr>
                        <w:t>Radviliškio miesto teritorijos bendruoju planu (toliau – PLANAS) privačios žemės teritorijoje yra suplanuotas Alytaus gatvės tęsinys.</w:t>
                      </w:r>
                    </w:p>
                    <w:p>
                      <w:pPr>
                        <w:ind w:left="851"/>
                        <w:jc w:val="both"/>
                        <w:rPr>
                          <w:bCs/>
                          <w:szCs w:val="24"/>
                        </w:rPr>
                      </w:pPr>
                    </w:p>
                    <w:p>
                      <w:pPr>
                        <w:jc w:val="center"/>
                        <w:rPr>
                          <w:bCs/>
                          <w:szCs w:val="24"/>
                          <w:lang w:eastAsia="lt-LT"/>
                        </w:rPr>
                      </w:pPr>
                      <w:r>
                        <w:rPr>
                          <w:bCs/>
                          <w:szCs w:val="24"/>
                          <w:lang w:val="en-US"/>
                        </w:rPr>
                        <w:drawing>
                          <wp:inline distT="0" distB="0" distL="0" distR="0" wp14:anchorId="2A96CC39" wp14:editId="762571A2">
                            <wp:extent cx="4343400" cy="3286451"/>
                            <wp:effectExtent l="0" t="0" r="0" b="9525"/>
                            <wp:docPr id="144551941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519417" name=""/>
                                    <pic:cNvPicPr/>
                                  </pic:nvPicPr>
                                  <pic:blipFill>
                                    <a:blip r:embed="rId5"/>
                                    <a:stretch>
                                      <a:fillRect/>
                                    </a:stretch>
                                  </pic:blipFill>
                                  <pic:spPr>
                                    <a:xfrm>
                                      <a:off x="0" y="0"/>
                                      <a:ext cx="4351365" cy="3292478"/>
                                    </a:xfrm>
                                    <a:prstGeom prst="rect">
                                      <a:avLst/>
                                    </a:prstGeom>
                                  </pic:spPr>
                                </pic:pic>
                              </a:graphicData>
                            </a:graphic>
                          </wp:inline>
                        </w:drawing>
                      </w:r>
                    </w:p>
                    <w:p>
                      <w:pPr>
                        <w:jc w:val="center"/>
                        <w:rPr>
                          <w:bCs/>
                          <w:szCs w:val="24"/>
                          <w:lang w:eastAsia="lt-LT"/>
                        </w:rPr>
                      </w:pPr>
                      <w:r>
                        <w:rPr>
                          <w:bCs/>
                          <w:szCs w:val="24"/>
                          <w:lang w:eastAsia="lt-LT"/>
                        </w:rPr>
                        <w:t>1 priedas. Radviliškio miesto bendrojo plano fragmentas</w:t>
                      </w:r>
                    </w:p>
                    <w:p>
                      <w:pPr>
                        <w:jc w:val="both"/>
                        <w:rPr>
                          <w:szCs w:val="24"/>
                          <w:lang w:eastAsia="lt-LT"/>
                        </w:rPr>
                      </w:pPr>
                    </w:p>
                    <w:p>
                      <w:pPr>
                        <w:ind w:firstLine="851"/>
                        <w:jc w:val="both"/>
                        <w:rPr>
                          <w:szCs w:val="24"/>
                          <w:lang w:eastAsia="lt-LT"/>
                        </w:rPr>
                      </w:pPr>
                      <w:r>
                        <w:rPr>
                          <w:szCs w:val="24"/>
                          <w:lang w:eastAsia="lt-LT"/>
                        </w:rPr>
                        <w:t xml:space="preserve">Žemės sklypo savininkas padalino nuosavybės teise valdomą sklypą į atskirus žemės sklypus ir vadovaudamasis PLANU suformavo susisiekimo ir inžinerinių tinklų koridorių teritorijų 0,1601 ha ploto žemės sklypą, reikalingą Savivaldybės infrastruktūros plėtrai (siekiamą pritarimo įsigyti). </w:t>
                      </w:r>
                    </w:p>
                    <w:p>
                      <w:pPr>
                        <w:jc w:val="center"/>
                        <w:rPr>
                          <w:bCs/>
                          <w:szCs w:val="24"/>
                          <w:lang w:eastAsia="lt-LT"/>
                        </w:rPr>
                      </w:pPr>
                      <w:r>
                        <w:rPr>
                          <w:szCs w:val="24"/>
                          <w:lang w:val="en-US"/>
                        </w:rPr>
                        <w:drawing>
                          <wp:inline distT="0" distB="0" distL="0" distR="0" wp14:anchorId="15854645" wp14:editId="34E586A1">
                            <wp:extent cx="4324350" cy="3174840"/>
                            <wp:effectExtent l="0" t="0" r="0" b="6985"/>
                            <wp:docPr id="57168935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689352" name=""/>
                                    <pic:cNvPicPr/>
                                  </pic:nvPicPr>
                                  <pic:blipFill>
                                    <a:blip r:embed="rId6"/>
                                    <a:stretch>
                                      <a:fillRect/>
                                    </a:stretch>
                                  </pic:blipFill>
                                  <pic:spPr>
                                    <a:xfrm>
                                      <a:off x="0" y="0"/>
                                      <a:ext cx="4342136" cy="3187898"/>
                                    </a:xfrm>
                                    <a:prstGeom prst="rect">
                                      <a:avLst/>
                                    </a:prstGeom>
                                  </pic:spPr>
                                </pic:pic>
                              </a:graphicData>
                            </a:graphic>
                          </wp:inline>
                        </w:drawing>
                      </w:r>
                    </w:p>
                    <w:p>
                      <w:pPr>
                        <w:jc w:val="center"/>
                        <w:rPr>
                          <w:szCs w:val="24"/>
                          <w:lang w:eastAsia="lt-LT"/>
                        </w:rPr>
                      </w:pPr>
                      <w:r>
                        <w:rPr>
                          <w:bCs/>
                          <w:szCs w:val="24"/>
                          <w:lang w:eastAsia="lt-LT"/>
                        </w:rPr>
                        <w:t xml:space="preserve">2 priedas. Situacijos schema su pažymėtu žemės sklypu </w:t>
                      </w:r>
                      <w:r>
                        <w:rPr>
                          <w:szCs w:val="24"/>
                          <w:lang w:eastAsia="lt-LT"/>
                        </w:rPr>
                        <w:t>Savivaldybės infrastruktūros plėtrai</w:t>
                      </w:r>
                    </w:p>
                    <w:p>
                      <w:pPr>
                        <w:jc w:val="center"/>
                        <w:rPr>
                          <w:bCs/>
                          <w:szCs w:val="24"/>
                          <w:lang w:eastAsia="lt-LT"/>
                        </w:rPr>
                      </w:pPr>
                    </w:p>
                  </w:sdtContent>
                </w:sdt>
                <w:sdt>
                  <w:sdtPr>
                    <w:alias w:val="1.2 pp."/>
                    <w:tag w:val="part_c464180d7a344a248759e5160c90ce03"/>
                    <w:lock w:val="sdtLocked"/>
                    <w:richText/>
                  </w:sdtPr>
                  <w:sdtContent>
                    <w:p>
                      <w:pPr>
                        <w:ind w:firstLine="851"/>
                        <w:jc w:val="both"/>
                        <w:rPr>
                          <w:rFonts w:ascii="Calibri" w:hAnsi="Calibri" w:cs="Calibri"/>
                          <w:szCs w:val="24"/>
                          <w:lang w:eastAsia="lt-LT"/>
                        </w:rPr>
                      </w:pPr>
                      <w:sdt>
                        <w:sdtPr>
                          <w:alias w:val="Numeris"/>
                          <w:tag w:val="nr_c464180d7a344a248759e5160c90ce03"/>
                          <w:lock w:val="sdtLocked"/>
                          <w:richText/>
                        </w:sdtPr>
                        <w:sdtContent>
                          <w:r>
                            <w:rPr>
                              <w:szCs w:val="24"/>
                            </w:rPr>
                            <w:t>1.2</w:t>
                          </w:r>
                        </w:sdtContent>
                      </w:sdt>
                      <w:r>
                        <w:rPr>
                          <w:szCs w:val="24"/>
                        </w:rPr>
                        <w:t>.</w:t>
                        <w:tab/>
                      </w:r>
                      <w:r>
                        <w:rPr>
                          <w:rFonts w:ascii="Calibri" w:hAnsi="Calibri" w:cs="Calibri"/>
                          <w:szCs w:val="24"/>
                          <w:shd w:val="clear" w:color="auto" w:fill="FFFFFF"/>
                          <w:lang w:eastAsia="lt-LT"/>
                        </w:rPr>
                        <w:t>Vadovaujantis Lietuvos Respublikos piliečių nuosavybės teisių į išlikusį nekilnojamąjį turtą atkūrimo įstatymu buvo gražinta nuosavybė į žemės sklypą (teritoriją), kurią p</w:t>
                      </w:r>
                      <w:r>
                        <w:rPr>
                          <w:rFonts w:ascii="Calibri" w:hAnsi="Calibri" w:cs="Calibri"/>
                          <w:szCs w:val="24"/>
                          <w:lang w:eastAsia="lt-LT"/>
                        </w:rPr>
                        <w:t>rivatus asmuo savo lėšomis detaliuoju planu padalino į atskirus sklypus ir savo teritorijoje suformavo Perkūno ir Romualdo Petkevičiaus gatvių dalis (nuosavybės teise valdomame žemės sklype), kitos gatvių dalys suformuotos Savivaldybės parengtu kvartalo suplanavimo projektu valstybinėje žemėje. Savivaldybės infrastruktūros plėtrai užtikrinti Perkūno ir Romualdo Petkevičiaus gatvėms įrengti reikia išpirkti gatvių dalis, t. y. susisiekimo ir inžinerinių tinklų koridorių teritorijų 0,3231 ha ploto žemės sklypą (Perkūno gatvės atkarpa ir Romualdo Petkevičiaus gatvės dalis nuo gatvės ašies).</w:t>
                      </w:r>
                    </w:p>
                    <w:p>
                      <w:pPr>
                        <w:ind w:left="851"/>
                        <w:jc w:val="both"/>
                        <w:rPr>
                          <w:szCs w:val="24"/>
                        </w:rPr>
                      </w:pPr>
                    </w:p>
                    <w:p>
                      <w:pPr>
                        <w:ind w:left="851" w:hanging="851"/>
                        <w:jc w:val="center"/>
                        <w:rPr>
                          <w:szCs w:val="24"/>
                        </w:rPr>
                      </w:pPr>
                      <w:r>
                        <w:rPr>
                          <w:szCs w:val="24"/>
                          <w:lang w:val="en-US"/>
                        </w:rPr>
                        <w:drawing>
                          <wp:inline distT="0" distB="0" distL="0" distR="0" wp14:anchorId="646AA5DA" wp14:editId="6A699474">
                            <wp:extent cx="4543815" cy="3943350"/>
                            <wp:effectExtent l="0" t="0" r="9525" b="0"/>
                            <wp:docPr id="147649941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499412" name=""/>
                                    <pic:cNvPicPr/>
                                  </pic:nvPicPr>
                                  <pic:blipFill>
                                    <a:blip r:embed="rId7"/>
                                    <a:stretch>
                                      <a:fillRect/>
                                    </a:stretch>
                                  </pic:blipFill>
                                  <pic:spPr>
                                    <a:xfrm>
                                      <a:off x="0" y="0"/>
                                      <a:ext cx="4547004" cy="3946118"/>
                                    </a:xfrm>
                                    <a:prstGeom prst="rect">
                                      <a:avLst/>
                                    </a:prstGeom>
                                  </pic:spPr>
                                </pic:pic>
                              </a:graphicData>
                            </a:graphic>
                          </wp:inline>
                        </w:drawing>
                      </w:r>
                    </w:p>
                    <w:p>
                      <w:pPr>
                        <w:jc w:val="center"/>
                        <w:rPr>
                          <w:bCs/>
                          <w:szCs w:val="24"/>
                          <w:lang w:eastAsia="lt-LT"/>
                        </w:rPr>
                      </w:pPr>
                      <w:r>
                        <w:rPr>
                          <w:bCs/>
                          <w:szCs w:val="24"/>
                          <w:lang w:eastAsia="lt-LT"/>
                        </w:rPr>
                        <w:t>3 priedas. Radviliškio miesto bendrojo plano fragmentas</w:t>
                      </w:r>
                    </w:p>
                    <w:p>
                      <w:pPr>
                        <w:jc w:val="center"/>
                        <w:rPr>
                          <w:bCs/>
                          <w:szCs w:val="24"/>
                          <w:lang w:eastAsia="lt-LT"/>
                        </w:rPr>
                      </w:pPr>
                      <w:r>
                        <w:rPr>
                          <w:szCs w:val="24"/>
                          <w:lang w:val="en-US"/>
                        </w:rPr>
                        <w:drawing>
                          <wp:inline distT="0" distB="0" distL="0" distR="0" wp14:anchorId="6F71146F" wp14:editId="6029CE8C">
                            <wp:extent cx="4654477" cy="3533596"/>
                            <wp:effectExtent l="0" t="0" r="0" b="0"/>
                            <wp:docPr id="1102957769"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957769" name=""/>
                                    <pic:cNvPicPr/>
                                  </pic:nvPicPr>
                                  <pic:blipFill>
                                    <a:blip r:embed="rId8"/>
                                    <a:stretch>
                                      <a:fillRect/>
                                    </a:stretch>
                                  </pic:blipFill>
                                  <pic:spPr>
                                    <a:xfrm>
                                      <a:off x="0" y="0"/>
                                      <a:ext cx="4672376" cy="3547185"/>
                                    </a:xfrm>
                                    <a:prstGeom prst="rect">
                                      <a:avLst/>
                                    </a:prstGeom>
                                  </pic:spPr>
                                </pic:pic>
                              </a:graphicData>
                            </a:graphic>
                          </wp:inline>
                        </w:drawing>
                      </w:r>
                    </w:p>
                    <w:p>
                      <w:pPr>
                        <w:jc w:val="center"/>
                        <w:rPr>
                          <w:bCs/>
                          <w:szCs w:val="24"/>
                          <w:lang w:eastAsia="lt-LT"/>
                        </w:rPr>
                      </w:pPr>
                      <w:r>
                        <w:rPr>
                          <w:bCs/>
                          <w:szCs w:val="24"/>
                          <w:lang w:eastAsia="lt-LT"/>
                        </w:rPr>
                        <w:t xml:space="preserve">4 priedas. Situacijos schema su pažymėtu žemės sklypu </w:t>
                      </w:r>
                      <w:r>
                        <w:rPr>
                          <w:szCs w:val="24"/>
                          <w:lang w:eastAsia="lt-LT"/>
                        </w:rPr>
                        <w:t>Savivaldybės infrastruktūros plėtrai</w:t>
                      </w:r>
                    </w:p>
                    <w:p>
                      <w:pPr>
                        <w:ind w:firstLine="851"/>
                        <w:jc w:val="both"/>
                        <w:rPr>
                          <w:szCs w:val="24"/>
                          <w:lang w:eastAsia="lt-LT"/>
                        </w:rPr>
                      </w:pPr>
                    </w:p>
                    <w:p>
                      <w:pPr>
                        <w:ind w:firstLine="851"/>
                        <w:jc w:val="both"/>
                        <w:rPr>
                          <w:szCs w:val="24"/>
                          <w:lang w:eastAsia="lt-LT"/>
                        </w:rPr>
                      </w:pPr>
                      <w:r>
                        <w:rPr>
                          <w:szCs w:val="24"/>
                          <w:lang w:eastAsia="lt-LT"/>
                        </w:rPr>
                        <w:t>2024-09-03 pakeistas Žemės, esamų pastatų ar kitų nekilnojamųjų daiktų įsigijimo arba nuomos ar teisių į šiuos daiktus įsigijimo tvarkos aprašas, patvirtintas Lietuvos Respublikos Vyriausybės 2017 m. gruodžio 13 d. nutarimu Nr. 1036 „Dėl Žemės, esamų pastatų ar kitų nekilnojamųjų daiktų įsigijimo arba nuomos ar teisių į šiuos daiktus įsigijimo tvarkos aprašo patvirtinimo“, sudarė galimybę pirkti savivaldybės nuosavybėn žemės sklypus, reikalingus savivaldybės infrastruktūros plėtrai, pagal Savivaldybių infrastruktūros plėtros įstatymą, o ne paėmimo visuomenės poreikiams tvarka, kas palengvino ir sutrumpino įsigijimo procedūrų tvarką ir trukmę.</w:t>
                      </w:r>
                    </w:p>
                  </w:sdtContent>
                </w:sdt>
              </w:sdtContent>
            </w:sdt>
            <w:sdt>
              <w:sdtPr>
                <w:alias w:val="2 p."/>
                <w:tag w:val="part_e3c4ee0dfcc643aab8f963c0dae1b273"/>
                <w:lock w:val="sdtLocked"/>
                <w:richText/>
              </w:sdtPr>
              <w:sdtContent>
                <w:p>
                  <w:pPr>
                    <w:ind w:left="1211" w:hanging="360"/>
                    <w:jc w:val="both"/>
                    <w:rPr>
                      <w:rFonts w:ascii="Calibri" w:hAnsi="Calibri" w:cs="Calibri"/>
                      <w:b/>
                      <w:szCs w:val="24"/>
                      <w:lang w:eastAsia="lt-LT"/>
                    </w:rPr>
                  </w:pPr>
                  <w:sdt>
                    <w:sdtPr>
                      <w:alias w:val="Numeris"/>
                      <w:tag w:val="nr_e3c4ee0dfcc643aab8f963c0dae1b273"/>
                      <w:lock w:val="sdtLocked"/>
                      <w:richText/>
                    </w:sdtPr>
                    <w:sdtContent>
                      <w:r>
                        <w:rPr>
                          <w:b/>
                          <w:bCs/>
                          <w:szCs w:val="24"/>
                        </w:rPr>
                        <w:t>2</w:t>
                      </w:r>
                    </w:sdtContent>
                  </w:sdt>
                  <w:r>
                    <w:rPr>
                      <w:b/>
                      <w:bCs/>
                      <w:szCs w:val="24"/>
                    </w:rPr>
                    <w:t>.</w:t>
                    <w:tab/>
                  </w:r>
                  <w:r>
                    <w:rPr>
                      <w:rFonts w:ascii="Calibri" w:hAnsi="Calibri" w:cs="Calibri"/>
                      <w:b/>
                      <w:szCs w:val="24"/>
                      <w:lang w:eastAsia="lt-LT"/>
                    </w:rPr>
                    <w:t>Projekto iniciatoriai (institucija, asmenys ar piliečių atstovai) ir rengėjai.</w:t>
                  </w:r>
                </w:p>
                <w:p>
                  <w:pPr>
                    <w:ind w:firstLine="851"/>
                    <w:jc w:val="both"/>
                    <w:rPr>
                      <w:bCs/>
                      <w:szCs w:val="24"/>
                      <w:lang w:eastAsia="lt-LT"/>
                    </w:rPr>
                  </w:pPr>
                  <w:r>
                    <w:rPr>
                      <w:bCs/>
                      <w:szCs w:val="24"/>
                      <w:lang w:eastAsia="lt-LT"/>
                    </w:rPr>
                    <w:t>Architektūros ir urbanistikos skyrius teikia tarybai sprendimo projektą, atsižvelgdamas: D. L. prašymą dėl Alytaus gatvėje esančio žemės sklypo ir į Romualdo Petkevičiaus ir Perkūno gatvėje esančių žemės sklypų savininkų (prašymą pasirašė septyni žemės sklypų savininkai) pateiktus prašymus.</w:t>
                  </w:r>
                </w:p>
              </w:sdtContent>
            </w:sdt>
            <w:sdt>
              <w:sdtPr>
                <w:alias w:val="3 p."/>
                <w:tag w:val="part_cb59121591f349e78816c56dafeba834"/>
                <w:lock w:val="sdtLocked"/>
                <w:richText/>
              </w:sdtPr>
              <w:sdtContent>
                <w:p>
                  <w:pPr>
                    <w:ind w:left="357" w:firstLine="494"/>
                    <w:jc w:val="both"/>
                    <w:rPr>
                      <w:rFonts w:ascii="Calibri" w:hAnsi="Calibri" w:cs="Calibri"/>
                      <w:szCs w:val="24"/>
                      <w:lang w:eastAsia="lt-LT"/>
                    </w:rPr>
                  </w:pPr>
                  <w:sdt>
                    <w:sdtPr>
                      <w:alias w:val="Numeris"/>
                      <w:tag w:val="nr_cb59121591f349e78816c56dafeba834"/>
                      <w:lock w:val="sdtLocked"/>
                      <w:richText/>
                    </w:sdtPr>
                    <w:sdtContent>
                      <w:r>
                        <w:rPr>
                          <w:b/>
                          <w:bCs/>
                          <w:szCs w:val="24"/>
                        </w:rPr>
                        <w:t>3</w:t>
                      </w:r>
                    </w:sdtContent>
                  </w:sdt>
                  <w:r>
                    <w:rPr>
                      <w:b/>
                      <w:bCs/>
                      <w:szCs w:val="24"/>
                    </w:rPr>
                    <w:t>.</w:t>
                    <w:tab/>
                  </w:r>
                  <w:r>
                    <w:rPr>
                      <w:rFonts w:ascii="Calibri" w:hAnsi="Calibri" w:cs="Calibri"/>
                      <w:b/>
                      <w:szCs w:val="24"/>
                      <w:lang w:eastAsia="lt-LT"/>
                    </w:rPr>
                    <w:t xml:space="preserve">Kaip šiuo metu yra reguliuojami projekte aptarti teisiniai santykiai. </w:t>
                  </w:r>
                </w:p>
                <w:p>
                  <w:pPr>
                    <w:ind w:firstLine="851"/>
                    <w:jc w:val="both"/>
                    <w:rPr>
                      <w:szCs w:val="24"/>
                      <w:lang w:eastAsia="lt-LT"/>
                    </w:rPr>
                  </w:pPr>
                  <w:r>
                    <w:rPr>
                      <w:szCs w:val="24"/>
                    </w:rPr>
                    <w:t>Radviliškio miesto teritorijos bendrojo plano sprendiniai, patvirtinti Radviliškio rajono savivaldybės tarybos 2023 m. rugpjūčio 31 d. sprendimu Nr. T-116 „Dėl Radviliškio miesto teritorijos bendrojo plano keitimo patvirtinimo“;</w:t>
                  </w:r>
                  <w:r>
                    <w:rPr>
                      <w:szCs w:val="24"/>
                      <w:lang w:eastAsia="lt-LT"/>
                    </w:rPr>
                    <w:t xml:space="preserve"> Žemės, esamų pastatų ar kitų nekilnojamųjų daiktų įsigijimo arba nuomos ar teisių į šiuos daiktus įsigijimo tvarkos aprašas.</w:t>
                  </w:r>
                </w:p>
              </w:sdtContent>
            </w:sdt>
            <w:sdt>
              <w:sdtPr>
                <w:alias w:val="4 p."/>
                <w:tag w:val="part_97f47bca37fa42a499ea915e57682509"/>
                <w:lock w:val="sdtLocked"/>
                <w:richText/>
              </w:sdtPr>
              <w:sdtContent>
                <w:p>
                  <w:pPr>
                    <w:ind w:firstLine="851"/>
                    <w:rPr>
                      <w:rFonts w:ascii="Calibri" w:eastAsia="Calibri" w:hAnsi="Calibri" w:cs="Calibri"/>
                      <w:b/>
                      <w:bCs/>
                      <w:szCs w:val="24"/>
                      <w:lang w:val="pt-PT" w:eastAsia="lt-LT"/>
                    </w:rPr>
                  </w:pPr>
                  <w:sdt>
                    <w:sdtPr>
                      <w:alias w:val="Numeris"/>
                      <w:tag w:val="nr_97f47bca37fa42a499ea915e57682509"/>
                      <w:lock w:val="sdtLocked"/>
                      <w:richText/>
                    </w:sdtPr>
                    <w:sdtContent>
                      <w:r>
                        <w:rPr>
                          <w:rFonts w:eastAsia="Calibri"/>
                          <w:b/>
                          <w:bCs/>
                          <w:szCs w:val="24"/>
                          <w:lang w:val="pt-PT"/>
                        </w:rPr>
                        <w:t>4</w:t>
                      </w:r>
                    </w:sdtContent>
                  </w:sdt>
                  <w:r>
                    <w:rPr>
                      <w:rFonts w:eastAsia="Calibri"/>
                      <w:b/>
                      <w:bCs/>
                      <w:szCs w:val="24"/>
                      <w:lang w:val="pt-PT"/>
                    </w:rPr>
                    <w:t>.</w:t>
                    <w:tab/>
                  </w:r>
                  <w:r>
                    <w:rPr>
                      <w:rFonts w:ascii="Calibri" w:eastAsia="Calibri" w:hAnsi="Calibri" w:cs="Calibri"/>
                      <w:b/>
                      <w:bCs/>
                      <w:szCs w:val="24"/>
                      <w:lang w:eastAsia="lt-LT"/>
                    </w:rPr>
                    <w:t xml:space="preserve">Kokios siūlomos naujos teisinio reguliavimo nuostatos, kokių teigiamų rezultatų laukiama. </w:t>
                  </w:r>
                </w:p>
                <w:p>
                  <w:pPr>
                    <w:ind w:firstLine="851"/>
                    <w:jc w:val="both"/>
                    <w:rPr>
                      <w:szCs w:val="24"/>
                    </w:rPr>
                  </w:pPr>
                  <w:r>
                    <w:rPr>
                      <w:rFonts w:eastAsia="Calibri"/>
                      <w:szCs w:val="24"/>
                    </w:rPr>
                    <w:t>Tarybai pritarus žemės sklypų, reikalingų Savivaldybės infrastruktūros plėtrai įsigijimui, bus pradėtos su tuo susijusios procedūros (atliktas</w:t>
                  </w:r>
                  <w:r>
                    <w:rPr>
                      <w:szCs w:val="24"/>
                      <w:lang w:eastAsia="lt-LT"/>
                    </w:rPr>
                    <w:t xml:space="preserve"> individualus žemės sklypų vertinimas Lietuvos Respublikos turto ir verslo vertinimo pagrindų įstatymo nustatyta tvarka, parengtos sutartys ir kt.). Bus patenkinti visuomenės lūkesčiai dėl </w:t>
                  </w:r>
                  <w:r>
                    <w:rPr>
                      <w:szCs w:val="24"/>
                    </w:rPr>
                    <w:t>Radviliškio miesto teritorijos bendrojo plano sprendinių įgyvendinimo.</w:t>
                  </w:r>
                </w:p>
              </w:sdtContent>
            </w:sdt>
            <w:sdt>
              <w:sdtPr>
                <w:alias w:val="5 p."/>
                <w:tag w:val="part_9c53ab6dd45a4abaa72905b11bbecf34"/>
                <w:lock w:val="sdtLocked"/>
                <w:richText/>
              </w:sdtPr>
              <w:sdtContent>
                <w:p>
                  <w:pPr>
                    <w:ind w:firstLine="851"/>
                    <w:jc w:val="both"/>
                    <w:rPr>
                      <w:rFonts w:ascii="Calibri" w:hAnsi="Calibri" w:cs="Calibri"/>
                      <w:b/>
                      <w:bCs/>
                      <w:szCs w:val="24"/>
                      <w:lang w:eastAsia="lt-LT"/>
                    </w:rPr>
                  </w:pPr>
                  <w:sdt>
                    <w:sdtPr>
                      <w:alias w:val="Numeris"/>
                      <w:tag w:val="nr_9c53ab6dd45a4abaa72905b11bbecf34"/>
                      <w:lock w:val="sdtLocked"/>
                      <w:richText/>
                    </w:sdtPr>
                    <w:sdtContent>
                      <w:r>
                        <w:rPr>
                          <w:b/>
                          <w:bCs/>
                          <w:szCs w:val="24"/>
                        </w:rPr>
                        <w:t>5</w:t>
                      </w:r>
                    </w:sdtContent>
                  </w:sdt>
                  <w:r>
                    <w:rPr>
                      <w:b/>
                      <w:bCs/>
                      <w:szCs w:val="24"/>
                    </w:rPr>
                    <w:t>.</w:t>
                    <w:tab/>
                  </w:r>
                  <w:r>
                    <w:rPr>
                      <w:rFonts w:ascii="Calibri" w:hAnsi="Calibri" w:cs="Calibri"/>
                      <w:b/>
                      <w:bCs/>
                      <w:szCs w:val="24"/>
                      <w:lang w:eastAsia="lt-LT"/>
                    </w:rPr>
                    <w:t>Galimos neigiamos priimto sprendimo projekto pasekmės ir kokių priemonių reikėtų imtis, kad tokių pasekmių būtų išvengta.</w:t>
                  </w:r>
                </w:p>
                <w:p>
                  <w:pPr>
                    <w:ind w:firstLine="851"/>
                    <w:jc w:val="both"/>
                    <w:rPr>
                      <w:szCs w:val="24"/>
                    </w:rPr>
                  </w:pPr>
                  <w:r>
                    <w:rPr>
                      <w:szCs w:val="24"/>
                    </w:rPr>
                    <w:t>Jeigu nebus priimtas sprendimas, nebus patenkinti visuomenės lūkesčiai, nebus įgyvendinti Radviliškio miesto teritorijos bendrojo plano sprendiniai.</w:t>
                  </w:r>
                </w:p>
              </w:sdtContent>
            </w:sdt>
            <w:sdt>
              <w:sdtPr>
                <w:alias w:val="6 p."/>
                <w:tag w:val="part_1f6a5d0eca494e72a5b9e4631bac06a4"/>
                <w:lock w:val="sdtLocked"/>
                <w:richText/>
              </w:sdtPr>
              <w:sdtContent>
                <w:p>
                  <w:pPr>
                    <w:ind w:firstLine="851"/>
                    <w:jc w:val="both"/>
                    <w:rPr>
                      <w:rFonts w:ascii="Calibri" w:hAnsi="Calibri" w:cs="Calibri"/>
                      <w:b/>
                      <w:bCs/>
                      <w:szCs w:val="24"/>
                      <w:lang w:eastAsia="lt-LT"/>
                    </w:rPr>
                  </w:pPr>
                  <w:sdt>
                    <w:sdtPr>
                      <w:alias w:val="Numeris"/>
                      <w:tag w:val="nr_1f6a5d0eca494e72a5b9e4631bac06a4"/>
                      <w:lock w:val="sdtLocked"/>
                      <w:richText/>
                    </w:sdtPr>
                    <w:sdtContent>
                      <w:r>
                        <w:rPr>
                          <w:b/>
                          <w:bCs/>
                          <w:szCs w:val="24"/>
                        </w:rPr>
                        <w:t>6</w:t>
                      </w:r>
                    </w:sdtContent>
                  </w:sdt>
                  <w:r>
                    <w:rPr>
                      <w:b/>
                      <w:bCs/>
                      <w:szCs w:val="24"/>
                    </w:rPr>
                    <w:t>.</w:t>
                    <w:tab/>
                  </w:r>
                  <w:r>
                    <w:rPr>
                      <w:rFonts w:ascii="Calibri" w:hAnsi="Calibri" w:cs="Calibri"/>
                      <w:b/>
                      <w:bCs/>
                      <w:szCs w:val="24"/>
                      <w:lang w:eastAsia="lt-LT"/>
                    </w:rPr>
                    <w:t>Kokius teisės aktus būtina priimti, kokius galiojančius teisės aktus būtina pakeisti ar pripažinti netekusiais galios priėmus sprendimo projektą.</w:t>
                  </w:r>
                </w:p>
                <w:p>
                  <w:pPr>
                    <w:ind w:firstLine="851"/>
                    <w:jc w:val="both"/>
                    <w:rPr>
                      <w:szCs w:val="24"/>
                    </w:rPr>
                  </w:pPr>
                  <w:r>
                    <w:rPr>
                      <w:szCs w:val="24"/>
                    </w:rPr>
                    <w:t>Pritarus žemės sklypų įsigijimui po visų atliktų procedūrų bus teikiami tarybai tvirtinti sutarčių projektai.</w:t>
                  </w:r>
                </w:p>
              </w:sdtContent>
            </w:sdt>
            <w:sdt>
              <w:sdtPr>
                <w:alias w:val="7 p."/>
                <w:tag w:val="part_d146da1bb1ab459fb934b078d2a649d6"/>
                <w:lock w:val="sdtLocked"/>
                <w:richText/>
              </w:sdtPr>
              <w:sdtContent>
                <w:p>
                  <w:pPr>
                    <w:ind w:left="1211" w:hanging="360"/>
                    <w:jc w:val="both"/>
                    <w:rPr>
                      <w:rFonts w:ascii="Calibri" w:hAnsi="Calibri" w:cs="Calibri"/>
                      <w:b/>
                      <w:bCs/>
                      <w:szCs w:val="24"/>
                      <w:lang w:val="pt-PT" w:eastAsia="lt-LT"/>
                    </w:rPr>
                  </w:pPr>
                  <w:sdt>
                    <w:sdtPr>
                      <w:alias w:val="Numeris"/>
                      <w:tag w:val="nr_d146da1bb1ab459fb934b078d2a649d6"/>
                      <w:lock w:val="sdtLocked"/>
                      <w:richText/>
                    </w:sdtPr>
                    <w:sdtContent>
                      <w:r>
                        <w:rPr>
                          <w:b/>
                          <w:bCs/>
                          <w:szCs w:val="24"/>
                          <w:lang w:val="pt-PT"/>
                        </w:rPr>
                        <w:t>7</w:t>
                      </w:r>
                    </w:sdtContent>
                  </w:sdt>
                  <w:r>
                    <w:rPr>
                      <w:b/>
                      <w:bCs/>
                      <w:szCs w:val="24"/>
                      <w:lang w:val="pt-PT"/>
                    </w:rPr>
                    <w:t>.</w:t>
                    <w:tab/>
                  </w:r>
                  <w:r>
                    <w:rPr>
                      <w:rFonts w:ascii="Calibri" w:hAnsi="Calibri" w:cs="Calibri"/>
                      <w:b/>
                      <w:bCs/>
                      <w:szCs w:val="24"/>
                      <w:lang w:eastAsia="lt-LT"/>
                    </w:rPr>
                    <w:t>Sprendimo projektui įgyvendinti reikalingos lėšos, finansavimo šaltiniai.</w:t>
                  </w:r>
                </w:p>
                <w:p>
                  <w:pPr>
                    <w:ind w:firstLine="851"/>
                    <w:jc w:val="both"/>
                    <w:rPr>
                      <w:szCs w:val="24"/>
                      <w:lang w:val="pt-PT" w:eastAsia="lt-LT"/>
                    </w:rPr>
                  </w:pPr>
                  <w:r>
                    <w:rPr>
                      <w:szCs w:val="24"/>
                      <w:lang w:val="pt-PT" w:eastAsia="lt-LT"/>
                    </w:rPr>
                    <w:t xml:space="preserve">Savivaldybės biudžeto lėšos. Lėšų poreikis bus aiškus tik atlikus </w:t>
                  </w:r>
                  <w:r>
                    <w:rPr>
                      <w:szCs w:val="24"/>
                      <w:lang w:eastAsia="lt-LT"/>
                    </w:rPr>
                    <w:t>individualų žemės sklypų vertinimą Lietuvos Respublikos turto ir verslo vertinimo pagrindų įstatymo nustatyta tvarka.</w:t>
                  </w:r>
                </w:p>
              </w:sdtContent>
            </w:sdt>
            <w:sdt>
              <w:sdtPr>
                <w:alias w:val="8 p."/>
                <w:tag w:val="part_a0b0b75885194a92908fbb711f1e7abf"/>
                <w:lock w:val="sdtLocked"/>
                <w:richText/>
              </w:sdtPr>
              <w:sdtContent>
                <w:p>
                  <w:pPr>
                    <w:ind w:firstLine="851"/>
                    <w:jc w:val="both"/>
                    <w:rPr>
                      <w:rFonts w:ascii="Calibri" w:hAnsi="Calibri" w:cs="Calibri"/>
                      <w:b/>
                      <w:bCs/>
                      <w:szCs w:val="24"/>
                      <w:lang w:eastAsia="lt-LT"/>
                    </w:rPr>
                  </w:pPr>
                  <w:sdt>
                    <w:sdtPr>
                      <w:alias w:val="Numeris"/>
                      <w:tag w:val="nr_a0b0b75885194a92908fbb711f1e7abf"/>
                      <w:lock w:val="sdtLocked"/>
                      <w:richText/>
                    </w:sdtPr>
                    <w:sdtContent>
                      <w:r>
                        <w:rPr>
                          <w:b/>
                          <w:bCs/>
                          <w:szCs w:val="24"/>
                        </w:rPr>
                        <w:t>8</w:t>
                      </w:r>
                    </w:sdtContent>
                  </w:sdt>
                  <w:r>
                    <w:rPr>
                      <w:b/>
                      <w:bCs/>
                      <w:szCs w:val="24"/>
                    </w:rPr>
                    <w:t>.</w:t>
                    <w:tab/>
                  </w:r>
                  <w:r>
                    <w:rPr>
                      <w:rFonts w:ascii="Calibri" w:eastAsia="Calibri" w:hAnsi="Calibri" w:cs="Calibri"/>
                      <w:b/>
                      <w:bCs/>
                      <w:szCs w:val="24"/>
                      <w:lang w:eastAsia="lt-LT"/>
                    </w:rPr>
                    <w:t>Sprendimo projekto rengimo metu gauti specialistų vertinimai ir išvados.</w:t>
                  </w:r>
                </w:p>
              </w:sdtContent>
            </w:sdt>
          </w:sdtContent>
        </w:sdt>
        <w:sdt>
          <w:sdtPr>
            <w:alias w:val="skirsnis"/>
            <w:tag w:val="part_45bc74674bf84c899a652a1e5dd1200f"/>
            <w:lock w:val="sdtLocked"/>
            <w:richText/>
          </w:sdtPr>
          <w:sdtContent>
            <w:p>
              <w:pPr>
                <w:ind w:left="851"/>
                <w:jc w:val="both"/>
                <w:rPr>
                  <w:rFonts w:eastAsia="Calibri"/>
                  <w:b/>
                  <w:bCs/>
                  <w:szCs w:val="24"/>
                  <w:lang w:eastAsia="lt-LT"/>
                  <w14:ligatures w14:val="standardContextual"/>
                </w:rPr>
              </w:pPr>
              <w:sdt>
                <w:sdtPr>
                  <w:alias w:val="Pavadinimas"/>
                  <w:tag w:val="title_45bc74674bf84c899a652a1e5dd1200f"/>
                  <w:lock w:val="sdtLocked"/>
                  <w:richText/>
                </w:sdtPr>
                <w:sdtContent>
                  <w:r>
                    <w:rPr>
                      <w:rFonts w:eastAsia="Calibri"/>
                      <w:b/>
                      <w:bCs/>
                      <w:szCs w:val="24"/>
                      <w:lang w:eastAsia="lt-LT"/>
                      <w14:ligatures w14:val="standardContextual"/>
                    </w:rPr>
                    <w:t>-</w:t>
                  </w:r>
                </w:sdtContent>
              </w:sdt>
            </w:p>
            <w:sdt>
              <w:sdtPr>
                <w:alias w:val="9 p."/>
                <w:tag w:val="part_7d495bdcd0d54307b480c6809c1c709a"/>
                <w:lock w:val="sdtLocked"/>
                <w:richText/>
              </w:sdtPr>
              <w:sdtContent>
                <w:p>
                  <w:pPr>
                    <w:ind w:left="1211" w:hanging="360"/>
                    <w:jc w:val="both"/>
                    <w:rPr>
                      <w:rFonts w:ascii="Calibri" w:hAnsi="Calibri" w:cs="Calibri"/>
                      <w:b/>
                      <w:bCs/>
                      <w:szCs w:val="24"/>
                      <w:lang w:val="pt-PT" w:eastAsia="lt-LT"/>
                    </w:rPr>
                  </w:pPr>
                  <w:sdt>
                    <w:sdtPr>
                      <w:alias w:val="Numeris"/>
                      <w:tag w:val="nr_7d495bdcd0d54307b480c6809c1c709a"/>
                      <w:lock w:val="sdtLocked"/>
                      <w:richText/>
                    </w:sdtPr>
                    <w:sdtContent>
                      <w:r>
                        <w:rPr>
                          <w:b/>
                          <w:bCs/>
                          <w:szCs w:val="24"/>
                          <w:lang w:val="pt-PT"/>
                        </w:rPr>
                        <w:t>9</w:t>
                      </w:r>
                    </w:sdtContent>
                  </w:sdt>
                  <w:r>
                    <w:rPr>
                      <w:b/>
                      <w:bCs/>
                      <w:szCs w:val="24"/>
                      <w:lang w:val="pt-PT"/>
                    </w:rPr>
                    <w:t>.</w:t>
                    <w:tab/>
                  </w:r>
                  <w:r>
                    <w:rPr>
                      <w:rFonts w:ascii="Calibri" w:hAnsi="Calibri" w:cs="Calibri"/>
                      <w:b/>
                      <w:bCs/>
                      <w:szCs w:val="24"/>
                      <w:lang w:eastAsia="lt-LT"/>
                    </w:rPr>
                    <w:t>Numatomo teisinio reguliavimo poveikio vertinimo rezultatai.</w:t>
                  </w:r>
                </w:p>
              </w:sdtContent>
            </w:sdt>
          </w:sdtContent>
        </w:sdt>
        <w:sdt>
          <w:sdtPr>
            <w:alias w:val="skirsnis"/>
            <w:tag w:val="part_40c5cc6e3a184cf6a19b93cb2baab664"/>
            <w:lock w:val="sdtLocked"/>
            <w:richText/>
          </w:sdtPr>
          <w:sdtContent>
            <w:p>
              <w:pPr>
                <w:ind w:left="851"/>
                <w:jc w:val="both"/>
                <w:rPr>
                  <w:b/>
                  <w:bCs/>
                  <w:szCs w:val="24"/>
                  <w:lang w:val="pt-PT" w:eastAsia="lt-LT"/>
                </w:rPr>
              </w:pPr>
              <w:sdt>
                <w:sdtPr>
                  <w:alias w:val="Pavadinimas"/>
                  <w:tag w:val="title_40c5cc6e3a184cf6a19b93cb2baab664"/>
                  <w:lock w:val="sdtLocked"/>
                  <w:richText/>
                </w:sdtPr>
                <w:sdtContent>
                  <w:r>
                    <w:rPr>
                      <w:b/>
                      <w:bCs/>
                      <w:szCs w:val="24"/>
                      <w:lang w:val="pt-PT" w:eastAsia="lt-LT"/>
                    </w:rPr>
                    <w:t>-</w:t>
                  </w:r>
                </w:sdtContent>
              </w:sdt>
            </w:p>
            <w:sdt>
              <w:sdtPr>
                <w:alias w:val="10 p."/>
                <w:tag w:val="part_04d2e108c3f14e76831791635e84504e"/>
                <w:lock w:val="sdtLocked"/>
                <w:richText/>
              </w:sdtPr>
              <w:sdtContent>
                <w:p>
                  <w:pPr>
                    <w:ind w:left="1211" w:hanging="360"/>
                    <w:jc w:val="both"/>
                    <w:rPr>
                      <w:rFonts w:ascii="Calibri" w:hAnsi="Calibri" w:cs="Calibri"/>
                      <w:b/>
                      <w:bCs/>
                      <w:szCs w:val="24"/>
                      <w:lang w:eastAsia="lt-LT"/>
                    </w:rPr>
                  </w:pPr>
                  <w:sdt>
                    <w:sdtPr>
                      <w:alias w:val="Numeris"/>
                      <w:tag w:val="nr_04d2e108c3f14e76831791635e84504e"/>
                      <w:lock w:val="sdtLocked"/>
                      <w:richText/>
                    </w:sdtPr>
                    <w:sdtContent>
                      <w:r>
                        <w:rPr>
                          <w:b/>
                          <w:bCs/>
                          <w:szCs w:val="24"/>
                        </w:rPr>
                        <w:t>10</w:t>
                      </w:r>
                    </w:sdtContent>
                  </w:sdt>
                  <w:r>
                    <w:rPr>
                      <w:b/>
                      <w:bCs/>
                      <w:szCs w:val="24"/>
                    </w:rPr>
                    <w:t>.</w:t>
                    <w:tab/>
                  </w:r>
                  <w:r>
                    <w:rPr>
                      <w:rFonts w:ascii="Calibri" w:hAnsi="Calibri" w:cs="Calibri"/>
                      <w:b/>
                      <w:bCs/>
                      <w:szCs w:val="24"/>
                      <w:lang w:eastAsia="lt-LT"/>
                    </w:rPr>
                    <w:t>Sprendimo projekto antikorupcinis vertinimas.</w:t>
                  </w:r>
                </w:p>
              </w:sdtContent>
            </w:sdt>
          </w:sdtContent>
        </w:sdt>
        <w:sdt>
          <w:sdtPr>
            <w:alias w:val="skirsnis"/>
            <w:tag w:val="part_a7b656be74544268bf101b9a8fa27351"/>
            <w:lock w:val="sdtLocked"/>
            <w:richText/>
          </w:sdtPr>
          <w:sdtContent>
            <w:p>
              <w:pPr>
                <w:ind w:left="851"/>
                <w:jc w:val="both"/>
                <w:rPr>
                  <w:b/>
                  <w:bCs/>
                  <w:szCs w:val="24"/>
                  <w:lang w:eastAsia="lt-LT"/>
                </w:rPr>
              </w:pPr>
              <w:sdt>
                <w:sdtPr>
                  <w:alias w:val="Pavadinimas"/>
                  <w:tag w:val="title_a7b656be74544268bf101b9a8fa27351"/>
                  <w:lock w:val="sdtLocked"/>
                  <w:richText/>
                </w:sdtPr>
                <w:sdtContent>
                  <w:r>
                    <w:rPr>
                      <w:b/>
                      <w:bCs/>
                      <w:szCs w:val="24"/>
                      <w:lang w:eastAsia="lt-LT"/>
                    </w:rPr>
                    <w:t>-</w:t>
                  </w:r>
                </w:sdtContent>
              </w:sdt>
            </w:p>
            <w:sdt>
              <w:sdtPr>
                <w:alias w:val="11 p."/>
                <w:tag w:val="part_c9f0277d7a584255a3de422d4181df59"/>
                <w:lock w:val="sdtLocked"/>
                <w:richText/>
              </w:sdtPr>
              <w:sdtContent>
                <w:p>
                  <w:pPr>
                    <w:ind w:left="1211" w:hanging="360"/>
                    <w:rPr>
                      <w:rFonts w:ascii="Calibri" w:hAnsi="Calibri" w:cs="Calibri"/>
                      <w:b/>
                      <w:bCs/>
                      <w:szCs w:val="24"/>
                      <w:lang w:val="pt-PT" w:eastAsia="lt-LT"/>
                    </w:rPr>
                  </w:pPr>
                  <w:sdt>
                    <w:sdtPr>
                      <w:alias w:val="Numeris"/>
                      <w:tag w:val="nr_c9f0277d7a584255a3de422d4181df59"/>
                      <w:lock w:val="sdtLocked"/>
                      <w:richText/>
                    </w:sdtPr>
                    <w:sdtContent>
                      <w:r>
                        <w:rPr>
                          <w:b/>
                          <w:bCs/>
                          <w:szCs w:val="24"/>
                          <w:lang w:val="pt-PT"/>
                        </w:rPr>
                        <w:t>11</w:t>
                      </w:r>
                    </w:sdtContent>
                  </w:sdt>
                  <w:r>
                    <w:rPr>
                      <w:b/>
                      <w:bCs/>
                      <w:szCs w:val="24"/>
                      <w:lang w:val="pt-PT"/>
                    </w:rPr>
                    <w:t>.</w:t>
                    <w:tab/>
                  </w:r>
                  <w:r>
                    <w:rPr>
                      <w:rFonts w:ascii="Calibri" w:hAnsi="Calibri" w:cs="Calibri"/>
                      <w:b/>
                      <w:bCs/>
                      <w:szCs w:val="24"/>
                      <w:lang w:eastAsia="lt-LT"/>
                    </w:rPr>
                    <w:t>Kiti, iniciatoriaus nuomone, reikalingi pagrindimai ir paaiškinimai.</w:t>
                  </w:r>
                </w:p>
                <w:p>
                  <w:pPr>
                    <w:ind w:left="851"/>
                    <w:rPr>
                      <w:szCs w:val="24"/>
                      <w:lang w:val="pt-PT" w:eastAsia="lt-LT"/>
                    </w:rPr>
                  </w:pPr>
                  <w:r>
                    <w:rPr>
                      <w:szCs w:val="24"/>
                      <w:lang w:val="pt-PT" w:eastAsia="lt-LT"/>
                    </w:rPr>
                    <w:t>-</w:t>
                  </w:r>
                </w:p>
              </w:sdtContent>
            </w:sdt>
            <w:sdt>
              <w:sdtPr>
                <w:alias w:val="12 p."/>
                <w:tag w:val="part_a7702a5fc9e84cfb863e61f0b7f48d04"/>
                <w:lock w:val="sdtLocked"/>
                <w:richText/>
              </w:sdtPr>
              <w:sdtContent>
                <w:p>
                  <w:pPr>
                    <w:ind w:left="1211" w:hanging="360"/>
                    <w:rPr>
                      <w:rFonts w:ascii="Calibri" w:hAnsi="Calibri" w:cs="Calibri"/>
                      <w:b/>
                      <w:bCs/>
                      <w:szCs w:val="24"/>
                      <w:lang w:val="pt-PT" w:eastAsia="lt-LT"/>
                    </w:rPr>
                  </w:pPr>
                  <w:sdt>
                    <w:sdtPr>
                      <w:alias w:val="Numeris"/>
                      <w:tag w:val="nr_a7702a5fc9e84cfb863e61f0b7f48d04"/>
                      <w:lock w:val="sdtLocked"/>
                      <w:richText/>
                    </w:sdtPr>
                    <w:sdtContent>
                      <w:r>
                        <w:rPr>
                          <w:b/>
                          <w:bCs/>
                          <w:szCs w:val="24"/>
                          <w:lang w:val="pt-PT"/>
                        </w:rPr>
                        <w:t>12</w:t>
                      </w:r>
                    </w:sdtContent>
                  </w:sdt>
                  <w:r>
                    <w:rPr>
                      <w:b/>
                      <w:bCs/>
                      <w:szCs w:val="24"/>
                      <w:lang w:val="pt-PT"/>
                    </w:rPr>
                    <w:t>.</w:t>
                    <w:tab/>
                  </w:r>
                  <w:r>
                    <w:rPr>
                      <w:rFonts w:ascii="Calibri" w:hAnsi="Calibri" w:cs="Calibri"/>
                      <w:b/>
                      <w:bCs/>
                      <w:szCs w:val="24"/>
                      <w:lang w:val="pt-PT" w:eastAsia="lt-LT"/>
                    </w:rPr>
                    <w:t>Pridedami dokumentai.</w:t>
                  </w:r>
                </w:p>
                <w:p>
                  <w:pPr>
                    <w:tabs>
                      <w:tab w:val="left" w:pos="851"/>
                    </w:tabs>
                    <w:ind w:firstLine="851"/>
                    <w:jc w:val="both"/>
                    <w:rPr>
                      <w:szCs w:val="24"/>
                      <w:lang w:eastAsia="lt-LT"/>
                    </w:rPr>
                  </w:pPr>
                  <w:r>
                    <w:rPr>
                      <w:szCs w:val="24"/>
                      <w:lang w:eastAsia="lt-LT"/>
                    </w:rPr>
                    <w:t>Piliečių prašymai tarybos nariams išsiųsti elektroniniu paštu.</w:t>
                  </w:r>
                </w:p>
                <w:p>
                  <w:pPr>
                    <w:tabs>
                      <w:tab w:val="left" w:pos="851"/>
                    </w:tabs>
                    <w:ind w:firstLine="851"/>
                    <w:jc w:val="both"/>
                    <w:rPr>
                      <w:szCs w:val="24"/>
                      <w:lang w:eastAsia="lt-LT"/>
                    </w:rPr>
                  </w:pPr>
                </w:p>
                <w:p>
                  <w:pPr>
                    <w:tabs>
                      <w:tab w:val="left" w:pos="851"/>
                    </w:tabs>
                    <w:ind w:firstLine="851"/>
                    <w:jc w:val="both"/>
                    <w:rPr>
                      <w:szCs w:val="24"/>
                      <w:lang w:eastAsia="lt-LT"/>
                    </w:rPr>
                  </w:pPr>
                </w:p>
                <w:p>
                  <w:pPr>
                    <w:tabs>
                      <w:tab w:val="left" w:pos="851"/>
                    </w:tabs>
                    <w:ind w:firstLine="851"/>
                    <w:jc w:val="both"/>
                    <w:rPr>
                      <w:szCs w:val="24"/>
                      <w:lang w:eastAsia="lt-LT"/>
                    </w:rPr>
                  </w:pPr>
                </w:p>
              </w:sdtContent>
            </w:sdt>
          </w:sdtContent>
        </w:sdt>
        <w:sdt>
          <w:sdtPr>
            <w:alias w:val="signatura"/>
            <w:tag w:val="part_59cc72f51eea4f879a58466a756af773"/>
            <w:lock w:val="sdtLocked"/>
            <w:richText/>
          </w:sdtPr>
          <w:sdtContent>
            <w:p>
              <w:pPr>
                <w:tabs>
                  <w:tab w:val="left" w:pos="851"/>
                </w:tabs>
                <w:jc w:val="both"/>
                <w:rPr>
                  <w:szCs w:val="24"/>
                  <w:lang w:eastAsia="lt-LT"/>
                </w:rPr>
              </w:pPr>
              <w:r>
                <w:rPr>
                  <w:szCs w:val="24"/>
                  <w:lang w:eastAsia="lt-LT"/>
                </w:rPr>
                <w:t xml:space="preserve">Architektūros ir urbanistikos skyriaus vyr. specialistė                                             Ingrida Grigalaitienė</w:t>
              </w:r>
            </w:p>
            <w:p>
              <w:pPr>
                <w:tabs>
                  <w:tab w:val="left" w:pos="851"/>
                </w:tabs>
                <w:ind w:firstLine="851"/>
                <w:jc w:val="both"/>
                <w:rPr>
                  <w:szCs w:val="24"/>
                  <w:lang w:eastAsia="lt-LT"/>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4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02DDA4-A657-4D49-B7CA-9D4B10D4646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40408">
      <w:bodyDiv w:val="1"/>
      <w:marLeft w:val="0"/>
      <w:marRight w:val="0"/>
      <w:marTop w:val="0"/>
      <w:marBottom w:val="0"/>
      <w:divBdr>
        <w:top w:val="none" w:sz="0" w:space="0" w:color="auto"/>
        <w:left w:val="none" w:sz="0" w:space="0" w:color="auto"/>
        <w:bottom w:val="none" w:sz="0" w:space="0" w:color="auto"/>
        <w:right w:val="none" w:sz="0" w:space="0" w:color="auto"/>
      </w:divBdr>
    </w:div>
    <w:div w:id="298388571">
      <w:bodyDiv w:val="1"/>
      <w:marLeft w:val="0"/>
      <w:marRight w:val="0"/>
      <w:marTop w:val="0"/>
      <w:marBottom w:val="0"/>
      <w:divBdr>
        <w:top w:val="none" w:sz="0" w:space="0" w:color="auto"/>
        <w:left w:val="none" w:sz="0" w:space="0" w:color="auto"/>
        <w:bottom w:val="none" w:sz="0" w:space="0" w:color="auto"/>
        <w:right w:val="none" w:sz="0" w:space="0" w:color="auto"/>
      </w:divBdr>
    </w:div>
    <w:div w:id="333148300">
      <w:bodyDiv w:val="1"/>
      <w:marLeft w:val="0"/>
      <w:marRight w:val="0"/>
      <w:marTop w:val="0"/>
      <w:marBottom w:val="0"/>
      <w:divBdr>
        <w:top w:val="none" w:sz="0" w:space="0" w:color="auto"/>
        <w:left w:val="none" w:sz="0" w:space="0" w:color="auto"/>
        <w:bottom w:val="none" w:sz="0" w:space="0" w:color="auto"/>
        <w:right w:val="none" w:sz="0" w:space="0" w:color="auto"/>
      </w:divBdr>
      <w:divsChild>
        <w:div w:id="2141798610">
          <w:marLeft w:val="0"/>
          <w:marRight w:val="0"/>
          <w:marTop w:val="0"/>
          <w:marBottom w:val="0"/>
          <w:divBdr>
            <w:top w:val="none" w:sz="0" w:space="0" w:color="auto"/>
            <w:left w:val="none" w:sz="0" w:space="0" w:color="auto"/>
            <w:bottom w:val="none" w:sz="0" w:space="0" w:color="auto"/>
            <w:right w:val="none" w:sz="0" w:space="0" w:color="auto"/>
          </w:divBdr>
        </w:div>
        <w:div w:id="1270964568">
          <w:marLeft w:val="0"/>
          <w:marRight w:val="0"/>
          <w:marTop w:val="0"/>
          <w:marBottom w:val="0"/>
          <w:divBdr>
            <w:top w:val="none" w:sz="0" w:space="0" w:color="auto"/>
            <w:left w:val="none" w:sz="0" w:space="0" w:color="auto"/>
            <w:bottom w:val="none" w:sz="0" w:space="0" w:color="auto"/>
            <w:right w:val="none" w:sz="0" w:space="0" w:color="auto"/>
          </w:divBdr>
        </w:div>
        <w:div w:id="2135829978">
          <w:marLeft w:val="0"/>
          <w:marRight w:val="0"/>
          <w:marTop w:val="0"/>
          <w:marBottom w:val="0"/>
          <w:divBdr>
            <w:top w:val="none" w:sz="0" w:space="0" w:color="auto"/>
            <w:left w:val="none" w:sz="0" w:space="0" w:color="auto"/>
            <w:bottom w:val="none" w:sz="0" w:space="0" w:color="auto"/>
            <w:right w:val="none" w:sz="0" w:space="0" w:color="auto"/>
          </w:divBdr>
        </w:div>
      </w:divsChild>
    </w:div>
    <w:div w:id="499277110">
      <w:bodyDiv w:val="1"/>
      <w:marLeft w:val="0"/>
      <w:marRight w:val="0"/>
      <w:marTop w:val="0"/>
      <w:marBottom w:val="0"/>
      <w:divBdr>
        <w:top w:val="none" w:sz="0" w:space="0" w:color="auto"/>
        <w:left w:val="none" w:sz="0" w:space="0" w:color="auto"/>
        <w:bottom w:val="none" w:sz="0" w:space="0" w:color="auto"/>
        <w:right w:val="none" w:sz="0" w:space="0" w:color="auto"/>
      </w:divBdr>
    </w:div>
    <w:div w:id="719136826">
      <w:bodyDiv w:val="1"/>
      <w:marLeft w:val="0"/>
      <w:marRight w:val="0"/>
      <w:marTop w:val="0"/>
      <w:marBottom w:val="0"/>
      <w:divBdr>
        <w:top w:val="none" w:sz="0" w:space="0" w:color="auto"/>
        <w:left w:val="none" w:sz="0" w:space="0" w:color="auto"/>
        <w:bottom w:val="none" w:sz="0" w:space="0" w:color="auto"/>
        <w:right w:val="none" w:sz="0" w:space="0" w:color="auto"/>
      </w:divBdr>
    </w:div>
    <w:div w:id="762385740">
      <w:bodyDiv w:val="1"/>
      <w:marLeft w:val="0"/>
      <w:marRight w:val="0"/>
      <w:marTop w:val="0"/>
      <w:marBottom w:val="0"/>
      <w:divBdr>
        <w:top w:val="none" w:sz="0" w:space="0" w:color="auto"/>
        <w:left w:val="none" w:sz="0" w:space="0" w:color="auto"/>
        <w:bottom w:val="none" w:sz="0" w:space="0" w:color="auto"/>
        <w:right w:val="none" w:sz="0" w:space="0" w:color="auto"/>
      </w:divBdr>
    </w:div>
    <w:div w:id="1015494084">
      <w:bodyDiv w:val="1"/>
      <w:marLeft w:val="0"/>
      <w:marRight w:val="0"/>
      <w:marTop w:val="0"/>
      <w:marBottom w:val="0"/>
      <w:divBdr>
        <w:top w:val="none" w:sz="0" w:space="0" w:color="auto"/>
        <w:left w:val="none" w:sz="0" w:space="0" w:color="auto"/>
        <w:bottom w:val="none" w:sz="0" w:space="0" w:color="auto"/>
        <w:right w:val="none" w:sz="0" w:space="0" w:color="auto"/>
      </w:divBdr>
    </w:div>
    <w:div w:id="1424767736">
      <w:bodyDiv w:val="1"/>
      <w:marLeft w:val="0"/>
      <w:marRight w:val="0"/>
      <w:marTop w:val="0"/>
      <w:marBottom w:val="0"/>
      <w:divBdr>
        <w:top w:val="none" w:sz="0" w:space="0" w:color="auto"/>
        <w:left w:val="none" w:sz="0" w:space="0" w:color="auto"/>
        <w:bottom w:val="none" w:sz="0" w:space="0" w:color="auto"/>
        <w:right w:val="none" w:sz="0" w:space="0" w:color="auto"/>
      </w:divBdr>
    </w:div>
    <w:div w:id="1575117072">
      <w:bodyDiv w:val="1"/>
      <w:marLeft w:val="0"/>
      <w:marRight w:val="0"/>
      <w:marTop w:val="0"/>
      <w:marBottom w:val="0"/>
      <w:divBdr>
        <w:top w:val="none" w:sz="0" w:space="0" w:color="auto"/>
        <w:left w:val="none" w:sz="0" w:space="0" w:color="auto"/>
        <w:bottom w:val="none" w:sz="0" w:space="0" w:color="auto"/>
        <w:right w:val="none" w:sz="0" w:space="0" w:color="auto"/>
      </w:divBdr>
    </w:div>
    <w:div w:id="1823496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image" Target="media/image3.png"/>
  <Relationship Id="rId8" Type="http://schemas.openxmlformats.org/officeDocument/2006/relationships/image" Target="media/image4.png"/>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884ffbc90324f099c8d6459259ea233" PartId="06d1d412fee142968a1f75bad0e2b3e2">
    <Part Type="preambule" DocPartId="8545fc56dbe84292acbe84849c48a648" PartId="03282ea3b88c47c1b66df1ce09ccf081"/>
    <Part Type="punktas" Nr="1" Abbr="1 p." DocPartId="065634fbcdf24908877a3505ffa9db21" PartId="d4b34e588fe6421a84b4c30dbdc523b0">
      <Part Type="papunktis" Nr="1.1" Abbr="1.1 pp." DocPartId="db2db772a832447196a8cf42fbde8737" PartId="841f33e1b8fc4f2a805e5b0c5435fb48"/>
      <Part Type="papunktis" Nr="1.2" Abbr="1.2 pp." DocPartId="72cc21b658de4ff6b4bc050ad02e2f7c" PartId="28bfb9aabca64b3087be600a14cf6746"/>
    </Part>
    <Part Type="punktas" Nr="2" Abbr="2 p." DocPartId="519174880d9245f382bbbdd4ec8d91f6" PartId="c5ea0f6278fc4688aa7c0cd7acc02904"/>
    <Part Type="punktas" Nr="3" Abbr="3 p." DocPartId="223db8d0caa442a5b3aebb4ebb224a93" PartId="d787344c97224bc7a825a3097e1c3037"/>
    <Part Type="punktas" Nr="4" Abbr="4 p." DocPartId="d62cfccf896847ba9314716a3550ff6e" PartId="0e905a7a980247b9b91a035d06c72d00"/>
    <Part Type="skirsnis" Title="RADVILIŠKIO RAJONO SAVIVALDYBĖS TARYBOS SPRENDIMO PROJEKTO „DĖL PRITARIMO RADVILIŠKIO MIESTO INFRASTRUKTŪROS PLĖTRAI REIKALINGŲ ŽEMĖS SKLYPŲ ĮSIGIJIMUI“ AIŠKINAMASIS RAŠTAS" DocPartId="502476d378884c09808992524205b7f1" PartId="8da54a43563a475586b206db819ca311">
      <Part Type="punktas" Nr="1" Abbr="1 p." DocPartId="9e786075095646fda1fe181d6ce42480" PartId="e81e77b5ffab4faab91e1be4927285a1">
        <Part Type="papunktis" Nr="1.1" Abbr="1.1 pp." Notes="Numeris ne iš eilės. Trūksta dalių? [DocDalys]" DocPartId="354d04792a7b4d2e84547a8a5a96e9a8" PartId="86fc6ec6831248e2ab80d8f20ae879cb"/>
        <Part Type="papunktis" Nr="1.2" Abbr="1.2 pp." DocPartId="d9498907cd024e27848ccbeab3f8291a" PartId="c464180d7a344a248759e5160c90ce03"/>
      </Part>
      <Part Type="punktas" Nr="2" Abbr="2 p." DocPartId="6c9cef839fe24147b1b96aa220e45c28" PartId="e3c4ee0dfcc643aab8f963c0dae1b273"/>
      <Part Type="punktas" Nr="3" Abbr="3 p." DocPartId="6f4abeeb98bb4573b48480892e54d105" PartId="cb59121591f349e78816c56dafeba834"/>
      <Part Type="punktas" Nr="4" Abbr="4 p." DocPartId="352eaa0fd5f14034867c735fb2a5e136" PartId="97f47bca37fa42a499ea915e57682509"/>
      <Part Type="punktas" Nr="5" Abbr="5 p." DocPartId="7f128423aeec46c4bbb9b65c14a9ad71" PartId="9c53ab6dd45a4abaa72905b11bbecf34"/>
      <Part Type="punktas" Nr="6" Abbr="6 p." DocPartId="e91cf998cbc84c1b8285347b768146ad" PartId="1f6a5d0eca494e72a5b9e4631bac06a4"/>
      <Part Type="punktas" Nr="7" Abbr="7 p." DocPartId="118a62b11f754494bb58287eeb38113b" PartId="d146da1bb1ab459fb934b078d2a649d6"/>
      <Part Type="punktas" Nr="8" Abbr="8 p." DocPartId="9b6309b87c2d45c78fa99ce60477a840" PartId="a0b0b75885194a92908fbb711f1e7abf"/>
    </Part>
    <Part Type="skirsnis" Title="-" DocPartId="d2ce5007f1dc43cdb6e522c6ad1ec782" PartId="45bc74674bf84c899a652a1e5dd1200f">
      <Part Type="punktas" Nr="9" Abbr="9 p." DocPartId="1be1e46a75ad4dd2963dd84023ced1fc" PartId="7d495bdcd0d54307b480c6809c1c709a"/>
    </Part>
    <Part Type="skirsnis" Title="-" DocPartId="8ed4c277f84441e886cb5e831ea26f92" PartId="40c5cc6e3a184cf6a19b93cb2baab664">
      <Part Type="punktas" Nr="10" Abbr="10 p." DocPartId="bf263d51c5f1491a827614d98a896b50" PartId="04d2e108c3f14e76831791635e84504e"/>
    </Part>
    <Part Type="skirsnis" Title="-" DocPartId="20e55e680a254a7eba931a4e8f78ac57" PartId="a7b656be74544268bf101b9a8fa27351">
      <Part Type="punktas" Nr="11" Abbr="11 p." DocPartId="894158a4ba6841269633490a356375e5" PartId="c9f0277d7a584255a3de422d4181df59"/>
      <Part Type="punktas" Nr="12" Abbr="12 p." DocPartId="05949499620c48758b683d832b5d8e63" PartId="a7702a5fc9e84cfb863e61f0b7f48d04"/>
    </Part>
    <Part Type="signatura" DocPartId="cea9052ad8bb4917bdbf4b7b5865643b" PartId="59cc72f51eea4f879a58466a756af773"/>
  </Part>
</Parts>
</file>

<file path=customXml/itemProps1.xml><?xml version="1.0" encoding="utf-8"?>
<ds:datastoreItem xmlns:ds="http://schemas.openxmlformats.org/officeDocument/2006/customXml" ds:itemID="{2A0490B2-3D62-4837-80F2-CBFCEE9B168F}">
  <ds:schemaRefs>
    <ds:schemaRef ds:uri="http://schemas.openxmlformats.org/officeDocument/2006/bibliography"/>
  </ds:schemaRefs>
</ds:datastoreItem>
</file>

<file path=customXml/itemProps2.xml><?xml version="1.0" encoding="utf-8"?>
<ds:datastoreItem xmlns:ds="http://schemas.openxmlformats.org/officeDocument/2006/customXml" ds:itemID="{CCAEDA4C-A50E-42CD-B1AC-11BA8E4EDB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938</Words>
  <Characters>6701</Characters>
  <Application>Microsoft Office Word</Application>
  <DocSecurity>4</DocSecurity>
  <Lines>134</Lines>
  <Paragraphs>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7578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2025-01-31T12:03:00Z</dcterms:created>
  <dc:creator>Radviliskis Architektura</dc:creator>
  <lastModifiedBy>adlibuser</lastModifiedBy>
  <lastPrinted>2025-01-22T08:38:00Z</lastPrinted>
  <dcterms:modified xsi:type="dcterms:W3CDTF">2025-01-31T12:03:00Z</dcterms:modified>
  <revision>2</revision>
</coreProperties>
</file>