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d30ea7ef6ae4f95bfaabb106d01c998"/>
        <w:lock w:val="sdtLocked"/>
        <w:richText/>
      </w:sdtPr>
      <w:sdtContent>
        <w:p w14:paraId="6534E5EF" w14:textId="77777777">
          <w:pPr>
            <w:tabs>
              <w:tab w:val="center" w:pos="4153"/>
              <w:tab w:val="right" w:pos="8306"/>
            </w:tabs>
            <w:overflowPunct w:val="0"/>
            <w:jc w:val="both"/>
            <w:textAlignment w:val="baseline"/>
            <w:rPr>
              <w:lang w:val="en-GB"/>
            </w:rPr>
          </w:pPr>
        </w:p>
        <w:p w14:paraId="36546037" w14:textId="5E6E9E9A">
          <w:pPr>
            <w:overflowPunct w:val="0"/>
            <w:jc w:val="both"/>
            <w:textAlignment w:val="baseline"/>
            <w:rPr>
              <w:b/>
              <w:bCs/>
              <w:szCs w:val="24"/>
            </w:rPr>
          </w:pPr>
        </w:p>
        <w:p w14:paraId="12A3FB07" w14:textId="0FE70D1D">
          <w:pPr>
            <w:overflowPunct w:val="0"/>
            <w:ind w:left="2880" w:firstLine="720"/>
            <w:jc w:val="right"/>
            <w:textAlignment w:val="baseline"/>
            <w:rPr>
              <w:b/>
              <w:bCs/>
              <w:szCs w:val="24"/>
            </w:rPr>
          </w:pPr>
          <w:r>
            <w:rPr>
              <w:b/>
              <w:bCs/>
              <w:szCs w:val="24"/>
            </w:rPr>
            <w:t>Projektas</w:t>
          </w:r>
        </w:p>
        <w:p w14:paraId="1E562E9A" w14:textId="77777777">
          <w:pPr>
            <w:overflowPunct w:val="0"/>
            <w:ind w:left="2880" w:firstLine="720"/>
            <w:jc w:val="right"/>
            <w:textAlignment w:val="baseline"/>
            <w:rPr>
              <w:b/>
              <w:bCs/>
              <w:szCs w:val="24"/>
            </w:rPr>
          </w:pPr>
        </w:p>
        <w:p w14:paraId="7934EBEE" w14:textId="77777777">
          <w:pPr>
            <w:overflowPunct w:val="0"/>
            <w:jc w:val="center"/>
            <w:textAlignment w:val="baseline"/>
            <w:rPr>
              <w:b/>
              <w:sz w:val="28"/>
              <w:szCs w:val="28"/>
            </w:rPr>
          </w:pPr>
        </w:p>
        <w:p w14:paraId="72C781CB" w14:textId="44548311">
          <w:pPr>
            <w:overflowPunct w:val="0"/>
            <w:jc w:val="center"/>
            <w:textAlignment w:val="baseline"/>
            <w:rPr>
              <w:b/>
              <w:sz w:val="28"/>
              <w:szCs w:val="28"/>
            </w:rPr>
          </w:pPr>
          <w:r>
            <w:rPr>
              <w:b/>
              <w:sz w:val="28"/>
              <w:szCs w:val="28"/>
            </w:rPr>
            <w:t>LIETUVOS RESPUBLIKOS ŽEMĖS ŪKIO MINISTRAS</w:t>
          </w:r>
        </w:p>
        <w:p w14:paraId="6ACB2DD2" w14:textId="77777777">
          <w:pPr>
            <w:overflowPunct w:val="0"/>
            <w:jc w:val="center"/>
            <w:textAlignment w:val="baseline"/>
            <w:rPr>
              <w:b/>
              <w:sz w:val="28"/>
              <w:szCs w:val="28"/>
            </w:rPr>
          </w:pPr>
        </w:p>
        <w:p w14:paraId="0FA9D2D8" w14:textId="77777777">
          <w:pPr>
            <w:overflowPunct w:val="0"/>
            <w:jc w:val="center"/>
            <w:textAlignment w:val="baseline"/>
            <w:rPr>
              <w:b/>
              <w:szCs w:val="24"/>
            </w:rPr>
          </w:pPr>
          <w:r>
            <w:rPr>
              <w:b/>
              <w:szCs w:val="24"/>
            </w:rPr>
            <w:t>ĮSAKYMAS</w:t>
          </w:r>
        </w:p>
        <w:p w14:paraId="010A5E32" w14:textId="3C0B61A0">
          <w:pPr>
            <w:keepLines/>
            <w:widowControl w:val="0"/>
            <w:suppressAutoHyphens/>
            <w:overflowPunct w:val="0"/>
            <w:jc w:val="center"/>
            <w:textAlignment w:val="baseline"/>
            <w:rPr>
              <w:b/>
              <w:caps/>
            </w:rPr>
          </w:pPr>
          <w:r>
            <w:rPr>
              <w:b/>
            </w:rPr>
            <w:t xml:space="preserve">DĖL </w:t>
          </w:r>
          <w:r>
            <w:rPr>
              <w:b/>
              <w:szCs w:val="24"/>
            </w:rPr>
            <w:t xml:space="preserve">DIDŽIAUSIŲJŲ GALIMŲ DRAUDIMO ĮMOKŲ ĮKAINIŲ NUSTATYMO </w:t>
          </w:r>
        </w:p>
        <w:p w14:paraId="05CC60B6" w14:textId="77777777">
          <w:pPr>
            <w:overflowPunct w:val="0"/>
            <w:jc w:val="center"/>
            <w:textAlignment w:val="baseline"/>
            <w:rPr>
              <w:b/>
            </w:rPr>
          </w:pPr>
        </w:p>
        <w:p w14:paraId="0CA6D09B" w14:textId="77777777">
          <w:pPr>
            <w:overflowPunct w:val="0"/>
            <w:jc w:val="center"/>
            <w:textAlignment w:val="baseline"/>
          </w:pPr>
        </w:p>
        <w:p w14:paraId="769D88E7" w14:textId="7DC9EAED">
          <w:pPr>
            <w:overflowPunct w:val="0"/>
            <w:spacing w:line="360" w:lineRule="auto"/>
            <w:jc w:val="center"/>
            <w:textAlignment w:val="baseline"/>
          </w:pPr>
          <w:r>
            <w:t xml:space="preserve">2023 m.                d.  Nr. 3D- </w:t>
          </w:r>
        </w:p>
        <w:p w14:paraId="149A0881" w14:textId="77777777">
          <w:pPr>
            <w:framePr w:h="714" w:wrap="auto" w:hAnchor="text"/>
            <w:overflowPunct w:val="0"/>
            <w:spacing w:line="360" w:lineRule="auto"/>
            <w:jc w:val="center"/>
            <w:textAlignment w:val="baseline"/>
          </w:pPr>
          <w:r>
            <w:t>Vilnius</w:t>
          </w:r>
        </w:p>
        <w:p w14:paraId="7444E8D8" w14:textId="77777777">
          <w:pPr>
            <w:overflowPunct w:val="0"/>
            <w:jc w:val="center"/>
            <w:textAlignment w:val="baseline"/>
          </w:pPr>
        </w:p>
        <w:sdt>
          <w:sdtPr>
            <w:alias w:val="preambule"/>
            <w:tag w:val="part_01853eb65f64404aad2f542bd11316e1"/>
            <w:lock w:val="sdtLocked"/>
            <w:richText/>
          </w:sdtPr>
          <w:sdtContent>
            <w:p w14:paraId="0B1612A7" w14:textId="5D2DF48C">
              <w:pPr>
                <w:overflowPunct w:val="0"/>
                <w:spacing w:line="276" w:lineRule="auto"/>
                <w:ind w:firstLine="720"/>
                <w:jc w:val="both"/>
                <w:textAlignment w:val="baseline"/>
                <w:rPr>
                  <w:bCs/>
                  <w:caps/>
                  <w:szCs w:val="24"/>
                </w:rPr>
              </w:pPr>
              <w:r>
                <w:rPr>
                  <w:color w:val="000000"/>
                </w:rPr>
                <w:t xml:space="preserve">Atsižvelgdamas į </w:t>
              </w:r>
              <w:r>
                <w:rPr>
                  <w:szCs w:val="24"/>
                </w:rPr>
                <w:t>Pasėlių ir augalų draudimo įmokų kompensavimo</w:t>
              </w:r>
              <w:r>
                <w:rPr>
                  <w:color w:val="000000"/>
                </w:rPr>
                <w:t xml:space="preserve"> taisykles, patvirtintas Lietuvos Respublikos žemės ūkio ministro 2009 m. balandžio 10 d. įsakymu Nr. 3D-236 „Dėl </w:t>
              </w:r>
              <w:r>
                <w:rPr>
                  <w:szCs w:val="24"/>
                </w:rPr>
                <w:t xml:space="preserve">Pasėlių ir augalų draudimo įmokų kompensavimo </w:t>
              </w:r>
              <w:r>
                <w:rPr>
                  <w:color w:val="000000"/>
                </w:rPr>
                <w:t xml:space="preserve">taisyklių patvirtinimo“ (toliau – Valstybės pagalbos taisyklės), </w:t>
              </w:r>
              <w:r>
                <w:rPr>
                  <w:bCs/>
                </w:rPr>
                <w:t xml:space="preserve">Lietuvos kaimo plėtros 2014–2020 m. programos priemonės „Rizikos valdymas“ veiklos srities „Pasėlių, gyvūnų ir augalų draudimo įmokos“, susijusios su pasėlių ir augalų draudimo įmokų kompensavimu, įgyvendinimo taisykles, patvirtintas Lietuvos Respublikos žemės ūkio ministro 2016 m. gegužės 25 d. įsakymu Nr. 3D-327 „Dėl Lietuvos kaimo plėtros 2014–2020 m. programos priemonės „Rizikos valdymas“ veiklos srities „Pasėlių, gyvūnų ir augalų draudimo įmokos“, susijusios su pasėlių ir augalų draudimo įmokų kompensavimu, įgyvendinimo taisyklių patvirtinimo“ (toliau – KPP taisyklės), bei </w:t>
              </w:r>
              <w:r>
                <w:rPr>
                  <w:szCs w:val="24"/>
                </w:rPr>
                <w:t>Lietuvos žemės ūkio ir kaimo plėtros 2023–2027 m. strateginio plano intervencinės priemonės „</w:t>
              </w:r>
              <w:r>
                <w:rPr>
                  <w:bCs/>
                  <w:szCs w:val="24"/>
                </w:rPr>
                <w:t>Pasėlių, augalų ir gyvūnų draudimas“ veiklos „Pasėlių ir augalų draudimo įmokos kompensacija“</w:t>
              </w:r>
              <w:r>
                <w:rPr>
                  <w:szCs w:val="24"/>
                </w:rPr>
                <w:t xml:space="preserve"> </w:t>
              </w:r>
              <w:r>
                <w:rPr>
                  <w:spacing w:val="-2"/>
                  <w:szCs w:val="24"/>
                </w:rPr>
                <w:t xml:space="preserve">įgyvendinimo taisykles, patvirtintas </w:t>
              </w:r>
              <w:r>
                <w:rPr>
                  <w:color w:val="000000"/>
                </w:rPr>
                <w:t xml:space="preserve">Lietuvos Respublikos žemės ūkio ministro 2023 m. rugpjūčio 1 d. įsakymu Nr. 3D-513 „Dėl </w:t>
              </w:r>
              <w:r>
                <w:rPr>
                  <w:szCs w:val="24"/>
                </w:rPr>
                <w:t>Lietuvos žemės ūkio ir kaimo plėtros 2023–2027 m. strateginio plano intervencinės priemonės „</w:t>
              </w:r>
              <w:r>
                <w:rPr>
                  <w:bCs/>
                  <w:szCs w:val="24"/>
                </w:rPr>
                <w:t>Pasėlių, augalų ir gyvūnų draudimas“ veiklos „Pasėlių ir augalų draudimo įmokos kompensacija“</w:t>
              </w:r>
              <w:r>
                <w:rPr>
                  <w:szCs w:val="24"/>
                </w:rPr>
                <w:t xml:space="preserve"> </w:t>
              </w:r>
              <w:r>
                <w:rPr>
                  <w:spacing w:val="-2"/>
                  <w:szCs w:val="24"/>
                </w:rPr>
                <w:t>įgyvendinimo taisyklių patvirtinimo“ (toliau – SP taisyklės),</w:t>
              </w:r>
            </w:p>
          </w:sdtContent>
        </w:sdt>
        <w:sdt>
          <w:sdtPr>
            <w:alias w:val="pastraipa"/>
            <w:tag w:val="part_e4f0c483d7514473938ec6f4b4391ec5"/>
            <w:lock w:val="sdtLocked"/>
            <w:richText/>
          </w:sdtPr>
          <w:sdtContent>
            <w:p w14:paraId="0CE28BD4" w14:textId="5B58DCB1">
              <w:pPr>
                <w:overflowPunct w:val="0"/>
                <w:spacing w:line="276" w:lineRule="auto"/>
                <w:ind w:left="720"/>
                <w:jc w:val="both"/>
                <w:textAlignment w:val="baseline"/>
                <w:rPr>
                  <w:szCs w:val="24"/>
                </w:rPr>
              </w:pPr>
              <w:r>
                <w:rPr>
                  <w:szCs w:val="24"/>
                </w:rPr>
                <w:t>n u s t a t a u, kad:</w:t>
              </w:r>
            </w:p>
          </w:sdtContent>
        </w:sdt>
        <w:sdt>
          <w:sdtPr>
            <w:alias w:val="1 p."/>
            <w:tag w:val="part_aa8ac80b1f0f4b7e9461ebd025be9d4b"/>
            <w:lock w:val="sdtLocked"/>
            <w:richText/>
          </w:sdtPr>
          <w:sdtContent>
            <w:p w14:paraId="123A5AA2" w14:textId="21CEE39F">
              <w:pPr>
                <w:overflowPunct w:val="0"/>
                <w:spacing w:line="276" w:lineRule="auto"/>
                <w:ind w:firstLine="720"/>
                <w:jc w:val="both"/>
                <w:textAlignment w:val="baseline"/>
                <w:rPr>
                  <w:b/>
                </w:rPr>
              </w:pPr>
              <w:sdt>
                <w:sdtPr>
                  <w:alias w:val="Numeris"/>
                  <w:tag w:val="nr_aa8ac80b1f0f4b7e9461ebd025be9d4b"/>
                  <w:lock w:val="sdtLocked"/>
                  <w:richText/>
                </w:sdtPr>
                <w:sdtContent>
                  <w:r>
                    <w:rPr>
                      <w:szCs w:val="24"/>
                    </w:rPr>
                    <w:t>1</w:t>
                  </w:r>
                </w:sdtContent>
              </w:sdt>
              <w:r>
                <w:rPr>
                  <w:szCs w:val="24"/>
                </w:rPr>
                <w:t xml:space="preserve">. </w:t>
              </w:r>
              <w:r>
                <w:rPr>
                  <w:color w:val="000000"/>
                  <w:szCs w:val="24"/>
                </w:rPr>
                <w:t>Pasėlius ir (arba) augalus apdraudusiems žemės ūkio veiklos subjektams, kurie kreipiasi paramos pagal Valstybės pagalbos, KPP taisykles ir SP taisykles, taikomi šie</w:t>
              </w:r>
              <w:r>
                <w:t xml:space="preserve"> vidutinius rinkos įkainius atitinkantys d</w:t>
              </w:r>
              <w:r>
                <w:rPr>
                  <w:color w:val="000000"/>
                  <w:szCs w:val="24"/>
                </w:rPr>
                <w:t>idžiausieji galimi draudimo įmokos įkainiai 1 ha deklaruoto ploto pagal augalų rūšių grupes:</w:t>
              </w:r>
            </w:p>
            <w:tbl>
              <w:tblPr>
                <w:tblW w:w="9781" w:type="dxa"/>
                <w:tblInd w:w="-147" w:type="dxa"/>
                <w:tblLayout w:type="fixed"/>
                <w:tblCellMar>
                  <w:left w:w="0" w:type="dxa"/>
                  <w:right w:w="0" w:type="dxa"/>
                </w:tblCellMar>
                <w:tblLook w:val="0000" w:firstRow="0" w:lastRow="0" w:firstColumn="0" w:lastColumn="0" w:noHBand="0" w:noVBand="0"/>
              </w:tblPr>
              <w:tblGrid>
                <w:gridCol w:w="511"/>
                <w:gridCol w:w="2404"/>
                <w:gridCol w:w="1622"/>
                <w:gridCol w:w="1417"/>
                <w:gridCol w:w="1418"/>
                <w:gridCol w:w="2409"/>
              </w:tblGrid>
              <w:tr w14:paraId="4B94AD2D" w14:textId="198106B1">
                <w:trPr>
                  <w:trHeight w:val="900"/>
                </w:trPr>
                <w:tc>
                  <w:tcPr>
                    <w:tcW w:w="511" w:type="dxa"/>
                    <w:vMerge w:val="restart"/>
                    <w:tcBorders>
                      <w:top w:val="single" w:sz="4" w:space="0" w:color="000000"/>
                      <w:left w:val="single" w:sz="4" w:space="0" w:color="000000"/>
                      <w:right w:val="single" w:sz="4" w:space="0" w:color="000000"/>
                    </w:tcBorders>
                    <w:tcMar>
                      <w:top w:w="34" w:type="dxa"/>
                      <w:left w:w="57" w:type="dxa"/>
                      <w:bottom w:w="34" w:type="dxa"/>
                      <w:right w:w="57" w:type="dxa"/>
                    </w:tcMar>
                    <w:vAlign w:val="center"/>
                  </w:tcPr>
                  <w:p w14:paraId="795DF89B" w14:textId="77777777">
                    <w:pPr>
                      <w:suppressAutoHyphens/>
                      <w:overflowPunct w:val="0"/>
                      <w:jc w:val="center"/>
                      <w:textAlignment w:val="center"/>
                      <w:rPr>
                        <w:b/>
                        <w:bCs/>
                        <w:color w:val="000000"/>
                        <w:sz w:val="22"/>
                        <w:szCs w:val="22"/>
                        <w:lang w:val="en-GB"/>
                      </w:rPr>
                    </w:pPr>
                    <w:r>
                      <w:rPr>
                        <w:b/>
                        <w:bCs/>
                        <w:color w:val="000000"/>
                        <w:sz w:val="22"/>
                        <w:szCs w:val="22"/>
                        <w:lang w:val="en-GB"/>
                      </w:rPr>
                      <w:t>Eil. Nr.</w:t>
                    </w:r>
                  </w:p>
                </w:tc>
                <w:tc>
                  <w:tcPr>
                    <w:tcW w:w="2404" w:type="dxa"/>
                    <w:vMerge w:val="restart"/>
                    <w:tcBorders>
                      <w:top w:val="single" w:sz="4" w:space="0" w:color="000000"/>
                      <w:left w:val="single" w:sz="4" w:space="0" w:color="000000"/>
                      <w:right w:val="single" w:sz="4" w:space="0" w:color="000000"/>
                    </w:tcBorders>
                    <w:tcMar>
                      <w:top w:w="34" w:type="dxa"/>
                      <w:left w:w="57" w:type="dxa"/>
                      <w:bottom w:w="34" w:type="dxa"/>
                      <w:right w:w="57" w:type="dxa"/>
                    </w:tcMar>
                    <w:vAlign w:val="center"/>
                  </w:tcPr>
                  <w:p w14:paraId="2517385D" w14:textId="1E5B11A9">
                    <w:pPr>
                      <w:tabs>
                        <w:tab w:val="left" w:pos="993"/>
                      </w:tabs>
                      <w:suppressAutoHyphens/>
                      <w:overflowPunct w:val="0"/>
                      <w:jc w:val="center"/>
                      <w:textAlignment w:val="center"/>
                      <w:rPr>
                        <w:b/>
                        <w:bCs/>
                        <w:color w:val="000000"/>
                        <w:sz w:val="22"/>
                        <w:szCs w:val="22"/>
                      </w:rPr>
                    </w:pPr>
                    <w:r>
                      <w:rPr>
                        <w:b/>
                        <w:bCs/>
                        <w:color w:val="000000"/>
                        <w:sz w:val="22"/>
                        <w:szCs w:val="22"/>
                      </w:rPr>
                      <w:t>Augalų rūšies grupė</w:t>
                    </w:r>
                  </w:p>
                </w:tc>
                <w:tc>
                  <w:tcPr>
                    <w:tcW w:w="1622" w:type="dxa"/>
                    <w:tcBorders>
                      <w:top w:val="single" w:sz="4" w:space="0" w:color="000000"/>
                      <w:left w:val="single" w:sz="4" w:space="0" w:color="000000"/>
                      <w:bottom w:val="single" w:sz="4" w:space="0" w:color="auto"/>
                      <w:right w:val="single" w:sz="4" w:space="0" w:color="000000"/>
                    </w:tcBorders>
                    <w:tcMar>
                      <w:top w:w="34" w:type="dxa"/>
                      <w:left w:w="57" w:type="dxa"/>
                      <w:bottom w:w="34" w:type="dxa"/>
                      <w:right w:w="57" w:type="dxa"/>
                    </w:tcMar>
                    <w:vAlign w:val="center"/>
                  </w:tcPr>
                  <w:p w14:paraId="06DA0A8D" w14:textId="7B8E3319">
                    <w:pPr>
                      <w:tabs>
                        <w:tab w:val="left" w:pos="993"/>
                      </w:tabs>
                      <w:suppressAutoHyphens/>
                      <w:overflowPunct w:val="0"/>
                      <w:jc w:val="center"/>
                      <w:textAlignment w:val="center"/>
                      <w:rPr>
                        <w:b/>
                        <w:bCs/>
                        <w:color w:val="000000"/>
                        <w:sz w:val="22"/>
                        <w:szCs w:val="22"/>
                      </w:rPr>
                    </w:pPr>
                    <w:r>
                      <w:rPr>
                        <w:b/>
                        <w:bCs/>
                        <w:color w:val="000000"/>
                        <w:sz w:val="22"/>
                        <w:szCs w:val="22"/>
                      </w:rPr>
                      <w:t>Draudžiant nuo Valstybės pagalbos taisyklėse nustatytų rizikų</w:t>
                    </w:r>
                  </w:p>
                </w:tc>
                <w:tc>
                  <w:tcPr>
                    <w:tcW w:w="1417" w:type="dxa"/>
                    <w:tcBorders>
                      <w:top w:val="single" w:sz="4" w:space="0" w:color="000000"/>
                      <w:left w:val="single" w:sz="4" w:space="0" w:color="000000"/>
                      <w:bottom w:val="single" w:sz="4" w:space="0" w:color="auto"/>
                      <w:right w:val="single" w:sz="4" w:space="0" w:color="000000"/>
                    </w:tcBorders>
                    <w:vAlign w:val="center"/>
                  </w:tcPr>
                  <w:p w14:paraId="344432C6" w14:textId="6DE47AD0">
                    <w:pPr>
                      <w:tabs>
                        <w:tab w:val="left" w:pos="993"/>
                      </w:tabs>
                      <w:suppressAutoHyphens/>
                      <w:overflowPunct w:val="0"/>
                      <w:jc w:val="center"/>
                      <w:textAlignment w:val="center"/>
                      <w:rPr>
                        <w:b/>
                        <w:bCs/>
                        <w:color w:val="000000"/>
                        <w:sz w:val="22"/>
                        <w:szCs w:val="22"/>
                      </w:rPr>
                    </w:pPr>
                    <w:r>
                      <w:rPr>
                        <w:b/>
                        <w:bCs/>
                        <w:color w:val="000000"/>
                        <w:sz w:val="22"/>
                        <w:szCs w:val="22"/>
                      </w:rPr>
                      <w:t>Iššalimas</w:t>
                    </w:r>
                  </w:p>
                </w:tc>
                <w:tc>
                  <w:tcPr>
                    <w:tcW w:w="1418" w:type="dxa"/>
                    <w:tcBorders>
                      <w:top w:val="single" w:sz="4" w:space="0" w:color="000000"/>
                      <w:left w:val="single" w:sz="4" w:space="0" w:color="000000"/>
                      <w:bottom w:val="single" w:sz="4" w:space="0" w:color="auto"/>
                      <w:right w:val="single" w:sz="4" w:space="0" w:color="000000"/>
                    </w:tcBorders>
                    <w:tcMar>
                      <w:top w:w="34" w:type="dxa"/>
                      <w:left w:w="57" w:type="dxa"/>
                      <w:bottom w:w="34" w:type="dxa"/>
                      <w:right w:w="57" w:type="dxa"/>
                    </w:tcMar>
                    <w:vAlign w:val="center"/>
                  </w:tcPr>
                  <w:p w14:paraId="75D370A0" w14:textId="02E89295">
                    <w:pPr>
                      <w:tabs>
                        <w:tab w:val="left" w:pos="993"/>
                      </w:tabs>
                      <w:suppressAutoHyphens/>
                      <w:overflowPunct w:val="0"/>
                      <w:jc w:val="center"/>
                      <w:textAlignment w:val="center"/>
                      <w:rPr>
                        <w:b/>
                        <w:bCs/>
                        <w:color w:val="000000"/>
                        <w:sz w:val="22"/>
                        <w:szCs w:val="22"/>
                      </w:rPr>
                    </w:pPr>
                    <w:r>
                      <w:rPr>
                        <w:b/>
                        <w:bCs/>
                        <w:color w:val="000000"/>
                        <w:sz w:val="22"/>
                        <w:szCs w:val="22"/>
                      </w:rPr>
                      <w:t>Sausra</w:t>
                    </w:r>
                  </w:p>
                </w:tc>
                <w:tc>
                  <w:tcPr>
                    <w:tcW w:w="2409" w:type="dxa"/>
                    <w:tcBorders>
                      <w:top w:val="single" w:sz="4" w:space="0" w:color="000000"/>
                      <w:left w:val="single" w:sz="4" w:space="0" w:color="000000"/>
                      <w:bottom w:val="single" w:sz="4" w:space="0" w:color="auto"/>
                      <w:right w:val="single" w:sz="4" w:space="0" w:color="000000"/>
                    </w:tcBorders>
                    <w:vAlign w:val="center"/>
                  </w:tcPr>
                  <w:p w14:paraId="05EA6755" w14:textId="44E08563">
                    <w:pPr>
                      <w:tabs>
                        <w:tab w:val="left" w:pos="993"/>
                      </w:tabs>
                      <w:suppressAutoHyphens/>
                      <w:overflowPunct w:val="0"/>
                      <w:jc w:val="center"/>
                      <w:textAlignment w:val="center"/>
                      <w:rPr>
                        <w:b/>
                        <w:bCs/>
                        <w:color w:val="000000"/>
                        <w:sz w:val="22"/>
                        <w:szCs w:val="22"/>
                      </w:rPr>
                    </w:pPr>
                    <w:r>
                      <w:rPr>
                        <w:b/>
                        <w:bCs/>
                        <w:color w:val="000000"/>
                        <w:sz w:val="22"/>
                        <w:szCs w:val="22"/>
                      </w:rPr>
                      <w:t>Augalai grupėje</w:t>
                    </w:r>
                  </w:p>
                </w:tc>
              </w:tr>
              <w:tr w14:paraId="61FA1A95" w14:textId="0C8ACFBF">
                <w:trPr>
                  <w:trHeight w:val="360"/>
                </w:trPr>
                <w:tc>
                  <w:tcPr>
                    <w:tcW w:w="511" w:type="dxa"/>
                    <w:vMerge/>
                    <w:tcBorders>
                      <w:left w:val="single" w:sz="4" w:space="0" w:color="000000"/>
                      <w:bottom w:val="single" w:sz="4" w:space="0" w:color="000000"/>
                      <w:right w:val="single" w:sz="4" w:space="0" w:color="000000"/>
                    </w:tcBorders>
                    <w:tcMar>
                      <w:top w:w="34" w:type="dxa"/>
                      <w:left w:w="57" w:type="dxa"/>
                      <w:bottom w:w="34" w:type="dxa"/>
                      <w:right w:w="57" w:type="dxa"/>
                    </w:tcMar>
                    <w:vAlign w:val="center"/>
                  </w:tcPr>
                  <w:p w14:paraId="21C4655A" w14:textId="77777777">
                    <w:pPr>
                      <w:suppressAutoHyphens/>
                      <w:overflowPunct w:val="0"/>
                      <w:jc w:val="center"/>
                      <w:textAlignment w:val="center"/>
                      <w:rPr>
                        <w:b/>
                        <w:bCs/>
                        <w:color w:val="000000"/>
                        <w:sz w:val="22"/>
                        <w:szCs w:val="22"/>
                        <w:lang w:val="en-GB"/>
                      </w:rPr>
                    </w:pPr>
                  </w:p>
                </w:tc>
                <w:tc>
                  <w:tcPr>
                    <w:tcW w:w="2404" w:type="dxa"/>
                    <w:vMerge/>
                    <w:tcBorders>
                      <w:left w:val="single" w:sz="4" w:space="0" w:color="000000"/>
                      <w:bottom w:val="single" w:sz="4" w:space="0" w:color="000000"/>
                      <w:right w:val="single" w:sz="4" w:space="0" w:color="000000"/>
                    </w:tcBorders>
                    <w:tcMar>
                      <w:top w:w="34" w:type="dxa"/>
                      <w:left w:w="57" w:type="dxa"/>
                      <w:bottom w:w="34" w:type="dxa"/>
                      <w:right w:w="57" w:type="dxa"/>
                    </w:tcMar>
                    <w:vAlign w:val="center"/>
                  </w:tcPr>
                  <w:p w14:paraId="0670E48C" w14:textId="77777777">
                    <w:pPr>
                      <w:tabs>
                        <w:tab w:val="left" w:pos="993"/>
                      </w:tabs>
                      <w:suppressAutoHyphens/>
                      <w:overflowPunct w:val="0"/>
                      <w:jc w:val="center"/>
                      <w:textAlignment w:val="center"/>
                      <w:rPr>
                        <w:b/>
                        <w:bCs/>
                        <w:color w:val="000000"/>
                        <w:sz w:val="22"/>
                        <w:szCs w:val="22"/>
                      </w:rPr>
                    </w:pPr>
                  </w:p>
                </w:tc>
                <w:tc>
                  <w:tcPr>
                    <w:tcW w:w="1622" w:type="dxa"/>
                    <w:tcBorders>
                      <w:top w:val="single" w:sz="4" w:space="0" w:color="auto"/>
                      <w:left w:val="single" w:sz="4" w:space="0" w:color="000000"/>
                      <w:bottom w:val="single" w:sz="4" w:space="0" w:color="000000"/>
                      <w:right w:val="single" w:sz="4" w:space="0" w:color="000000"/>
                    </w:tcBorders>
                    <w:tcMar>
                      <w:top w:w="34" w:type="dxa"/>
                      <w:left w:w="57" w:type="dxa"/>
                      <w:bottom w:w="34" w:type="dxa"/>
                      <w:right w:w="57" w:type="dxa"/>
                    </w:tcMar>
                    <w:vAlign w:val="center"/>
                  </w:tcPr>
                  <w:p w14:paraId="33FC80D6" w14:textId="77777777">
                    <w:pPr>
                      <w:tabs>
                        <w:tab w:val="left" w:pos="993"/>
                      </w:tabs>
                      <w:suppressAutoHyphens/>
                      <w:overflowPunct w:val="0"/>
                      <w:jc w:val="center"/>
                      <w:textAlignment w:val="center"/>
                      <w:rPr>
                        <w:b/>
                        <w:bCs/>
                        <w:color w:val="000000"/>
                        <w:sz w:val="22"/>
                        <w:szCs w:val="22"/>
                      </w:rPr>
                    </w:pPr>
                    <w:r>
                      <w:rPr>
                        <w:b/>
                        <w:bCs/>
                        <w:color w:val="000000"/>
                        <w:sz w:val="22"/>
                        <w:szCs w:val="22"/>
                      </w:rPr>
                      <w:t>Eur už ha</w:t>
                    </w:r>
                  </w:p>
                </w:tc>
                <w:tc>
                  <w:tcPr>
                    <w:tcW w:w="1417" w:type="dxa"/>
                    <w:tcBorders>
                      <w:top w:val="single" w:sz="4" w:space="0" w:color="auto"/>
                      <w:left w:val="single" w:sz="4" w:space="0" w:color="000000"/>
                      <w:bottom w:val="single" w:sz="4" w:space="0" w:color="000000"/>
                      <w:right w:val="single" w:sz="4" w:space="0" w:color="000000"/>
                    </w:tcBorders>
                  </w:tcPr>
                  <w:p w14:paraId="7751C6F2" w14:textId="797ABD54">
                    <w:pPr>
                      <w:tabs>
                        <w:tab w:val="left" w:pos="993"/>
                      </w:tabs>
                      <w:suppressAutoHyphens/>
                      <w:overflowPunct w:val="0"/>
                      <w:jc w:val="center"/>
                      <w:textAlignment w:val="center"/>
                      <w:rPr>
                        <w:b/>
                        <w:bCs/>
                        <w:color w:val="000000"/>
                        <w:sz w:val="22"/>
                        <w:szCs w:val="22"/>
                      </w:rPr>
                    </w:pPr>
                    <w:r>
                      <w:rPr>
                        <w:b/>
                        <w:bCs/>
                        <w:color w:val="000000"/>
                        <w:sz w:val="22"/>
                        <w:szCs w:val="22"/>
                      </w:rPr>
                      <w:t>Eur už ha</w:t>
                    </w:r>
                  </w:p>
                </w:tc>
                <w:tc>
                  <w:tcPr>
                    <w:tcW w:w="1418" w:type="dxa"/>
                    <w:tcBorders>
                      <w:top w:val="single" w:sz="4" w:space="0" w:color="auto"/>
                      <w:left w:val="single" w:sz="4" w:space="0" w:color="000000"/>
                      <w:bottom w:val="single" w:sz="4" w:space="0" w:color="000000"/>
                      <w:right w:val="single" w:sz="4" w:space="0" w:color="000000"/>
                    </w:tcBorders>
                    <w:tcMar>
                      <w:top w:w="34" w:type="dxa"/>
                      <w:left w:w="57" w:type="dxa"/>
                      <w:bottom w:w="34" w:type="dxa"/>
                      <w:right w:w="57" w:type="dxa"/>
                    </w:tcMar>
                    <w:vAlign w:val="center"/>
                  </w:tcPr>
                  <w:p w14:paraId="78E7717F" w14:textId="375C9F23">
                    <w:pPr>
                      <w:tabs>
                        <w:tab w:val="left" w:pos="993"/>
                      </w:tabs>
                      <w:suppressAutoHyphens/>
                      <w:overflowPunct w:val="0"/>
                      <w:jc w:val="center"/>
                      <w:textAlignment w:val="center"/>
                      <w:rPr>
                        <w:b/>
                        <w:bCs/>
                        <w:color w:val="000000"/>
                        <w:sz w:val="22"/>
                        <w:szCs w:val="22"/>
                      </w:rPr>
                    </w:pPr>
                    <w:r>
                      <w:rPr>
                        <w:b/>
                        <w:bCs/>
                        <w:color w:val="000000"/>
                        <w:sz w:val="22"/>
                        <w:szCs w:val="22"/>
                      </w:rPr>
                      <w:t>Eur už ha</w:t>
                    </w:r>
                  </w:p>
                </w:tc>
                <w:tc>
                  <w:tcPr>
                    <w:tcW w:w="2409" w:type="dxa"/>
                    <w:tcBorders>
                      <w:top w:val="single" w:sz="4" w:space="0" w:color="auto"/>
                      <w:left w:val="single" w:sz="4" w:space="0" w:color="000000"/>
                      <w:bottom w:val="single" w:sz="4" w:space="0" w:color="000000"/>
                      <w:right w:val="single" w:sz="4" w:space="0" w:color="000000"/>
                    </w:tcBorders>
                  </w:tcPr>
                  <w:p w14:paraId="445077C7" w14:textId="77777777">
                    <w:pPr>
                      <w:tabs>
                        <w:tab w:val="left" w:pos="993"/>
                      </w:tabs>
                      <w:suppressAutoHyphens/>
                      <w:overflowPunct w:val="0"/>
                      <w:jc w:val="center"/>
                      <w:textAlignment w:val="center"/>
                      <w:rPr>
                        <w:b/>
                        <w:bCs/>
                        <w:color w:val="000000"/>
                        <w:sz w:val="22"/>
                        <w:szCs w:val="22"/>
                        <w:lang w:val="en-GB"/>
                      </w:rPr>
                    </w:pPr>
                  </w:p>
                </w:tc>
              </w:tr>
              <w:tr w14:paraId="2446BD5F" w14:textId="5E0FD945">
                <w:trPr>
                  <w:trHeight w:val="62"/>
                </w:trPr>
                <w:tc>
                  <w:tcPr>
                    <w:tcW w:w="511"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vAlign w:val="center"/>
                  </w:tcPr>
                  <w:p w14:paraId="52DAB34C" w14:textId="77777777">
                    <w:pPr>
                      <w:suppressAutoHyphens/>
                      <w:overflowPunct w:val="0"/>
                      <w:jc w:val="center"/>
                      <w:textAlignment w:val="center"/>
                      <w:rPr>
                        <w:color w:val="000000"/>
                        <w:sz w:val="22"/>
                        <w:szCs w:val="22"/>
                      </w:rPr>
                    </w:pPr>
                    <w:r>
                      <w:rPr>
                        <w:color w:val="000000"/>
                        <w:sz w:val="22"/>
                        <w:szCs w:val="22"/>
                      </w:rPr>
                      <w:t>1.</w:t>
                    </w:r>
                  </w:p>
                </w:tc>
                <w:tc>
                  <w:tcPr>
                    <w:tcW w:w="2404"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vAlign w:val="center"/>
                  </w:tcPr>
                  <w:p w14:paraId="2B1D5D67" w14:textId="3C5F8A1E">
                    <w:pPr>
                      <w:suppressAutoHyphens/>
                      <w:overflowPunct w:val="0"/>
                      <w:jc w:val="both"/>
                      <w:textAlignment w:val="center"/>
                      <w:rPr>
                        <w:color w:val="000000"/>
                        <w:sz w:val="22"/>
                        <w:szCs w:val="22"/>
                      </w:rPr>
                    </w:pPr>
                    <w:r>
                      <w:rPr>
                        <w:color w:val="000000"/>
                        <w:sz w:val="22"/>
                        <w:szCs w:val="22"/>
                      </w:rPr>
                      <w:t>Ankštiniai augalai</w:t>
                    </w:r>
                  </w:p>
                </w:tc>
                <w:tc>
                  <w:tcPr>
                    <w:tcW w:w="1622" w:type="dxa"/>
                    <w:tcBorders>
                      <w:top w:val="single" w:sz="4" w:space="0" w:color="000000"/>
                      <w:left w:val="single" w:sz="4" w:space="0" w:color="000000"/>
                      <w:bottom w:val="single" w:sz="4" w:space="0" w:color="000000"/>
                      <w:right w:val="single" w:sz="4" w:space="0" w:color="000000"/>
                    </w:tcBorders>
                    <w:shd w:val="clear" w:color="auto" w:fill="auto"/>
                    <w:tcMar>
                      <w:top w:w="34" w:type="dxa"/>
                      <w:left w:w="57" w:type="dxa"/>
                      <w:bottom w:w="34" w:type="dxa"/>
                      <w:right w:w="57" w:type="dxa"/>
                    </w:tcMar>
                    <w:vAlign w:val="center"/>
                  </w:tcPr>
                  <w:p w14:paraId="2094F663" w14:textId="1761A652">
                    <w:pPr>
                      <w:suppressAutoHyphens/>
                      <w:overflowPunct w:val="0"/>
                      <w:jc w:val="center"/>
                      <w:textAlignment w:val="center"/>
                      <w:rPr>
                        <w:color w:val="000000"/>
                        <w:sz w:val="22"/>
                        <w:szCs w:val="22"/>
                      </w:rPr>
                    </w:pPr>
                    <w:r>
                      <w:rPr>
                        <w:color w:val="000000"/>
                        <w:sz w:val="22"/>
                        <w:szCs w:val="22"/>
                      </w:rPr>
                      <w:t>32</w:t>
                    </w:r>
                  </w:p>
                </w:tc>
                <w:tc>
                  <w:tcPr>
                    <w:tcW w:w="1417" w:type="dxa"/>
                    <w:tcBorders>
                      <w:top w:val="single" w:sz="4" w:space="0" w:color="000000"/>
                      <w:left w:val="single" w:sz="4" w:space="0" w:color="000000"/>
                      <w:bottom w:val="single" w:sz="4" w:space="0" w:color="000000"/>
                      <w:right w:val="single" w:sz="4" w:space="0" w:color="000000"/>
                    </w:tcBorders>
                    <w:vAlign w:val="center"/>
                  </w:tcPr>
                  <w:p w14:paraId="13800583" w14:textId="1836486C">
                    <w:pPr>
                      <w:overflowPunct w:val="0"/>
                      <w:jc w:val="center"/>
                      <w:textAlignment w:val="baseline"/>
                      <w:rPr>
                        <w:color w:val="000000"/>
                        <w:sz w:val="22"/>
                        <w:szCs w:val="22"/>
                      </w:rPr>
                    </w:pPr>
                    <w:r>
                      <w:rPr>
                        <w:color w:val="000000"/>
                        <w:sz w:val="22"/>
                        <w:szCs w:val="22"/>
                      </w:rPr>
                      <w:t>-</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34" w:type="dxa"/>
                      <w:left w:w="57" w:type="dxa"/>
                      <w:bottom w:w="34" w:type="dxa"/>
                      <w:right w:w="57" w:type="dxa"/>
                    </w:tcMar>
                    <w:vAlign w:val="center"/>
                  </w:tcPr>
                  <w:p w14:paraId="0DBCEFC3" w14:textId="75C1EC4C">
                    <w:pPr>
                      <w:overflowPunct w:val="0"/>
                      <w:jc w:val="center"/>
                      <w:textAlignment w:val="baseline"/>
                      <w:rPr>
                        <w:color w:val="000000"/>
                        <w:sz w:val="22"/>
                        <w:szCs w:val="22"/>
                      </w:rPr>
                    </w:pPr>
                    <w:r>
                      <w:rPr>
                        <w:color w:val="000000"/>
                        <w:sz w:val="22"/>
                        <w:szCs w:val="22"/>
                      </w:rPr>
                      <w:t>46</w:t>
                    </w:r>
                  </w:p>
                </w:tc>
                <w:tc>
                  <w:tcPr>
                    <w:tcW w:w="2409" w:type="dxa"/>
                    <w:tcBorders>
                      <w:top w:val="single" w:sz="4" w:space="0" w:color="000000"/>
                      <w:left w:val="single" w:sz="4" w:space="0" w:color="000000"/>
                      <w:bottom w:val="single" w:sz="4" w:space="0" w:color="000000"/>
                      <w:right w:val="single" w:sz="4" w:space="0" w:color="000000"/>
                    </w:tcBorders>
                    <w:vAlign w:val="center"/>
                  </w:tcPr>
                  <w:p w14:paraId="210F0CF3" w14:textId="6270A89D">
                    <w:pPr>
                      <w:overflowPunct w:val="0"/>
                      <w:jc w:val="both"/>
                      <w:textAlignment w:val="baseline"/>
                      <w:rPr>
                        <w:color w:val="000000"/>
                        <w:sz w:val="22"/>
                        <w:szCs w:val="22"/>
                      </w:rPr>
                    </w:pPr>
                    <w:r>
                      <w:rPr>
                        <w:color w:val="000000"/>
                        <w:sz w:val="22"/>
                        <w:szCs w:val="22"/>
                        <w:lang w:eastAsia="lt-LT"/>
                      </w:rPr>
                      <w:t>Pupos, pupuolės, pupelės, žirniai, lubinai, vikiai, sojos, lęšiai</w:t>
                    </w:r>
                  </w:p>
                </w:tc>
              </w:tr>
              <w:tr w14:paraId="2705C381" w14:textId="59709ACC">
                <w:trPr>
                  <w:trHeight w:val="62"/>
                </w:trPr>
                <w:tc>
                  <w:tcPr>
                    <w:tcW w:w="511"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48DB9B76" w14:textId="77777777">
                    <w:pPr>
                      <w:suppressAutoHyphens/>
                      <w:overflowPunct w:val="0"/>
                      <w:jc w:val="both"/>
                      <w:textAlignment w:val="center"/>
                      <w:rPr>
                        <w:color w:val="000000"/>
                        <w:sz w:val="22"/>
                        <w:szCs w:val="22"/>
                      </w:rPr>
                    </w:pPr>
                    <w:r>
                      <w:rPr>
                        <w:color w:val="000000"/>
                        <w:sz w:val="22"/>
                        <w:szCs w:val="22"/>
                      </w:rPr>
                      <w:t>2.</w:t>
                    </w:r>
                  </w:p>
                </w:tc>
                <w:tc>
                  <w:tcPr>
                    <w:tcW w:w="2404"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2BE7CF51" w14:textId="31AD019C">
                    <w:pPr>
                      <w:suppressAutoHyphens/>
                      <w:overflowPunct w:val="0"/>
                      <w:jc w:val="both"/>
                      <w:textAlignment w:val="center"/>
                      <w:rPr>
                        <w:color w:val="000000"/>
                        <w:sz w:val="22"/>
                        <w:szCs w:val="22"/>
                      </w:rPr>
                    </w:pPr>
                    <w:r>
                      <w:rPr>
                        <w:color w:val="000000"/>
                        <w:sz w:val="22"/>
                        <w:szCs w:val="22"/>
                      </w:rPr>
                      <w:t>Ankštiniai pašariniai augalai</w:t>
                    </w:r>
                  </w:p>
                </w:tc>
                <w:tc>
                  <w:tcPr>
                    <w:tcW w:w="1622" w:type="dxa"/>
                    <w:tcBorders>
                      <w:top w:val="single" w:sz="4" w:space="0" w:color="000000"/>
                      <w:left w:val="single" w:sz="4" w:space="0" w:color="000000"/>
                      <w:bottom w:val="single" w:sz="4" w:space="0" w:color="000000"/>
                      <w:right w:val="single" w:sz="4" w:space="0" w:color="000000"/>
                    </w:tcBorders>
                    <w:shd w:val="clear" w:color="auto" w:fill="auto"/>
                    <w:tcMar>
                      <w:top w:w="34" w:type="dxa"/>
                      <w:left w:w="57" w:type="dxa"/>
                      <w:bottom w:w="34" w:type="dxa"/>
                      <w:right w:w="57" w:type="dxa"/>
                    </w:tcMar>
                  </w:tcPr>
                  <w:p w14:paraId="77091AE8" w14:textId="3C72E54A">
                    <w:pPr>
                      <w:overflowPunct w:val="0"/>
                      <w:jc w:val="center"/>
                      <w:textAlignment w:val="baseline"/>
                      <w:rPr>
                        <w:color w:val="000000"/>
                        <w:sz w:val="22"/>
                        <w:szCs w:val="22"/>
                      </w:rPr>
                    </w:pPr>
                    <w:r>
                      <w:rPr>
                        <w:color w:val="000000"/>
                        <w:sz w:val="22"/>
                        <w:szCs w:val="22"/>
                      </w:rPr>
                      <w:t>24</w:t>
                    </w:r>
                  </w:p>
                </w:tc>
                <w:tc>
                  <w:tcPr>
                    <w:tcW w:w="1417" w:type="dxa"/>
                    <w:tcBorders>
                      <w:top w:val="single" w:sz="4" w:space="0" w:color="000000"/>
                      <w:left w:val="single" w:sz="4" w:space="0" w:color="000000"/>
                      <w:bottom w:val="single" w:sz="4" w:space="0" w:color="000000"/>
                      <w:right w:val="single" w:sz="4" w:space="0" w:color="000000"/>
                    </w:tcBorders>
                  </w:tcPr>
                  <w:p w14:paraId="51BDBF0B" w14:textId="1ED30C12">
                    <w:pPr>
                      <w:overflowPunct w:val="0"/>
                      <w:jc w:val="center"/>
                      <w:textAlignment w:val="baseline"/>
                      <w:rPr>
                        <w:color w:val="000000"/>
                        <w:sz w:val="22"/>
                        <w:szCs w:val="22"/>
                      </w:rPr>
                    </w:pPr>
                    <w:r>
                      <w:rPr>
                        <w:color w:val="000000"/>
                        <w:sz w:val="22"/>
                        <w:szCs w:val="22"/>
                      </w:rPr>
                      <w:t>-</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34" w:type="dxa"/>
                      <w:left w:w="57" w:type="dxa"/>
                      <w:bottom w:w="34" w:type="dxa"/>
                      <w:right w:w="57" w:type="dxa"/>
                    </w:tcMar>
                  </w:tcPr>
                  <w:p w14:paraId="335A373C" w14:textId="320911BA">
                    <w:pPr>
                      <w:overflowPunct w:val="0"/>
                      <w:jc w:val="center"/>
                      <w:textAlignment w:val="baseline"/>
                      <w:rPr>
                        <w:color w:val="000000"/>
                        <w:sz w:val="22"/>
                        <w:szCs w:val="22"/>
                      </w:rPr>
                    </w:pPr>
                    <w:r>
                      <w:rPr>
                        <w:color w:val="000000"/>
                        <w:sz w:val="22"/>
                        <w:szCs w:val="22"/>
                      </w:rPr>
                      <w:t>-</w:t>
                    </w:r>
                  </w:p>
                </w:tc>
                <w:tc>
                  <w:tcPr>
                    <w:tcW w:w="2409" w:type="dxa"/>
                    <w:tcBorders>
                      <w:top w:val="single" w:sz="4" w:space="0" w:color="000000"/>
                      <w:left w:val="single" w:sz="4" w:space="0" w:color="000000"/>
                      <w:bottom w:val="single" w:sz="4" w:space="0" w:color="000000"/>
                      <w:right w:val="single" w:sz="4" w:space="0" w:color="000000"/>
                    </w:tcBorders>
                    <w:vAlign w:val="center"/>
                  </w:tcPr>
                  <w:p w14:paraId="4FEF59C0" w14:textId="4DD0732D">
                    <w:pPr>
                      <w:overflowPunct w:val="0"/>
                      <w:jc w:val="both"/>
                      <w:textAlignment w:val="baseline"/>
                      <w:rPr>
                        <w:color w:val="000000"/>
                        <w:sz w:val="22"/>
                        <w:szCs w:val="22"/>
                      </w:rPr>
                    </w:pPr>
                    <w:r>
                      <w:rPr>
                        <w:color w:val="000000"/>
                        <w:sz w:val="22"/>
                        <w:szCs w:val="22"/>
                        <w:lang w:eastAsia="lt-LT"/>
                      </w:rPr>
                      <w:t>Žemės ūkio augalų mišiniai, kuriuose baltyminiai augalai yra vyraujantys (išskyrus žolinių augalų mišinius), dobilai, žolinių augalų mišiniai, kuriuose baltyminės žolės yra vyraujančios (III grupė + GPŽ), liucernos, barkūnai</w:t>
                    </w:r>
                  </w:p>
                </w:tc>
              </w:tr>
              <w:tr w14:paraId="3188DECF" w14:textId="2C530C31">
                <w:trPr>
                  <w:trHeight w:val="62"/>
                </w:trPr>
                <w:tc>
                  <w:tcPr>
                    <w:tcW w:w="511"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2329E303" w14:textId="77777777">
                    <w:pPr>
                      <w:suppressAutoHyphens/>
                      <w:overflowPunct w:val="0"/>
                      <w:jc w:val="both"/>
                      <w:textAlignment w:val="center"/>
                      <w:rPr>
                        <w:color w:val="000000"/>
                        <w:sz w:val="22"/>
                        <w:szCs w:val="22"/>
                      </w:rPr>
                    </w:pPr>
                    <w:r>
                      <w:rPr>
                        <w:color w:val="000000"/>
                        <w:sz w:val="22"/>
                        <w:szCs w:val="22"/>
                      </w:rPr>
                      <w:t>3.</w:t>
                    </w:r>
                  </w:p>
                </w:tc>
                <w:tc>
                  <w:tcPr>
                    <w:tcW w:w="2404"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18F6B7F1" w14:textId="33543673">
                    <w:pPr>
                      <w:suppressAutoHyphens/>
                      <w:overflowPunct w:val="0"/>
                      <w:jc w:val="both"/>
                      <w:textAlignment w:val="center"/>
                      <w:rPr>
                        <w:color w:val="000000"/>
                        <w:sz w:val="22"/>
                        <w:szCs w:val="22"/>
                      </w:rPr>
                    </w:pPr>
                    <w:r>
                      <w:rPr>
                        <w:color w:val="000000"/>
                        <w:sz w:val="22"/>
                        <w:szCs w:val="22"/>
                      </w:rPr>
                      <w:t>Bulvės</w:t>
                    </w:r>
                  </w:p>
                </w:tc>
                <w:tc>
                  <w:tcPr>
                    <w:tcW w:w="1622" w:type="dxa"/>
                    <w:tcBorders>
                      <w:top w:val="single" w:sz="4" w:space="0" w:color="000000"/>
                      <w:left w:val="single" w:sz="4" w:space="0" w:color="000000"/>
                      <w:bottom w:val="single" w:sz="4" w:space="0" w:color="000000"/>
                      <w:right w:val="single" w:sz="4" w:space="0" w:color="000000"/>
                    </w:tcBorders>
                    <w:shd w:val="clear" w:color="auto" w:fill="auto"/>
                    <w:tcMar>
                      <w:top w:w="34" w:type="dxa"/>
                      <w:left w:w="57" w:type="dxa"/>
                      <w:bottom w:w="34" w:type="dxa"/>
                      <w:right w:w="57" w:type="dxa"/>
                    </w:tcMar>
                  </w:tcPr>
                  <w:p w14:paraId="4BFB67D3" w14:textId="3887B6AD">
                    <w:pPr>
                      <w:overflowPunct w:val="0"/>
                      <w:jc w:val="center"/>
                      <w:textAlignment w:val="baseline"/>
                      <w:rPr>
                        <w:color w:val="000000"/>
                        <w:sz w:val="22"/>
                        <w:szCs w:val="22"/>
                      </w:rPr>
                    </w:pPr>
                    <w:r>
                      <w:rPr>
                        <w:color w:val="000000"/>
                        <w:sz w:val="22"/>
                        <w:szCs w:val="22"/>
                      </w:rPr>
                      <w:t>156</w:t>
                    </w:r>
                  </w:p>
                </w:tc>
                <w:tc>
                  <w:tcPr>
                    <w:tcW w:w="1417" w:type="dxa"/>
                    <w:tcBorders>
                      <w:top w:val="single" w:sz="4" w:space="0" w:color="000000"/>
                      <w:left w:val="single" w:sz="4" w:space="0" w:color="000000"/>
                      <w:bottom w:val="single" w:sz="4" w:space="0" w:color="000000"/>
                      <w:right w:val="single" w:sz="4" w:space="0" w:color="000000"/>
                    </w:tcBorders>
                  </w:tcPr>
                  <w:p w14:paraId="5D514601" w14:textId="4977D1CE">
                    <w:pPr>
                      <w:overflowPunct w:val="0"/>
                      <w:jc w:val="center"/>
                      <w:textAlignment w:val="baseline"/>
                      <w:rPr>
                        <w:color w:val="000000"/>
                        <w:sz w:val="22"/>
                        <w:szCs w:val="22"/>
                      </w:rPr>
                    </w:pPr>
                    <w:r>
                      <w:rPr>
                        <w:color w:val="000000"/>
                        <w:sz w:val="22"/>
                        <w:szCs w:val="22"/>
                      </w:rPr>
                      <w:t>-</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34" w:type="dxa"/>
                      <w:left w:w="57" w:type="dxa"/>
                      <w:bottom w:w="34" w:type="dxa"/>
                      <w:right w:w="57" w:type="dxa"/>
                    </w:tcMar>
                  </w:tcPr>
                  <w:p w14:paraId="06CAEA3D" w14:textId="6E1F3FF0">
                    <w:pPr>
                      <w:overflowPunct w:val="0"/>
                      <w:jc w:val="center"/>
                      <w:textAlignment w:val="baseline"/>
                      <w:rPr>
                        <w:color w:val="000000"/>
                        <w:sz w:val="22"/>
                        <w:szCs w:val="22"/>
                      </w:rPr>
                    </w:pPr>
                    <w:r>
                      <w:rPr>
                        <w:color w:val="000000"/>
                        <w:sz w:val="22"/>
                        <w:szCs w:val="22"/>
                      </w:rPr>
                      <w:t>-</w:t>
                    </w:r>
                  </w:p>
                </w:tc>
                <w:tc>
                  <w:tcPr>
                    <w:tcW w:w="2409" w:type="dxa"/>
                    <w:tcBorders>
                      <w:top w:val="single" w:sz="4" w:space="0" w:color="000000"/>
                      <w:left w:val="single" w:sz="4" w:space="0" w:color="000000"/>
                      <w:bottom w:val="single" w:sz="4" w:space="0" w:color="000000"/>
                      <w:right w:val="single" w:sz="4" w:space="0" w:color="000000"/>
                    </w:tcBorders>
                    <w:vAlign w:val="center"/>
                  </w:tcPr>
                  <w:p w14:paraId="09078DCB" w14:textId="1796F7A6">
                    <w:pPr>
                      <w:overflowPunct w:val="0"/>
                      <w:jc w:val="both"/>
                      <w:textAlignment w:val="baseline"/>
                      <w:rPr>
                        <w:color w:val="000000"/>
                        <w:sz w:val="22"/>
                        <w:szCs w:val="22"/>
                      </w:rPr>
                    </w:pPr>
                    <w:r>
                      <w:rPr>
                        <w:color w:val="000000"/>
                        <w:sz w:val="22"/>
                        <w:szCs w:val="22"/>
                        <w:lang w:eastAsia="lt-LT"/>
                      </w:rPr>
                      <w:t xml:space="preserve">Bulvės, ankstyvosios bulvės, topinambai, bulvės sėklai  </w:t>
                    </w:r>
                  </w:p>
                </w:tc>
              </w:tr>
              <w:tr w14:paraId="1FC70EFF" w14:textId="77777777">
                <w:trPr>
                  <w:trHeight w:val="62"/>
                </w:trPr>
                <w:tc>
                  <w:tcPr>
                    <w:tcW w:w="511"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173DCC63" w14:textId="65DAEAFB">
                    <w:pPr>
                      <w:suppressAutoHyphens/>
                      <w:overflowPunct w:val="0"/>
                      <w:jc w:val="both"/>
                      <w:textAlignment w:val="center"/>
                      <w:rPr>
                        <w:color w:val="000000"/>
                        <w:sz w:val="22"/>
                        <w:szCs w:val="22"/>
                      </w:rPr>
                    </w:pPr>
                    <w:r>
                      <w:rPr>
                        <w:color w:val="000000"/>
                        <w:sz w:val="22"/>
                        <w:szCs w:val="22"/>
                      </w:rPr>
                      <w:t>4.</w:t>
                    </w:r>
                  </w:p>
                </w:tc>
                <w:tc>
                  <w:tcPr>
                    <w:tcW w:w="2404"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38D6A524" w14:textId="502FB7EF">
                    <w:pPr>
                      <w:suppressAutoHyphens/>
                      <w:overflowPunct w:val="0"/>
                      <w:jc w:val="both"/>
                      <w:textAlignment w:val="center"/>
                      <w:rPr>
                        <w:color w:val="000000"/>
                        <w:sz w:val="22"/>
                        <w:szCs w:val="22"/>
                      </w:rPr>
                    </w:pPr>
                    <w:r>
                      <w:rPr>
                        <w:color w:val="000000"/>
                        <w:sz w:val="22"/>
                        <w:szCs w:val="22"/>
                      </w:rPr>
                      <w:t>Cukriniai runkeliai</w:t>
                    </w:r>
                  </w:p>
                </w:tc>
                <w:tc>
                  <w:tcPr>
                    <w:tcW w:w="1622" w:type="dxa"/>
                    <w:tcBorders>
                      <w:top w:val="single" w:sz="4" w:space="0" w:color="000000"/>
                      <w:left w:val="single" w:sz="4" w:space="0" w:color="000000"/>
                      <w:bottom w:val="single" w:sz="4" w:space="0" w:color="000000"/>
                      <w:right w:val="single" w:sz="4" w:space="0" w:color="000000"/>
                    </w:tcBorders>
                    <w:shd w:val="clear" w:color="auto" w:fill="auto"/>
                    <w:tcMar>
                      <w:top w:w="34" w:type="dxa"/>
                      <w:left w:w="57" w:type="dxa"/>
                      <w:bottom w:w="34" w:type="dxa"/>
                      <w:right w:w="57" w:type="dxa"/>
                    </w:tcMar>
                  </w:tcPr>
                  <w:p w14:paraId="1D8A323E" w14:textId="6BC491E5">
                    <w:pPr>
                      <w:overflowPunct w:val="0"/>
                      <w:jc w:val="center"/>
                      <w:textAlignment w:val="baseline"/>
                      <w:rPr>
                        <w:color w:val="000000"/>
                        <w:sz w:val="22"/>
                        <w:szCs w:val="22"/>
                      </w:rPr>
                    </w:pPr>
                    <w:r>
                      <w:rPr>
                        <w:color w:val="000000"/>
                        <w:sz w:val="22"/>
                        <w:szCs w:val="22"/>
                      </w:rPr>
                      <w:t>65</w:t>
                    </w:r>
                  </w:p>
                </w:tc>
                <w:tc>
                  <w:tcPr>
                    <w:tcW w:w="1417" w:type="dxa"/>
                    <w:tcBorders>
                      <w:top w:val="single" w:sz="4" w:space="0" w:color="000000"/>
                      <w:left w:val="single" w:sz="4" w:space="0" w:color="000000"/>
                      <w:bottom w:val="single" w:sz="4" w:space="0" w:color="000000"/>
                      <w:right w:val="single" w:sz="4" w:space="0" w:color="000000"/>
                    </w:tcBorders>
                  </w:tcPr>
                  <w:p w14:paraId="59B63808" w14:textId="6F1DF77F">
                    <w:pPr>
                      <w:overflowPunct w:val="0"/>
                      <w:jc w:val="center"/>
                      <w:textAlignment w:val="baseline"/>
                      <w:rPr>
                        <w:color w:val="000000"/>
                        <w:sz w:val="22"/>
                        <w:szCs w:val="22"/>
                      </w:rPr>
                    </w:pPr>
                    <w:r>
                      <w:rPr>
                        <w:color w:val="000000"/>
                        <w:sz w:val="22"/>
                        <w:szCs w:val="22"/>
                      </w:rPr>
                      <w:t>-</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34" w:type="dxa"/>
                      <w:left w:w="57" w:type="dxa"/>
                      <w:bottom w:w="34" w:type="dxa"/>
                      <w:right w:w="57" w:type="dxa"/>
                    </w:tcMar>
                  </w:tcPr>
                  <w:p w14:paraId="3E907DFF" w14:textId="6BACC655">
                    <w:pPr>
                      <w:overflowPunct w:val="0"/>
                      <w:jc w:val="center"/>
                      <w:textAlignment w:val="baseline"/>
                      <w:rPr>
                        <w:color w:val="000000"/>
                        <w:sz w:val="22"/>
                        <w:szCs w:val="22"/>
                      </w:rPr>
                    </w:pPr>
                    <w:r>
                      <w:rPr>
                        <w:color w:val="000000"/>
                        <w:sz w:val="22"/>
                        <w:szCs w:val="22"/>
                      </w:rPr>
                      <w:t>-</w:t>
                    </w:r>
                  </w:p>
                </w:tc>
                <w:tc>
                  <w:tcPr>
                    <w:tcW w:w="2409" w:type="dxa"/>
                    <w:tcBorders>
                      <w:top w:val="single" w:sz="4" w:space="0" w:color="000000"/>
                      <w:left w:val="single" w:sz="4" w:space="0" w:color="000000"/>
                      <w:bottom w:val="single" w:sz="4" w:space="0" w:color="000000"/>
                      <w:right w:val="single" w:sz="4" w:space="0" w:color="000000"/>
                    </w:tcBorders>
                    <w:vAlign w:val="center"/>
                  </w:tcPr>
                  <w:p w14:paraId="483E797A" w14:textId="3F592117">
                    <w:pPr>
                      <w:overflowPunct w:val="0"/>
                      <w:jc w:val="both"/>
                      <w:textAlignment w:val="baseline"/>
                      <w:rPr>
                        <w:color w:val="000000"/>
                        <w:sz w:val="22"/>
                        <w:szCs w:val="22"/>
                        <w:lang w:eastAsia="lt-LT"/>
                      </w:rPr>
                    </w:pPr>
                    <w:r>
                      <w:rPr>
                        <w:color w:val="000000"/>
                        <w:sz w:val="22"/>
                        <w:szCs w:val="22"/>
                        <w:lang w:eastAsia="lt-LT"/>
                      </w:rPr>
                      <w:t>Cukriniai runkeliai</w:t>
                    </w:r>
                  </w:p>
                </w:tc>
              </w:tr>
              <w:tr w14:paraId="76AD62D4" w14:textId="77777777">
                <w:trPr>
                  <w:trHeight w:val="62"/>
                </w:trPr>
                <w:tc>
                  <w:tcPr>
                    <w:tcW w:w="511"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1557F638" w14:textId="778B92E9">
                    <w:pPr>
                      <w:suppressAutoHyphens/>
                      <w:overflowPunct w:val="0"/>
                      <w:jc w:val="both"/>
                      <w:textAlignment w:val="center"/>
                      <w:rPr>
                        <w:color w:val="000000"/>
                        <w:sz w:val="22"/>
                        <w:szCs w:val="22"/>
                      </w:rPr>
                    </w:pPr>
                    <w:r>
                      <w:rPr>
                        <w:color w:val="000000"/>
                        <w:sz w:val="22"/>
                        <w:szCs w:val="22"/>
                      </w:rPr>
                      <w:t xml:space="preserve">5. </w:t>
                    </w:r>
                  </w:p>
                </w:tc>
                <w:tc>
                  <w:tcPr>
                    <w:tcW w:w="2404"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A8D83E7" w14:textId="408FFCCA">
                    <w:pPr>
                      <w:suppressAutoHyphens/>
                      <w:overflowPunct w:val="0"/>
                      <w:jc w:val="both"/>
                      <w:textAlignment w:val="center"/>
                      <w:rPr>
                        <w:color w:val="000000"/>
                        <w:sz w:val="22"/>
                        <w:szCs w:val="22"/>
                      </w:rPr>
                    </w:pPr>
                    <w:r>
                      <w:rPr>
                        <w:color w:val="000000"/>
                        <w:sz w:val="22"/>
                        <w:szCs w:val="22"/>
                      </w:rPr>
                      <w:t>Daržovės</w:t>
                    </w:r>
                  </w:p>
                </w:tc>
                <w:tc>
                  <w:tcPr>
                    <w:tcW w:w="1622" w:type="dxa"/>
                    <w:tcBorders>
                      <w:top w:val="single" w:sz="4" w:space="0" w:color="000000"/>
                      <w:left w:val="single" w:sz="4" w:space="0" w:color="000000"/>
                      <w:bottom w:val="single" w:sz="4" w:space="0" w:color="000000"/>
                      <w:right w:val="single" w:sz="4" w:space="0" w:color="000000"/>
                    </w:tcBorders>
                    <w:shd w:val="clear" w:color="auto" w:fill="auto"/>
                    <w:tcMar>
                      <w:top w:w="34" w:type="dxa"/>
                      <w:left w:w="57" w:type="dxa"/>
                      <w:bottom w:w="34" w:type="dxa"/>
                      <w:right w:w="57" w:type="dxa"/>
                    </w:tcMar>
                  </w:tcPr>
                  <w:p w14:paraId="520A32A6" w14:textId="57012B39">
                    <w:pPr>
                      <w:overflowPunct w:val="0"/>
                      <w:jc w:val="center"/>
                      <w:textAlignment w:val="baseline"/>
                      <w:rPr>
                        <w:color w:val="000000"/>
                        <w:sz w:val="22"/>
                        <w:szCs w:val="22"/>
                      </w:rPr>
                    </w:pPr>
                    <w:r>
                      <w:rPr>
                        <w:color w:val="000000"/>
                        <w:sz w:val="22"/>
                        <w:szCs w:val="22"/>
                      </w:rPr>
                      <w:t>202</w:t>
                    </w:r>
                  </w:p>
                </w:tc>
                <w:tc>
                  <w:tcPr>
                    <w:tcW w:w="1417" w:type="dxa"/>
                    <w:tcBorders>
                      <w:top w:val="single" w:sz="4" w:space="0" w:color="000000"/>
                      <w:left w:val="single" w:sz="4" w:space="0" w:color="000000"/>
                      <w:bottom w:val="single" w:sz="4" w:space="0" w:color="000000"/>
                      <w:right w:val="single" w:sz="4" w:space="0" w:color="000000"/>
                    </w:tcBorders>
                  </w:tcPr>
                  <w:p w14:paraId="6C45DC33" w14:textId="62E4002C">
                    <w:pPr>
                      <w:overflowPunct w:val="0"/>
                      <w:jc w:val="center"/>
                      <w:textAlignment w:val="baseline"/>
                      <w:rPr>
                        <w:color w:val="000000"/>
                        <w:sz w:val="22"/>
                        <w:szCs w:val="22"/>
                      </w:rPr>
                    </w:pPr>
                    <w:r>
                      <w:rPr>
                        <w:color w:val="000000"/>
                        <w:sz w:val="22"/>
                        <w:szCs w:val="22"/>
                      </w:rPr>
                      <w:t>-</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34" w:type="dxa"/>
                      <w:left w:w="57" w:type="dxa"/>
                      <w:bottom w:w="34" w:type="dxa"/>
                      <w:right w:w="57" w:type="dxa"/>
                    </w:tcMar>
                  </w:tcPr>
                  <w:p w14:paraId="4F1D7ED2" w14:textId="5FE78959">
                    <w:pPr>
                      <w:overflowPunct w:val="0"/>
                      <w:jc w:val="center"/>
                      <w:textAlignment w:val="baseline"/>
                      <w:rPr>
                        <w:color w:val="000000"/>
                        <w:sz w:val="22"/>
                        <w:szCs w:val="22"/>
                      </w:rPr>
                    </w:pPr>
                    <w:r>
                      <w:rPr>
                        <w:color w:val="000000"/>
                        <w:sz w:val="22"/>
                        <w:szCs w:val="22"/>
                      </w:rPr>
                      <w:t>-</w:t>
                    </w:r>
                  </w:p>
                </w:tc>
                <w:tc>
                  <w:tcPr>
                    <w:tcW w:w="2409" w:type="dxa"/>
                    <w:tcBorders>
                      <w:top w:val="single" w:sz="4" w:space="0" w:color="000000"/>
                      <w:left w:val="single" w:sz="4" w:space="0" w:color="000000"/>
                      <w:bottom w:val="single" w:sz="4" w:space="0" w:color="000000"/>
                      <w:right w:val="single" w:sz="4" w:space="0" w:color="000000"/>
                    </w:tcBorders>
                    <w:vAlign w:val="center"/>
                  </w:tcPr>
                  <w:p w14:paraId="39972684" w14:textId="19955EF4">
                    <w:pPr>
                      <w:overflowPunct w:val="0"/>
                      <w:jc w:val="both"/>
                      <w:textAlignment w:val="baseline"/>
                      <w:rPr>
                        <w:color w:val="000000"/>
                        <w:sz w:val="22"/>
                        <w:szCs w:val="22"/>
                        <w:lang w:eastAsia="lt-LT"/>
                      </w:rPr>
                    </w:pPr>
                    <w:r>
                      <w:rPr>
                        <w:color w:val="000000"/>
                        <w:sz w:val="22"/>
                        <w:szCs w:val="22"/>
                        <w:lang w:eastAsia="lt-LT"/>
                      </w:rPr>
                      <w:t xml:space="preserve">Burokėliai, svogūnai, morkos, gūžiniai kopūstai, baltieji, juodieji ridikai, žiediniai kopūstai,  česnakai, porai, ridikėliai, salierai, trūkažolės, krienai, pastarnokai, gelteklės, brokoliai, pekino kopūstai, baltieji gūžiniai kopūstai, kaliaropės, briuselio kopūstai, raudonieji kopūstai, ilganosiai baltieji kopūstai, lapiniai kopūstai, petražolės, pankoliai, kmynai</w:t>
                    </w:r>
                  </w:p>
                </w:tc>
              </w:tr>
              <w:tr w14:paraId="114F6858" w14:textId="77777777">
                <w:trPr>
                  <w:trHeight w:val="62"/>
                </w:trPr>
                <w:tc>
                  <w:tcPr>
                    <w:tcW w:w="511"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2DF6F4E" w14:textId="17406A50">
                    <w:pPr>
                      <w:suppressAutoHyphens/>
                      <w:overflowPunct w:val="0"/>
                      <w:jc w:val="both"/>
                      <w:textAlignment w:val="center"/>
                      <w:rPr>
                        <w:color w:val="000000"/>
                        <w:sz w:val="22"/>
                        <w:szCs w:val="22"/>
                      </w:rPr>
                    </w:pPr>
                    <w:r>
                      <w:rPr>
                        <w:color w:val="000000"/>
                        <w:sz w:val="22"/>
                        <w:szCs w:val="22"/>
                      </w:rPr>
                      <w:t xml:space="preserve">6. </w:t>
                    </w:r>
                  </w:p>
                </w:tc>
                <w:tc>
                  <w:tcPr>
                    <w:tcW w:w="2404"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30BDFD78" w14:textId="38427BF0">
                    <w:pPr>
                      <w:suppressAutoHyphens/>
                      <w:overflowPunct w:val="0"/>
                      <w:jc w:val="both"/>
                      <w:textAlignment w:val="center"/>
                      <w:rPr>
                        <w:color w:val="000000"/>
                        <w:sz w:val="22"/>
                        <w:szCs w:val="22"/>
                      </w:rPr>
                    </w:pPr>
                    <w:r>
                      <w:rPr>
                        <w:color w:val="000000"/>
                        <w:sz w:val="22"/>
                        <w:szCs w:val="22"/>
                      </w:rPr>
                      <w:t>Pluoštiniai augalai</w:t>
                    </w:r>
                  </w:p>
                </w:tc>
                <w:tc>
                  <w:tcPr>
                    <w:tcW w:w="1622" w:type="dxa"/>
                    <w:tcBorders>
                      <w:top w:val="single" w:sz="4" w:space="0" w:color="000000"/>
                      <w:left w:val="single" w:sz="4" w:space="0" w:color="000000"/>
                      <w:bottom w:val="single" w:sz="4" w:space="0" w:color="000000"/>
                      <w:right w:val="single" w:sz="4" w:space="0" w:color="000000"/>
                    </w:tcBorders>
                    <w:shd w:val="clear" w:color="auto" w:fill="auto"/>
                    <w:tcMar>
                      <w:top w:w="34" w:type="dxa"/>
                      <w:left w:w="57" w:type="dxa"/>
                      <w:bottom w:w="34" w:type="dxa"/>
                      <w:right w:w="57" w:type="dxa"/>
                    </w:tcMar>
                  </w:tcPr>
                  <w:p w14:paraId="03B1C149" w14:textId="2AEA565F">
                    <w:pPr>
                      <w:overflowPunct w:val="0"/>
                      <w:jc w:val="center"/>
                      <w:textAlignment w:val="baseline"/>
                      <w:rPr>
                        <w:color w:val="000000"/>
                        <w:sz w:val="22"/>
                        <w:szCs w:val="22"/>
                      </w:rPr>
                    </w:pPr>
                    <w:r>
                      <w:rPr>
                        <w:color w:val="000000"/>
                        <w:sz w:val="22"/>
                        <w:szCs w:val="22"/>
                      </w:rPr>
                      <w:t>20</w:t>
                    </w:r>
                  </w:p>
                </w:tc>
                <w:tc>
                  <w:tcPr>
                    <w:tcW w:w="1417" w:type="dxa"/>
                    <w:tcBorders>
                      <w:top w:val="single" w:sz="4" w:space="0" w:color="000000"/>
                      <w:left w:val="single" w:sz="4" w:space="0" w:color="000000"/>
                      <w:bottom w:val="single" w:sz="4" w:space="0" w:color="000000"/>
                      <w:right w:val="single" w:sz="4" w:space="0" w:color="000000"/>
                    </w:tcBorders>
                  </w:tcPr>
                  <w:p w14:paraId="5550B515" w14:textId="7B003840">
                    <w:pPr>
                      <w:overflowPunct w:val="0"/>
                      <w:jc w:val="center"/>
                      <w:textAlignment w:val="baseline"/>
                      <w:rPr>
                        <w:color w:val="000000"/>
                        <w:sz w:val="22"/>
                        <w:szCs w:val="22"/>
                      </w:rPr>
                    </w:pPr>
                    <w:r>
                      <w:rPr>
                        <w:color w:val="000000"/>
                        <w:sz w:val="22"/>
                        <w:szCs w:val="22"/>
                      </w:rPr>
                      <w:t>-</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34" w:type="dxa"/>
                      <w:left w:w="57" w:type="dxa"/>
                      <w:bottom w:w="34" w:type="dxa"/>
                      <w:right w:w="57" w:type="dxa"/>
                    </w:tcMar>
                  </w:tcPr>
                  <w:p w14:paraId="143FBCE0" w14:textId="527AE2DD">
                    <w:pPr>
                      <w:overflowPunct w:val="0"/>
                      <w:jc w:val="center"/>
                      <w:textAlignment w:val="baseline"/>
                      <w:rPr>
                        <w:color w:val="000000"/>
                        <w:sz w:val="22"/>
                        <w:szCs w:val="22"/>
                      </w:rPr>
                    </w:pPr>
                    <w:r>
                      <w:rPr>
                        <w:color w:val="000000"/>
                        <w:sz w:val="22"/>
                        <w:szCs w:val="22"/>
                      </w:rPr>
                      <w:t>-</w:t>
                    </w:r>
                  </w:p>
                </w:tc>
                <w:tc>
                  <w:tcPr>
                    <w:tcW w:w="2409" w:type="dxa"/>
                    <w:tcBorders>
                      <w:top w:val="single" w:sz="4" w:space="0" w:color="000000"/>
                      <w:left w:val="single" w:sz="4" w:space="0" w:color="000000"/>
                      <w:bottom w:val="single" w:sz="4" w:space="0" w:color="000000"/>
                      <w:right w:val="single" w:sz="4" w:space="0" w:color="000000"/>
                    </w:tcBorders>
                    <w:vAlign w:val="center"/>
                  </w:tcPr>
                  <w:p w14:paraId="6C3D9379" w14:textId="23D5CF3B">
                    <w:pPr>
                      <w:overflowPunct w:val="0"/>
                      <w:jc w:val="both"/>
                      <w:textAlignment w:val="baseline"/>
                      <w:rPr>
                        <w:color w:val="000000"/>
                        <w:sz w:val="22"/>
                        <w:szCs w:val="22"/>
                        <w:lang w:eastAsia="lt-LT"/>
                      </w:rPr>
                    </w:pPr>
                    <w:r>
                      <w:rPr>
                        <w:color w:val="000000"/>
                        <w:sz w:val="22"/>
                        <w:szCs w:val="22"/>
                        <w:lang w:eastAsia="lt-LT"/>
                      </w:rPr>
                      <w:t>Pluoštinės kanapės, pluoštiniai linai, kiti pluoštiniai augalai</w:t>
                    </w:r>
                  </w:p>
                </w:tc>
              </w:tr>
              <w:tr w14:paraId="68C8013B" w14:textId="01D75DFF">
                <w:trPr>
                  <w:trHeight w:val="62"/>
                </w:trPr>
                <w:tc>
                  <w:tcPr>
                    <w:tcW w:w="511"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AD86AF6" w14:textId="1B5FDB4A">
                    <w:pPr>
                      <w:suppressAutoHyphens/>
                      <w:overflowPunct w:val="0"/>
                      <w:jc w:val="both"/>
                      <w:textAlignment w:val="center"/>
                      <w:rPr>
                        <w:color w:val="000000"/>
                        <w:sz w:val="22"/>
                        <w:szCs w:val="22"/>
                      </w:rPr>
                    </w:pPr>
                    <w:r>
                      <w:rPr>
                        <w:color w:val="000000"/>
                        <w:sz w:val="22"/>
                        <w:szCs w:val="22"/>
                      </w:rPr>
                      <w:t>7.</w:t>
                    </w:r>
                  </w:p>
                </w:tc>
                <w:tc>
                  <w:tcPr>
                    <w:tcW w:w="2404"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0B8C4F50" w14:textId="15BDB8A5">
                    <w:pPr>
                      <w:suppressAutoHyphens/>
                      <w:overflowPunct w:val="0"/>
                      <w:jc w:val="both"/>
                      <w:textAlignment w:val="center"/>
                      <w:rPr>
                        <w:color w:val="000000"/>
                        <w:sz w:val="22"/>
                        <w:szCs w:val="22"/>
                      </w:rPr>
                    </w:pPr>
                    <w:r>
                      <w:rPr>
                        <w:color w:val="000000"/>
                        <w:sz w:val="22"/>
                        <w:szCs w:val="22"/>
                      </w:rPr>
                      <w:t>Kaulavaisiai ir sėklavaisiai</w:t>
                    </w:r>
                  </w:p>
                </w:tc>
                <w:tc>
                  <w:tcPr>
                    <w:tcW w:w="1622" w:type="dxa"/>
                    <w:tcBorders>
                      <w:top w:val="single" w:sz="4" w:space="0" w:color="000000"/>
                      <w:left w:val="single" w:sz="4" w:space="0" w:color="000000"/>
                      <w:bottom w:val="single" w:sz="4" w:space="0" w:color="000000"/>
                      <w:right w:val="single" w:sz="4" w:space="0" w:color="000000"/>
                    </w:tcBorders>
                    <w:shd w:val="clear" w:color="auto" w:fill="auto"/>
                    <w:tcMar>
                      <w:top w:w="34" w:type="dxa"/>
                      <w:left w:w="57" w:type="dxa"/>
                      <w:bottom w:w="34" w:type="dxa"/>
                      <w:right w:w="57" w:type="dxa"/>
                    </w:tcMar>
                  </w:tcPr>
                  <w:p w14:paraId="20CB71ED" w14:textId="372B17FE">
                    <w:pPr>
                      <w:overflowPunct w:val="0"/>
                      <w:jc w:val="center"/>
                      <w:textAlignment w:val="baseline"/>
                      <w:rPr>
                        <w:color w:val="000000"/>
                        <w:sz w:val="22"/>
                        <w:szCs w:val="22"/>
                      </w:rPr>
                    </w:pPr>
                    <w:r>
                      <w:rPr>
                        <w:color w:val="000000"/>
                        <w:sz w:val="22"/>
                        <w:szCs w:val="22"/>
                      </w:rPr>
                      <w:t>327</w:t>
                    </w:r>
                  </w:p>
                </w:tc>
                <w:tc>
                  <w:tcPr>
                    <w:tcW w:w="1417" w:type="dxa"/>
                    <w:tcBorders>
                      <w:top w:val="single" w:sz="4" w:space="0" w:color="000000"/>
                      <w:left w:val="single" w:sz="4" w:space="0" w:color="000000"/>
                      <w:bottom w:val="single" w:sz="4" w:space="0" w:color="000000"/>
                      <w:right w:val="single" w:sz="4" w:space="0" w:color="000000"/>
                    </w:tcBorders>
                  </w:tcPr>
                  <w:p w14:paraId="5F706E5A" w14:textId="0B442A4B">
                    <w:pPr>
                      <w:overflowPunct w:val="0"/>
                      <w:jc w:val="center"/>
                      <w:textAlignment w:val="baseline"/>
                      <w:rPr>
                        <w:color w:val="000000"/>
                        <w:sz w:val="22"/>
                        <w:szCs w:val="22"/>
                      </w:rPr>
                    </w:pPr>
                    <w:r>
                      <w:rPr>
                        <w:color w:val="000000"/>
                        <w:sz w:val="22"/>
                        <w:szCs w:val="22"/>
                      </w:rPr>
                      <w:t>-</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34" w:type="dxa"/>
                      <w:left w:w="57" w:type="dxa"/>
                      <w:bottom w:w="34" w:type="dxa"/>
                      <w:right w:w="57" w:type="dxa"/>
                    </w:tcMar>
                  </w:tcPr>
                  <w:p w14:paraId="37DE5DFA" w14:textId="1AB01494">
                    <w:pPr>
                      <w:overflowPunct w:val="0"/>
                      <w:jc w:val="center"/>
                      <w:textAlignment w:val="baseline"/>
                      <w:rPr>
                        <w:color w:val="000000"/>
                        <w:sz w:val="22"/>
                        <w:szCs w:val="22"/>
                      </w:rPr>
                    </w:pPr>
                    <w:r>
                      <w:rPr>
                        <w:color w:val="000000"/>
                        <w:sz w:val="22"/>
                        <w:szCs w:val="22"/>
                      </w:rPr>
                      <w:t>-</w:t>
                    </w:r>
                  </w:p>
                </w:tc>
                <w:tc>
                  <w:tcPr>
                    <w:tcW w:w="2409" w:type="dxa"/>
                    <w:tcBorders>
                      <w:top w:val="single" w:sz="4" w:space="0" w:color="000000"/>
                      <w:left w:val="single" w:sz="4" w:space="0" w:color="000000"/>
                      <w:bottom w:val="single" w:sz="4" w:space="0" w:color="000000"/>
                      <w:right w:val="single" w:sz="4" w:space="0" w:color="000000"/>
                    </w:tcBorders>
                    <w:vAlign w:val="center"/>
                  </w:tcPr>
                  <w:p w14:paraId="3E3DAA6C" w14:textId="69997443">
                    <w:pPr>
                      <w:overflowPunct w:val="0"/>
                      <w:jc w:val="both"/>
                      <w:textAlignment w:val="baseline"/>
                      <w:rPr>
                        <w:color w:val="000000"/>
                        <w:sz w:val="22"/>
                        <w:szCs w:val="22"/>
                      </w:rPr>
                    </w:pPr>
                    <w:r>
                      <w:rPr>
                        <w:color w:val="000000"/>
                        <w:sz w:val="22"/>
                        <w:szCs w:val="22"/>
                        <w:lang w:eastAsia="lt-LT"/>
                      </w:rPr>
                      <w:t>Obuoliai, slyvos, trešnės, vyšnios, kriaušės, cidonijos</w:t>
                    </w:r>
                  </w:p>
                </w:tc>
              </w:tr>
              <w:tr w14:paraId="79189EF5" w14:textId="5EBFC036">
                <w:trPr>
                  <w:trHeight w:val="62"/>
                </w:trPr>
                <w:tc>
                  <w:tcPr>
                    <w:tcW w:w="511"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5BE4243A" w14:textId="26DA3FFD">
                    <w:pPr>
                      <w:suppressAutoHyphens/>
                      <w:overflowPunct w:val="0"/>
                      <w:jc w:val="both"/>
                      <w:textAlignment w:val="center"/>
                      <w:rPr>
                        <w:color w:val="000000"/>
                        <w:sz w:val="22"/>
                        <w:szCs w:val="22"/>
                      </w:rPr>
                    </w:pPr>
                    <w:r>
                      <w:rPr>
                        <w:color w:val="000000"/>
                        <w:sz w:val="22"/>
                        <w:szCs w:val="22"/>
                      </w:rPr>
                      <w:t>8.</w:t>
                    </w:r>
                  </w:p>
                </w:tc>
                <w:tc>
                  <w:tcPr>
                    <w:tcW w:w="2404"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5A4E9F35" w14:textId="3E3B3B08">
                    <w:pPr>
                      <w:suppressAutoHyphens/>
                      <w:overflowPunct w:val="0"/>
                      <w:jc w:val="both"/>
                      <w:textAlignment w:val="center"/>
                      <w:rPr>
                        <w:color w:val="000000"/>
                        <w:sz w:val="22"/>
                        <w:szCs w:val="22"/>
                      </w:rPr>
                    </w:pPr>
                    <w:r>
                      <w:rPr>
                        <w:color w:val="000000"/>
                        <w:sz w:val="22"/>
                        <w:szCs w:val="22"/>
                      </w:rPr>
                      <w:t>Kiti augalai</w:t>
                    </w:r>
                  </w:p>
                </w:tc>
                <w:tc>
                  <w:tcPr>
                    <w:tcW w:w="1622" w:type="dxa"/>
                    <w:tcBorders>
                      <w:top w:val="single" w:sz="4" w:space="0" w:color="000000"/>
                      <w:left w:val="single" w:sz="4" w:space="0" w:color="000000"/>
                      <w:bottom w:val="single" w:sz="4" w:space="0" w:color="000000"/>
                      <w:right w:val="single" w:sz="4" w:space="0" w:color="000000"/>
                    </w:tcBorders>
                    <w:shd w:val="clear" w:color="auto" w:fill="auto"/>
                    <w:tcMar>
                      <w:top w:w="34" w:type="dxa"/>
                      <w:left w:w="57" w:type="dxa"/>
                      <w:bottom w:w="34" w:type="dxa"/>
                      <w:right w:w="57" w:type="dxa"/>
                    </w:tcMar>
                  </w:tcPr>
                  <w:p w14:paraId="153EA1CD" w14:textId="01C76B52">
                    <w:pPr>
                      <w:overflowPunct w:val="0"/>
                      <w:jc w:val="center"/>
                      <w:textAlignment w:val="baseline"/>
                      <w:rPr>
                        <w:color w:val="000000"/>
                        <w:sz w:val="22"/>
                        <w:szCs w:val="22"/>
                      </w:rPr>
                    </w:pPr>
                    <w:r>
                      <w:rPr>
                        <w:color w:val="000000"/>
                        <w:sz w:val="22"/>
                        <w:szCs w:val="22"/>
                      </w:rPr>
                      <w:t>31</w:t>
                    </w:r>
                  </w:p>
                </w:tc>
                <w:tc>
                  <w:tcPr>
                    <w:tcW w:w="1417" w:type="dxa"/>
                    <w:tcBorders>
                      <w:top w:val="single" w:sz="4" w:space="0" w:color="000000"/>
                      <w:left w:val="single" w:sz="4" w:space="0" w:color="000000"/>
                      <w:bottom w:val="single" w:sz="4" w:space="0" w:color="000000"/>
                      <w:right w:val="single" w:sz="4" w:space="0" w:color="000000"/>
                    </w:tcBorders>
                  </w:tcPr>
                  <w:p w14:paraId="5E6EBB64" w14:textId="1A7AEBCF">
                    <w:pPr>
                      <w:overflowPunct w:val="0"/>
                      <w:jc w:val="center"/>
                      <w:textAlignment w:val="baseline"/>
                      <w:rPr>
                        <w:color w:val="000000"/>
                        <w:sz w:val="22"/>
                        <w:szCs w:val="22"/>
                      </w:rPr>
                    </w:pPr>
                    <w:r>
                      <w:rPr>
                        <w:color w:val="000000"/>
                        <w:sz w:val="22"/>
                        <w:szCs w:val="22"/>
                      </w:rPr>
                      <w:t>-</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34" w:type="dxa"/>
                      <w:left w:w="57" w:type="dxa"/>
                      <w:bottom w:w="34" w:type="dxa"/>
                      <w:right w:w="57" w:type="dxa"/>
                    </w:tcMar>
                  </w:tcPr>
                  <w:p w14:paraId="1ED1FE61" w14:textId="546AA64E">
                    <w:pPr>
                      <w:overflowPunct w:val="0"/>
                      <w:jc w:val="center"/>
                      <w:textAlignment w:val="baseline"/>
                      <w:rPr>
                        <w:color w:val="000000"/>
                        <w:sz w:val="22"/>
                        <w:szCs w:val="22"/>
                      </w:rPr>
                    </w:pPr>
                    <w:r>
                      <w:rPr>
                        <w:color w:val="000000"/>
                        <w:sz w:val="22"/>
                        <w:szCs w:val="22"/>
                      </w:rPr>
                      <w:t>35</w:t>
                    </w:r>
                  </w:p>
                </w:tc>
                <w:tc>
                  <w:tcPr>
                    <w:tcW w:w="2409" w:type="dxa"/>
                    <w:tcBorders>
                      <w:top w:val="single" w:sz="4" w:space="0" w:color="000000"/>
                      <w:left w:val="single" w:sz="4" w:space="0" w:color="000000"/>
                      <w:bottom w:val="single" w:sz="4" w:space="0" w:color="000000"/>
                      <w:right w:val="single" w:sz="4" w:space="0" w:color="000000"/>
                    </w:tcBorders>
                    <w:vAlign w:val="center"/>
                  </w:tcPr>
                  <w:p w14:paraId="7D3DB353" w14:textId="485F18DC">
                    <w:pPr>
                      <w:overflowPunct w:val="0"/>
                      <w:jc w:val="both"/>
                      <w:textAlignment w:val="baseline"/>
                      <w:rPr>
                        <w:color w:val="000000"/>
                        <w:sz w:val="22"/>
                        <w:szCs w:val="22"/>
                      </w:rPr>
                    </w:pPr>
                    <w:r>
                      <w:rPr>
                        <w:color w:val="000000"/>
                        <w:sz w:val="22"/>
                        <w:szCs w:val="22"/>
                        <w:lang w:eastAsia="lt-LT"/>
                      </w:rPr>
                      <w:t>Kukurūzai, žemės ūkio augalų mišiniai, kuriuose baltyminiai augalai nėra vyraujantys, kmynai, saulėgrąžos, kiti augalai ariamojoje žemėje</w:t>
                    </w:r>
                  </w:p>
                </w:tc>
              </w:tr>
              <w:tr w14:paraId="6A524B58" w14:textId="431583F1">
                <w:trPr>
                  <w:trHeight w:val="62"/>
                </w:trPr>
                <w:tc>
                  <w:tcPr>
                    <w:tcW w:w="511"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40972766" w14:textId="22D365D4">
                    <w:pPr>
                      <w:suppressAutoHyphens/>
                      <w:overflowPunct w:val="0"/>
                      <w:jc w:val="both"/>
                      <w:textAlignment w:val="center"/>
                      <w:rPr>
                        <w:color w:val="000000"/>
                        <w:sz w:val="22"/>
                        <w:szCs w:val="22"/>
                      </w:rPr>
                    </w:pPr>
                    <w:r>
                      <w:rPr>
                        <w:color w:val="000000"/>
                        <w:sz w:val="22"/>
                        <w:szCs w:val="22"/>
                      </w:rPr>
                      <w:t>9.</w:t>
                    </w:r>
                  </w:p>
                </w:tc>
                <w:tc>
                  <w:tcPr>
                    <w:tcW w:w="2404"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01CF3A6B" w14:textId="58015911">
                    <w:pPr>
                      <w:suppressAutoHyphens/>
                      <w:overflowPunct w:val="0"/>
                      <w:jc w:val="both"/>
                      <w:textAlignment w:val="center"/>
                      <w:rPr>
                        <w:color w:val="000000"/>
                        <w:sz w:val="22"/>
                        <w:szCs w:val="22"/>
                      </w:rPr>
                    </w:pPr>
                    <w:r>
                      <w:rPr>
                        <w:color w:val="000000"/>
                        <w:sz w:val="22"/>
                        <w:szCs w:val="22"/>
                      </w:rPr>
                      <w:t>Uogos</w:t>
                    </w:r>
                  </w:p>
                </w:tc>
                <w:tc>
                  <w:tcPr>
                    <w:tcW w:w="1622" w:type="dxa"/>
                    <w:tcBorders>
                      <w:top w:val="single" w:sz="4" w:space="0" w:color="000000"/>
                      <w:left w:val="single" w:sz="4" w:space="0" w:color="000000"/>
                      <w:bottom w:val="single" w:sz="4" w:space="0" w:color="000000"/>
                      <w:right w:val="single" w:sz="4" w:space="0" w:color="000000"/>
                    </w:tcBorders>
                    <w:shd w:val="clear" w:color="auto" w:fill="auto"/>
                    <w:tcMar>
                      <w:top w:w="34" w:type="dxa"/>
                      <w:left w:w="57" w:type="dxa"/>
                      <w:bottom w:w="34" w:type="dxa"/>
                      <w:right w:w="57" w:type="dxa"/>
                    </w:tcMar>
                  </w:tcPr>
                  <w:p w14:paraId="0600BD7E" w14:textId="78B52622">
                    <w:pPr>
                      <w:overflowPunct w:val="0"/>
                      <w:jc w:val="center"/>
                      <w:textAlignment w:val="baseline"/>
                      <w:rPr>
                        <w:color w:val="000000"/>
                        <w:sz w:val="22"/>
                        <w:szCs w:val="22"/>
                      </w:rPr>
                    </w:pPr>
                    <w:r>
                      <w:rPr>
                        <w:color w:val="000000"/>
                        <w:sz w:val="22"/>
                        <w:szCs w:val="22"/>
                      </w:rPr>
                      <w:t>236</w:t>
                    </w:r>
                  </w:p>
                </w:tc>
                <w:tc>
                  <w:tcPr>
                    <w:tcW w:w="1417" w:type="dxa"/>
                    <w:tcBorders>
                      <w:top w:val="single" w:sz="4" w:space="0" w:color="000000"/>
                      <w:left w:val="single" w:sz="4" w:space="0" w:color="000000"/>
                      <w:bottom w:val="single" w:sz="4" w:space="0" w:color="000000"/>
                      <w:right w:val="single" w:sz="4" w:space="0" w:color="000000"/>
                    </w:tcBorders>
                  </w:tcPr>
                  <w:p w14:paraId="7F8C58F2" w14:textId="5884E08F">
                    <w:pPr>
                      <w:overflowPunct w:val="0"/>
                      <w:jc w:val="center"/>
                      <w:textAlignment w:val="baseline"/>
                      <w:rPr>
                        <w:color w:val="000000"/>
                        <w:sz w:val="22"/>
                        <w:szCs w:val="22"/>
                      </w:rPr>
                    </w:pPr>
                    <w:r>
                      <w:rPr>
                        <w:color w:val="000000"/>
                        <w:sz w:val="22"/>
                        <w:szCs w:val="22"/>
                      </w:rPr>
                      <w:t>-</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34" w:type="dxa"/>
                      <w:left w:w="57" w:type="dxa"/>
                      <w:bottom w:w="34" w:type="dxa"/>
                      <w:right w:w="57" w:type="dxa"/>
                    </w:tcMar>
                  </w:tcPr>
                  <w:p w14:paraId="65723B1A" w14:textId="7A5C0631">
                    <w:pPr>
                      <w:overflowPunct w:val="0"/>
                      <w:jc w:val="center"/>
                      <w:textAlignment w:val="baseline"/>
                      <w:rPr>
                        <w:color w:val="000000"/>
                        <w:sz w:val="22"/>
                        <w:szCs w:val="22"/>
                      </w:rPr>
                    </w:pPr>
                    <w:r>
                      <w:rPr>
                        <w:color w:val="000000"/>
                        <w:sz w:val="22"/>
                        <w:szCs w:val="22"/>
                      </w:rPr>
                      <w:t>-</w:t>
                    </w:r>
                  </w:p>
                </w:tc>
                <w:tc>
                  <w:tcPr>
                    <w:tcW w:w="2409" w:type="dxa"/>
                    <w:tcBorders>
                      <w:top w:val="single" w:sz="4" w:space="0" w:color="000000"/>
                      <w:left w:val="single" w:sz="4" w:space="0" w:color="000000"/>
                      <w:bottom w:val="single" w:sz="4" w:space="0" w:color="000000"/>
                      <w:right w:val="single" w:sz="4" w:space="0" w:color="000000"/>
                    </w:tcBorders>
                    <w:vAlign w:val="center"/>
                  </w:tcPr>
                  <w:p w14:paraId="2B739A15" w14:textId="126868EC">
                    <w:pPr>
                      <w:overflowPunct w:val="0"/>
                      <w:jc w:val="both"/>
                      <w:textAlignment w:val="baseline"/>
                      <w:rPr>
                        <w:color w:val="000000"/>
                        <w:sz w:val="22"/>
                        <w:szCs w:val="22"/>
                      </w:rPr>
                    </w:pPr>
                    <w:r>
                      <w:rPr>
                        <w:color w:val="000000"/>
                        <w:sz w:val="22"/>
                        <w:szCs w:val="22"/>
                        <w:lang w:eastAsia="lt-LT"/>
                      </w:rPr>
                      <w:t>Juodųjų serbentų uogynai, braškių uogynai, šilauogių uogynai, aronijų uogynai, aviečių uogynai, kiti sodai ir daugiamečiai uogynai, gervuogių uogynai, šaltalankiai, agrastai, spanguolės</w:t>
                    </w:r>
                  </w:p>
                </w:tc>
              </w:tr>
              <w:tr w14:paraId="01C7230E" w14:textId="0CEACFD4">
                <w:trPr>
                  <w:trHeight w:val="62"/>
                </w:trPr>
                <w:tc>
                  <w:tcPr>
                    <w:tcW w:w="511"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72216A00" w14:textId="44F5BBB0">
                    <w:pPr>
                      <w:suppressAutoHyphens/>
                      <w:overflowPunct w:val="0"/>
                      <w:jc w:val="both"/>
                      <w:textAlignment w:val="center"/>
                      <w:rPr>
                        <w:color w:val="000000"/>
                        <w:sz w:val="22"/>
                        <w:szCs w:val="22"/>
                      </w:rPr>
                    </w:pPr>
                    <w:r>
                      <w:rPr>
                        <w:color w:val="000000"/>
                        <w:sz w:val="22"/>
                        <w:szCs w:val="22"/>
                      </w:rPr>
                      <w:t>10.</w:t>
                    </w:r>
                  </w:p>
                </w:tc>
                <w:tc>
                  <w:tcPr>
                    <w:tcW w:w="2404"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06EC6595" w14:textId="01F7D3B8">
                    <w:pPr>
                      <w:suppressAutoHyphens/>
                      <w:overflowPunct w:val="0"/>
                      <w:jc w:val="both"/>
                      <w:textAlignment w:val="center"/>
                      <w:rPr>
                        <w:color w:val="000000"/>
                        <w:sz w:val="22"/>
                        <w:szCs w:val="22"/>
                      </w:rPr>
                    </w:pPr>
                    <w:r>
                      <w:rPr>
                        <w:color w:val="000000"/>
                        <w:sz w:val="22"/>
                        <w:szCs w:val="22"/>
                      </w:rPr>
                      <w:t>Vasariniai aliejiniai augalai</w:t>
                    </w:r>
                  </w:p>
                </w:tc>
                <w:tc>
                  <w:tcPr>
                    <w:tcW w:w="1622" w:type="dxa"/>
                    <w:tcBorders>
                      <w:top w:val="single" w:sz="4" w:space="0" w:color="000000"/>
                      <w:left w:val="single" w:sz="4" w:space="0" w:color="000000"/>
                      <w:bottom w:val="single" w:sz="4" w:space="0" w:color="000000"/>
                      <w:right w:val="single" w:sz="4" w:space="0" w:color="000000"/>
                    </w:tcBorders>
                    <w:shd w:val="clear" w:color="auto" w:fill="auto"/>
                    <w:tcMar>
                      <w:top w:w="34" w:type="dxa"/>
                      <w:left w:w="57" w:type="dxa"/>
                      <w:bottom w:w="34" w:type="dxa"/>
                      <w:right w:w="57" w:type="dxa"/>
                    </w:tcMar>
                  </w:tcPr>
                  <w:p w14:paraId="3601C80A" w14:textId="77777777">
                    <w:pPr>
                      <w:overflowPunct w:val="0"/>
                      <w:jc w:val="center"/>
                      <w:textAlignment w:val="baseline"/>
                      <w:rPr>
                        <w:color w:val="000000"/>
                        <w:sz w:val="22"/>
                        <w:szCs w:val="22"/>
                      </w:rPr>
                    </w:pPr>
                    <w:r>
                      <w:rPr>
                        <w:color w:val="000000"/>
                        <w:sz w:val="22"/>
                        <w:szCs w:val="22"/>
                      </w:rPr>
                      <w:t>36</w:t>
                    </w:r>
                  </w:p>
                </w:tc>
                <w:tc>
                  <w:tcPr>
                    <w:tcW w:w="1417" w:type="dxa"/>
                    <w:tcBorders>
                      <w:top w:val="single" w:sz="4" w:space="0" w:color="000000"/>
                      <w:left w:val="single" w:sz="4" w:space="0" w:color="000000"/>
                      <w:bottom w:val="single" w:sz="4" w:space="0" w:color="000000"/>
                      <w:right w:val="single" w:sz="4" w:space="0" w:color="000000"/>
                    </w:tcBorders>
                  </w:tcPr>
                  <w:p w14:paraId="35636637" w14:textId="57965B2C">
                    <w:pPr>
                      <w:overflowPunct w:val="0"/>
                      <w:jc w:val="center"/>
                      <w:textAlignment w:val="baseline"/>
                      <w:rPr>
                        <w:color w:val="000000"/>
                        <w:sz w:val="22"/>
                        <w:szCs w:val="22"/>
                      </w:rPr>
                    </w:pPr>
                    <w:r>
                      <w:rPr>
                        <w:color w:val="000000"/>
                        <w:sz w:val="22"/>
                        <w:szCs w:val="22"/>
                      </w:rPr>
                      <w:t>-</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34" w:type="dxa"/>
                      <w:left w:w="57" w:type="dxa"/>
                      <w:bottom w:w="34" w:type="dxa"/>
                      <w:right w:w="57" w:type="dxa"/>
                    </w:tcMar>
                  </w:tcPr>
                  <w:p w14:paraId="7D640956" w14:textId="695F651B">
                    <w:pPr>
                      <w:overflowPunct w:val="0"/>
                      <w:jc w:val="center"/>
                      <w:textAlignment w:val="baseline"/>
                      <w:rPr>
                        <w:color w:val="000000"/>
                        <w:sz w:val="22"/>
                        <w:szCs w:val="22"/>
                      </w:rPr>
                    </w:pPr>
                    <w:r>
                      <w:rPr>
                        <w:color w:val="000000"/>
                        <w:sz w:val="22"/>
                        <w:szCs w:val="22"/>
                      </w:rPr>
                      <w:t>68</w:t>
                    </w:r>
                  </w:p>
                </w:tc>
                <w:tc>
                  <w:tcPr>
                    <w:tcW w:w="2409" w:type="dxa"/>
                    <w:tcBorders>
                      <w:top w:val="single" w:sz="4" w:space="0" w:color="000000"/>
                      <w:left w:val="single" w:sz="4" w:space="0" w:color="000000"/>
                      <w:bottom w:val="single" w:sz="4" w:space="0" w:color="000000"/>
                      <w:right w:val="single" w:sz="4" w:space="0" w:color="000000"/>
                    </w:tcBorders>
                    <w:vAlign w:val="center"/>
                  </w:tcPr>
                  <w:p w14:paraId="2733B456" w14:textId="211F7197">
                    <w:pPr>
                      <w:overflowPunct w:val="0"/>
                      <w:jc w:val="both"/>
                      <w:textAlignment w:val="baseline"/>
                      <w:rPr>
                        <w:color w:val="000000"/>
                        <w:sz w:val="22"/>
                        <w:szCs w:val="22"/>
                      </w:rPr>
                    </w:pPr>
                    <w:r>
                      <w:rPr>
                        <w:color w:val="000000"/>
                        <w:sz w:val="22"/>
                        <w:szCs w:val="22"/>
                        <w:lang w:eastAsia="lt-LT"/>
                      </w:rPr>
                      <w:t>Vasariniai rapsai, baltosios garstyčios, aliejiniai (pašariniai) ridikai, aliejiniai ridikai, rudosios, juodosios garstyčios, linai,</w:t>
                    </w:r>
                    <w:r>
                      <w:rPr>
                        <w:sz w:val="22"/>
                        <w:szCs w:val="22"/>
                      </w:rPr>
                      <w:t xml:space="preserve"> </w:t>
                    </w:r>
                    <w:r>
                      <w:rPr>
                        <w:color w:val="000000"/>
                        <w:sz w:val="22"/>
                        <w:szCs w:val="22"/>
                        <w:lang w:eastAsia="lt-LT"/>
                      </w:rPr>
                      <w:t>vasariniai rapsukai</w:t>
                    </w:r>
                  </w:p>
                </w:tc>
              </w:tr>
              <w:tr w14:paraId="1C3B2116" w14:textId="059A0330">
                <w:trPr>
                  <w:trHeight w:val="62"/>
                </w:trPr>
                <w:tc>
                  <w:tcPr>
                    <w:tcW w:w="511"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4F987879" w14:textId="4A239BDB">
                    <w:pPr>
                      <w:suppressAutoHyphens/>
                      <w:overflowPunct w:val="0"/>
                      <w:jc w:val="both"/>
                      <w:textAlignment w:val="center"/>
                      <w:rPr>
                        <w:color w:val="000000"/>
                        <w:sz w:val="22"/>
                        <w:szCs w:val="22"/>
                      </w:rPr>
                    </w:pPr>
                    <w:r>
                      <w:rPr>
                        <w:color w:val="000000"/>
                        <w:sz w:val="22"/>
                        <w:szCs w:val="22"/>
                      </w:rPr>
                      <w:t>11.</w:t>
                    </w:r>
                  </w:p>
                </w:tc>
                <w:tc>
                  <w:tcPr>
                    <w:tcW w:w="2404"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27529021" w14:textId="220A142B">
                    <w:pPr>
                      <w:tabs>
                        <w:tab w:val="left" w:pos="993"/>
                      </w:tabs>
                      <w:suppressAutoHyphens/>
                      <w:overflowPunct w:val="0"/>
                      <w:jc w:val="both"/>
                      <w:textAlignment w:val="center"/>
                      <w:rPr>
                        <w:color w:val="000000"/>
                        <w:sz w:val="22"/>
                        <w:szCs w:val="22"/>
                      </w:rPr>
                    </w:pPr>
                    <w:r>
                      <w:rPr>
                        <w:color w:val="000000"/>
                        <w:sz w:val="22"/>
                        <w:szCs w:val="22"/>
                      </w:rPr>
                      <w:t>Vasariniai javai</w:t>
                    </w:r>
                  </w:p>
                </w:tc>
                <w:tc>
                  <w:tcPr>
                    <w:tcW w:w="1622" w:type="dxa"/>
                    <w:tcBorders>
                      <w:top w:val="single" w:sz="4" w:space="0" w:color="000000"/>
                      <w:left w:val="single" w:sz="4" w:space="0" w:color="000000"/>
                      <w:bottom w:val="single" w:sz="4" w:space="0" w:color="000000"/>
                      <w:right w:val="single" w:sz="4" w:space="0" w:color="000000"/>
                    </w:tcBorders>
                    <w:shd w:val="clear" w:color="auto" w:fill="auto"/>
                    <w:tcMar>
                      <w:top w:w="34" w:type="dxa"/>
                      <w:left w:w="57" w:type="dxa"/>
                      <w:bottom w:w="34" w:type="dxa"/>
                      <w:right w:w="57" w:type="dxa"/>
                    </w:tcMar>
                  </w:tcPr>
                  <w:p w14:paraId="25700820" w14:textId="4886E0F9">
                    <w:pPr>
                      <w:overflowPunct w:val="0"/>
                      <w:jc w:val="center"/>
                      <w:textAlignment w:val="baseline"/>
                      <w:rPr>
                        <w:color w:val="000000"/>
                        <w:sz w:val="22"/>
                        <w:szCs w:val="22"/>
                      </w:rPr>
                    </w:pPr>
                    <w:r>
                      <w:rPr>
                        <w:color w:val="000000"/>
                        <w:sz w:val="22"/>
                        <w:szCs w:val="22"/>
                      </w:rPr>
                      <w:t>28</w:t>
                    </w:r>
                  </w:p>
                </w:tc>
                <w:tc>
                  <w:tcPr>
                    <w:tcW w:w="1417" w:type="dxa"/>
                    <w:tcBorders>
                      <w:top w:val="single" w:sz="4" w:space="0" w:color="000000"/>
                      <w:left w:val="single" w:sz="4" w:space="0" w:color="000000"/>
                      <w:bottom w:val="single" w:sz="4" w:space="0" w:color="000000"/>
                      <w:right w:val="single" w:sz="4" w:space="0" w:color="000000"/>
                    </w:tcBorders>
                  </w:tcPr>
                  <w:p w14:paraId="7B481312" w14:textId="117BDB3D">
                    <w:pPr>
                      <w:overflowPunct w:val="0"/>
                      <w:jc w:val="center"/>
                      <w:textAlignment w:val="baseline"/>
                      <w:rPr>
                        <w:color w:val="000000"/>
                        <w:sz w:val="22"/>
                        <w:szCs w:val="22"/>
                      </w:rPr>
                    </w:pPr>
                    <w:r>
                      <w:rPr>
                        <w:color w:val="000000"/>
                        <w:sz w:val="22"/>
                        <w:szCs w:val="22"/>
                      </w:rPr>
                      <w:t>-</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34" w:type="dxa"/>
                      <w:left w:w="57" w:type="dxa"/>
                      <w:bottom w:w="34" w:type="dxa"/>
                      <w:right w:w="57" w:type="dxa"/>
                    </w:tcMar>
                  </w:tcPr>
                  <w:p w14:paraId="55F467B3" w14:textId="724B3EA4">
                    <w:pPr>
                      <w:overflowPunct w:val="0"/>
                      <w:jc w:val="center"/>
                      <w:textAlignment w:val="baseline"/>
                      <w:rPr>
                        <w:color w:val="000000"/>
                        <w:sz w:val="22"/>
                        <w:szCs w:val="22"/>
                      </w:rPr>
                    </w:pPr>
                    <w:r>
                      <w:rPr>
                        <w:color w:val="000000"/>
                        <w:sz w:val="22"/>
                        <w:szCs w:val="22"/>
                      </w:rPr>
                      <w:t>46</w:t>
                    </w:r>
                  </w:p>
                </w:tc>
                <w:tc>
                  <w:tcPr>
                    <w:tcW w:w="2409" w:type="dxa"/>
                    <w:tcBorders>
                      <w:top w:val="single" w:sz="4" w:space="0" w:color="000000"/>
                      <w:left w:val="single" w:sz="4" w:space="0" w:color="000000"/>
                      <w:bottom w:val="single" w:sz="4" w:space="0" w:color="000000"/>
                      <w:right w:val="single" w:sz="4" w:space="0" w:color="000000"/>
                    </w:tcBorders>
                    <w:vAlign w:val="center"/>
                  </w:tcPr>
                  <w:p w14:paraId="007907E8" w14:textId="4A8DD4A4">
                    <w:pPr>
                      <w:overflowPunct w:val="0"/>
                      <w:jc w:val="both"/>
                      <w:textAlignment w:val="baseline"/>
                      <w:rPr>
                        <w:color w:val="000000"/>
                        <w:sz w:val="22"/>
                        <w:szCs w:val="22"/>
                      </w:rPr>
                    </w:pPr>
                    <w:r>
                      <w:rPr>
                        <w:color w:val="000000"/>
                        <w:sz w:val="22"/>
                        <w:szCs w:val="22"/>
                        <w:lang w:eastAsia="lt-LT"/>
                      </w:rPr>
                      <w:t>Vasariniai miežiai, vasariniai kviečiai, grikiai, avižos, vasariniai kvietrugiai, vasariniai rugiai, kviečiai 'Spelta'</w:t>
                    </w:r>
                  </w:p>
                </w:tc>
              </w:tr>
              <w:tr w14:paraId="459E3B05" w14:textId="3E30FCFD">
                <w:trPr>
                  <w:trHeight w:val="62"/>
                </w:trPr>
                <w:tc>
                  <w:tcPr>
                    <w:tcW w:w="511"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2371016A" w14:textId="73CC133E">
                    <w:pPr>
                      <w:suppressAutoHyphens/>
                      <w:overflowPunct w:val="0"/>
                      <w:jc w:val="both"/>
                      <w:textAlignment w:val="center"/>
                      <w:rPr>
                        <w:color w:val="000000"/>
                        <w:sz w:val="22"/>
                        <w:szCs w:val="22"/>
                      </w:rPr>
                    </w:pPr>
                    <w:r>
                      <w:rPr>
                        <w:color w:val="000000"/>
                        <w:sz w:val="22"/>
                        <w:szCs w:val="22"/>
                      </w:rPr>
                      <w:t>12.</w:t>
                    </w:r>
                  </w:p>
                </w:tc>
                <w:tc>
                  <w:tcPr>
                    <w:tcW w:w="2404"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415010BB" w14:textId="51C07CAF">
                    <w:pPr>
                      <w:suppressAutoHyphens/>
                      <w:overflowPunct w:val="0"/>
                      <w:jc w:val="both"/>
                      <w:textAlignment w:val="center"/>
                      <w:rPr>
                        <w:color w:val="000000"/>
                        <w:sz w:val="22"/>
                        <w:szCs w:val="22"/>
                      </w:rPr>
                    </w:pPr>
                    <w:r>
                      <w:rPr>
                        <w:color w:val="000000"/>
                        <w:sz w:val="22"/>
                        <w:szCs w:val="22"/>
                      </w:rPr>
                      <w:t>Žieminiai aliejiniai augalai</w:t>
                    </w:r>
                  </w:p>
                </w:tc>
                <w:tc>
                  <w:tcPr>
                    <w:tcW w:w="1622" w:type="dxa"/>
                    <w:tcBorders>
                      <w:top w:val="single" w:sz="4" w:space="0" w:color="000000"/>
                      <w:left w:val="single" w:sz="4" w:space="0" w:color="000000"/>
                      <w:bottom w:val="single" w:sz="4" w:space="0" w:color="000000"/>
                      <w:right w:val="single" w:sz="4" w:space="0" w:color="000000"/>
                    </w:tcBorders>
                    <w:shd w:val="clear" w:color="auto" w:fill="auto"/>
                    <w:tcMar>
                      <w:top w:w="34" w:type="dxa"/>
                      <w:left w:w="57" w:type="dxa"/>
                      <w:bottom w:w="34" w:type="dxa"/>
                      <w:right w:w="57" w:type="dxa"/>
                    </w:tcMar>
                  </w:tcPr>
                  <w:p w14:paraId="379EABE1" w14:textId="3730ACEE">
                    <w:pPr>
                      <w:suppressAutoHyphens/>
                      <w:overflowPunct w:val="0"/>
                      <w:jc w:val="center"/>
                      <w:textAlignment w:val="center"/>
                      <w:rPr>
                        <w:color w:val="000000"/>
                        <w:sz w:val="22"/>
                        <w:szCs w:val="22"/>
                      </w:rPr>
                    </w:pPr>
                    <w:r>
                      <w:rPr>
                        <w:color w:val="000000"/>
                        <w:sz w:val="22"/>
                        <w:szCs w:val="22"/>
                      </w:rPr>
                      <w:t>47</w:t>
                    </w:r>
                  </w:p>
                </w:tc>
                <w:tc>
                  <w:tcPr>
                    <w:tcW w:w="1417" w:type="dxa"/>
                    <w:tcBorders>
                      <w:top w:val="single" w:sz="4" w:space="0" w:color="000000"/>
                      <w:left w:val="single" w:sz="4" w:space="0" w:color="000000"/>
                      <w:bottom w:val="single" w:sz="4" w:space="0" w:color="000000"/>
                      <w:right w:val="single" w:sz="4" w:space="0" w:color="000000"/>
                    </w:tcBorders>
                  </w:tcPr>
                  <w:p w14:paraId="6FA82538" w14:textId="44CBBAF1">
                    <w:pPr>
                      <w:overflowPunct w:val="0"/>
                      <w:jc w:val="center"/>
                      <w:textAlignment w:val="baseline"/>
                      <w:rPr>
                        <w:color w:val="000000"/>
                        <w:sz w:val="22"/>
                        <w:szCs w:val="22"/>
                      </w:rPr>
                    </w:pPr>
                    <w:r>
                      <w:rPr>
                        <w:color w:val="000000"/>
                        <w:sz w:val="22"/>
                        <w:szCs w:val="22"/>
                      </w:rPr>
                      <w:t>55</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34" w:type="dxa"/>
                      <w:left w:w="57" w:type="dxa"/>
                      <w:bottom w:w="34" w:type="dxa"/>
                      <w:right w:w="57" w:type="dxa"/>
                    </w:tcMar>
                  </w:tcPr>
                  <w:p w14:paraId="5D349753" w14:textId="3A9EF144">
                    <w:pPr>
                      <w:overflowPunct w:val="0"/>
                      <w:jc w:val="center"/>
                      <w:textAlignment w:val="baseline"/>
                      <w:rPr>
                        <w:color w:val="000000"/>
                        <w:sz w:val="22"/>
                        <w:szCs w:val="22"/>
                      </w:rPr>
                    </w:pPr>
                    <w:r>
                      <w:rPr>
                        <w:color w:val="000000"/>
                        <w:sz w:val="22"/>
                        <w:szCs w:val="22"/>
                      </w:rPr>
                      <w:t>50</w:t>
                    </w:r>
                  </w:p>
                </w:tc>
                <w:tc>
                  <w:tcPr>
                    <w:tcW w:w="2409" w:type="dxa"/>
                    <w:tcBorders>
                      <w:top w:val="single" w:sz="4" w:space="0" w:color="000000"/>
                      <w:left w:val="single" w:sz="4" w:space="0" w:color="000000"/>
                      <w:bottom w:val="single" w:sz="4" w:space="0" w:color="000000"/>
                      <w:right w:val="single" w:sz="4" w:space="0" w:color="000000"/>
                    </w:tcBorders>
                    <w:vAlign w:val="center"/>
                  </w:tcPr>
                  <w:p w14:paraId="7866481B" w14:textId="701157C2">
                    <w:pPr>
                      <w:overflowPunct w:val="0"/>
                      <w:jc w:val="both"/>
                      <w:textAlignment w:val="baseline"/>
                      <w:rPr>
                        <w:color w:val="000000"/>
                        <w:sz w:val="22"/>
                        <w:szCs w:val="22"/>
                      </w:rPr>
                    </w:pPr>
                    <w:r>
                      <w:rPr>
                        <w:color w:val="000000"/>
                        <w:sz w:val="22"/>
                        <w:szCs w:val="22"/>
                        <w:lang w:eastAsia="lt-LT"/>
                      </w:rPr>
                      <w:t>Žieminiai rapsai, rapsukai</w:t>
                    </w:r>
                  </w:p>
                </w:tc>
              </w:tr>
              <w:tr w14:paraId="3C095277" w14:textId="06E92315">
                <w:trPr>
                  <w:trHeight w:val="62"/>
                </w:trPr>
                <w:tc>
                  <w:tcPr>
                    <w:tcW w:w="511"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24B0FEC" w14:textId="4BB6DAE6">
                    <w:pPr>
                      <w:suppressAutoHyphens/>
                      <w:overflowPunct w:val="0"/>
                      <w:jc w:val="both"/>
                      <w:textAlignment w:val="center"/>
                      <w:rPr>
                        <w:color w:val="000000"/>
                        <w:sz w:val="22"/>
                        <w:szCs w:val="22"/>
                      </w:rPr>
                    </w:pPr>
                    <w:r>
                      <w:rPr>
                        <w:color w:val="000000"/>
                        <w:sz w:val="22"/>
                        <w:szCs w:val="22"/>
                      </w:rPr>
                      <w:t>13.</w:t>
                    </w:r>
                  </w:p>
                </w:tc>
                <w:tc>
                  <w:tcPr>
                    <w:tcW w:w="2404"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74AEBA28" w14:textId="37854931">
                    <w:pPr>
                      <w:suppressAutoHyphens/>
                      <w:overflowPunct w:val="0"/>
                      <w:jc w:val="both"/>
                      <w:textAlignment w:val="center"/>
                      <w:rPr>
                        <w:color w:val="000000"/>
                        <w:sz w:val="22"/>
                        <w:szCs w:val="22"/>
                      </w:rPr>
                    </w:pPr>
                    <w:r>
                      <w:rPr>
                        <w:color w:val="000000"/>
                        <w:sz w:val="22"/>
                        <w:szCs w:val="22"/>
                      </w:rPr>
                      <w:t>Žieminiai javai</w:t>
                    </w:r>
                  </w:p>
                </w:tc>
                <w:tc>
                  <w:tcPr>
                    <w:tcW w:w="1622"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6E28802C" w14:textId="0986DA43">
                    <w:pPr>
                      <w:overflowPunct w:val="0"/>
                      <w:jc w:val="center"/>
                      <w:textAlignment w:val="baseline"/>
                      <w:rPr>
                        <w:color w:val="000000"/>
                        <w:sz w:val="22"/>
                        <w:szCs w:val="22"/>
                      </w:rPr>
                    </w:pPr>
                    <w:r>
                      <w:rPr>
                        <w:color w:val="000000"/>
                        <w:sz w:val="22"/>
                        <w:szCs w:val="22"/>
                      </w:rPr>
                      <w:t>27</w:t>
                    </w:r>
                  </w:p>
                </w:tc>
                <w:tc>
                  <w:tcPr>
                    <w:tcW w:w="1417" w:type="dxa"/>
                    <w:tcBorders>
                      <w:top w:val="single" w:sz="4" w:space="0" w:color="000000"/>
                      <w:left w:val="single" w:sz="4" w:space="0" w:color="000000"/>
                      <w:bottom w:val="single" w:sz="4" w:space="0" w:color="000000"/>
                      <w:right w:val="single" w:sz="4" w:space="0" w:color="000000"/>
                    </w:tcBorders>
                  </w:tcPr>
                  <w:p w14:paraId="049CF5A6" w14:textId="015301FC">
                    <w:pPr>
                      <w:overflowPunct w:val="0"/>
                      <w:jc w:val="center"/>
                      <w:textAlignment w:val="baseline"/>
                      <w:rPr>
                        <w:color w:val="000000"/>
                        <w:sz w:val="22"/>
                        <w:szCs w:val="22"/>
                      </w:rPr>
                    </w:pPr>
                    <w:r>
                      <w:rPr>
                        <w:color w:val="000000"/>
                        <w:sz w:val="22"/>
                        <w:szCs w:val="22"/>
                      </w:rPr>
                      <w:t>38</w:t>
                    </w:r>
                  </w:p>
                </w:tc>
                <w:tc>
                  <w:tcPr>
                    <w:tcW w:w="1418"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14:paraId="22CA0AB4" w14:textId="07BFA0D8">
                    <w:pPr>
                      <w:overflowPunct w:val="0"/>
                      <w:jc w:val="center"/>
                      <w:textAlignment w:val="baseline"/>
                      <w:rPr>
                        <w:color w:val="000000"/>
                        <w:sz w:val="22"/>
                        <w:szCs w:val="22"/>
                      </w:rPr>
                    </w:pPr>
                    <w:r>
                      <w:rPr>
                        <w:color w:val="000000"/>
                        <w:sz w:val="22"/>
                        <w:szCs w:val="22"/>
                      </w:rPr>
                      <w:t>48</w:t>
                    </w:r>
                  </w:p>
                </w:tc>
                <w:tc>
                  <w:tcPr>
                    <w:tcW w:w="2409" w:type="dxa"/>
                    <w:tcBorders>
                      <w:top w:val="single" w:sz="4" w:space="0" w:color="000000"/>
                      <w:left w:val="single" w:sz="4" w:space="0" w:color="000000"/>
                      <w:bottom w:val="single" w:sz="4" w:space="0" w:color="000000"/>
                      <w:right w:val="single" w:sz="4" w:space="0" w:color="000000"/>
                    </w:tcBorders>
                    <w:vAlign w:val="center"/>
                  </w:tcPr>
                  <w:p w14:paraId="38F38611" w14:textId="18EC6187">
                    <w:pPr>
                      <w:overflowPunct w:val="0"/>
                      <w:jc w:val="both"/>
                      <w:textAlignment w:val="baseline"/>
                      <w:rPr>
                        <w:color w:val="000000"/>
                        <w:sz w:val="22"/>
                        <w:szCs w:val="22"/>
                      </w:rPr>
                    </w:pPr>
                    <w:r>
                      <w:rPr>
                        <w:color w:val="000000"/>
                        <w:sz w:val="22"/>
                        <w:szCs w:val="22"/>
                        <w:lang w:eastAsia="lt-LT"/>
                      </w:rPr>
                      <w:t>Žieminiai kviečiai, žieminiai miežiai, žieminiai kvietrugiai, žieminiai rugiai, žieminiai kviečiai 'Spelta'</w:t>
                    </w:r>
                  </w:p>
                </w:tc>
              </w:tr>
            </w:tbl>
            <w:p/>
          </w:sdtContent>
        </w:sdt>
        <w:sdt>
          <w:sdtPr>
            <w:alias w:val="2 p."/>
            <w:tag w:val="part_2a1079cd283543488204c0c9a5cdf2d4"/>
            <w:lock w:val="sdtLocked"/>
            <w:richText/>
          </w:sdtPr>
          <w:sdtContent>
            <w:p w14:paraId="79C17341" w14:textId="3E23662E">
              <w:pPr>
                <w:overflowPunct w:val="0"/>
                <w:spacing w:line="276" w:lineRule="auto"/>
                <w:ind w:firstLine="720"/>
                <w:jc w:val="both"/>
                <w:textAlignment w:val="baseline"/>
                <w:rPr>
                  <w:szCs w:val="24"/>
                </w:rPr>
              </w:pPr>
              <w:sdt>
                <w:sdtPr>
                  <w:alias w:val="Numeris"/>
                  <w:tag w:val="nr_2a1079cd283543488204c0c9a5cdf2d4"/>
                  <w:lock w:val="sdtLocked"/>
                  <w:richText/>
                </w:sdtPr>
                <w:sdtContent>
                  <w:r>
                    <w:rPr>
                      <w:szCs w:val="24"/>
                    </w:rPr>
                    <w:t>2</w:t>
                  </w:r>
                </w:sdtContent>
              </w:sdt>
              <w:r>
                <w:rPr>
                  <w:szCs w:val="24"/>
                </w:rPr>
                <w:t>. Kompensacinė išmoka už apdraustą pasėlį ūkiui išmokama pagal faktiškai patirtas išlaidas, nustačius, ar ji nėra didesnė už didžiausiąjį pasėlių draudimo įkainį. Kompensacinė išmoka apskaičiuojama taip:</w:t>
              </w:r>
            </w:p>
            <w:sdt>
              <w:sdtPr>
                <w:alias w:val="2.1 pp."/>
                <w:tag w:val="part_6f9626f2f3c449b69c951eca6b37557d"/>
                <w:lock w:val="sdtLocked"/>
                <w:richText/>
              </w:sdtPr>
              <w:sdtContent>
                <w:p w14:paraId="615951F3" w14:textId="0678F3EB">
                  <w:pPr>
                    <w:spacing w:line="276" w:lineRule="auto"/>
                    <w:ind w:left="720"/>
                    <w:jc w:val="both"/>
                    <w:rPr>
                      <w:szCs w:val="24"/>
                    </w:rPr>
                  </w:pPr>
                  <w:sdt>
                    <w:sdtPr>
                      <w:alias w:val="Numeris"/>
                      <w:tag w:val="nr_6f9626f2f3c449b69c951eca6b37557d"/>
                      <w:lock w:val="sdtLocked"/>
                      <w:richText/>
                    </w:sdtPr>
                    <w:sdtContent>
                      <w:r>
                        <w:rPr>
                          <w:szCs w:val="24"/>
                        </w:rPr>
                        <w:t>2.1</w:t>
                      </w:r>
                    </w:sdtContent>
                  </w:sdt>
                  <w:r>
                    <w:rPr>
                      <w:szCs w:val="24"/>
                    </w:rPr>
                    <w:t>. draudžiamo pasėlio vidutinė faktinė vieno hektaro draudimo kaina:</w:t>
                  </w:r>
                </w:p>
                <w:p w14:paraId="3AA9D396" w14:textId="77777777">
                  <w:pPr>
                    <w:overflowPunct w:val="0"/>
                    <w:spacing w:line="276" w:lineRule="auto"/>
                    <w:ind w:firstLine="720"/>
                    <w:jc w:val="both"/>
                    <w:textAlignment w:val="baseline"/>
                    <w:rPr>
                      <w:szCs w:val="24"/>
                    </w:rPr>
                  </w:pPr>
                  <m:oMath>
                    <m:sSubSup>
                      <m:sSubSupPr>
                        <m:ctrlPr>
                          <w:rPr>
                            <w:rFonts w:ascii="Cambria Math" w:hAnsi="Cambria Math"/>
                            <w:i/>
                            <w:szCs w:val="24"/>
                          </w:rPr>
                        </m:ctrlPr>
                      </m:sSubSupPr>
                      <m:e>
                        <m:r>
                          <w:rPr>
                            <w:rFonts w:ascii="Cambria Math" w:hAnsi="Cambria Math"/>
                            <w:szCs w:val="24"/>
                          </w:rPr>
                          <m:t>K</m:t>
                        </m:r>
                      </m:e>
                      <m:sub>
                        <m:r>
                          <w:rPr>
                            <w:rFonts w:ascii="Cambria Math" w:hAnsi="Cambria Math"/>
                            <w:szCs w:val="24"/>
                          </w:rPr>
                          <m:t>j</m:t>
                        </m:r>
                      </m:sub>
                      <m:sup>
                        <m:r>
                          <w:rPr>
                            <w:rFonts w:ascii="Cambria Math" w:hAnsi="Cambria Math"/>
                            <w:szCs w:val="24"/>
                          </w:rPr>
                          <m:t>i</m:t>
                        </m:r>
                      </m:sup>
                    </m:sSubSup>
                    <m:r>
                      <w:rPr>
                        <w:rFonts w:ascii="Cambria Math" w:hAnsi="Cambria Math"/>
                        <w:szCs w:val="24"/>
                      </w:rPr>
                      <m:t>=</m:t>
                    </m:r>
                    <m:f>
                      <m:fPr>
                        <m:ctrlPr>
                          <w:rPr>
                            <w:rFonts w:ascii="Cambria Math" w:hAnsi="Cambria Math"/>
                            <w:i/>
                            <w:szCs w:val="24"/>
                          </w:rPr>
                        </m:ctrlPr>
                      </m:fPr>
                      <m:num>
                        <m:sSubSup>
                          <m:sSubSupPr>
                            <m:ctrlPr>
                              <w:rPr>
                                <w:rFonts w:ascii="Cambria Math" w:hAnsi="Cambria Math"/>
                                <w:szCs w:val="24"/>
                              </w:rPr>
                            </m:ctrlPr>
                          </m:sSubSupPr>
                          <m:e>
                            <m:r>
                              <m:rPr>
                                <m:sty m:val="p"/>
                              </m:rPr>
                              <w:rPr>
                                <w:rFonts w:ascii="Cambria Math" w:hAnsi="Cambria Math"/>
                                <w:szCs w:val="24"/>
                              </w:rPr>
                              <m:t>Į</m:t>
                            </m:r>
                          </m:e>
                          <m:sub>
                            <m:r>
                              <w:rPr>
                                <w:rFonts w:ascii="Cambria Math" w:hAnsi="Cambria Math"/>
                                <w:szCs w:val="24"/>
                              </w:rPr>
                              <m:t>j</m:t>
                            </m:r>
                          </m:sub>
                          <m:sup>
                            <m:r>
                              <w:rPr>
                                <w:rFonts w:ascii="Cambria Math" w:hAnsi="Cambria Math"/>
                                <w:szCs w:val="24"/>
                              </w:rPr>
                              <m:t>i</m:t>
                            </m:r>
                          </m:sup>
                        </m:sSubSup>
                      </m:num>
                      <m:den>
                        <m:sSubSup>
                          <m:sSubSupPr>
                            <m:ctrlPr>
                              <w:rPr>
                                <w:rFonts w:ascii="Cambria Math" w:hAnsi="Cambria Math"/>
                                <w:szCs w:val="24"/>
                              </w:rPr>
                            </m:ctrlPr>
                          </m:sSubSupPr>
                          <m:e>
                            <m:r>
                              <w:rPr>
                                <w:rFonts w:ascii="Cambria Math" w:hAnsi="Cambria Math"/>
                                <w:szCs w:val="24"/>
                              </w:rPr>
                              <m:t>P</m:t>
                            </m:r>
                          </m:e>
                          <m:sub>
                            <m:r>
                              <w:rPr>
                                <w:rFonts w:ascii="Cambria Math" w:hAnsi="Cambria Math"/>
                                <w:szCs w:val="24"/>
                              </w:rPr>
                              <m:t>j</m:t>
                            </m:r>
                          </m:sub>
                          <m:sup>
                            <m:r>
                              <w:rPr>
                                <w:rFonts w:ascii="Cambria Math" w:hAnsi="Cambria Math"/>
                                <w:szCs w:val="24"/>
                              </w:rPr>
                              <m:t>i</m:t>
                            </m:r>
                          </m:sup>
                        </m:sSubSup>
                      </m:den>
                    </m:f>
                  </m:oMath>
                  <w:r>
                    <w:rPr>
                      <w:szCs w:val="24"/>
                    </w:rPr>
                    <w:t>,</w:t>
                  </w:r>
                </w:p>
                <w:p w14:paraId="3A479667" w14:textId="586CC22C">
                  <w:pPr>
                    <w:overflowPunct w:val="0"/>
                    <w:spacing w:line="276" w:lineRule="auto"/>
                    <w:ind w:firstLine="720"/>
                    <w:jc w:val="both"/>
                    <w:textAlignment w:val="baseline"/>
                    <w:rPr>
                      <w:szCs w:val="24"/>
                    </w:rPr>
                  </w:pPr>
                  <w:r>
                    <w:rPr>
                      <w:szCs w:val="24"/>
                    </w:rPr>
                    <w:t>čia:</w:t>
                  </w:r>
                </w:p>
                <w:p w14:paraId="2026E215" w14:textId="5BC7F3D1">
                  <w:pPr>
                    <w:overflowPunct w:val="0"/>
                    <w:spacing w:line="276" w:lineRule="auto"/>
                    <w:ind w:firstLine="782"/>
                    <w:jc w:val="both"/>
                    <w:textAlignment w:val="baseline"/>
                    <w:rPr>
                      <w:szCs w:val="24"/>
                    </w:rPr>
                  </w:pPr>
                  <m:oMath>
                    <m:sSubSup>
                      <m:sSubSupPr>
                        <m:ctrlPr>
                          <w:rPr>
                            <w:rFonts w:ascii="Cambria Math" w:hAnsi="Cambria Math"/>
                            <w:i/>
                            <w:szCs w:val="24"/>
                          </w:rPr>
                        </m:ctrlPr>
                      </m:sSubSupPr>
                      <m:e>
                        <m:r>
                          <w:rPr>
                            <w:rFonts w:ascii="Cambria Math" w:hAnsi="Cambria Math"/>
                            <w:szCs w:val="24"/>
                          </w:rPr>
                          <m:t>K</m:t>
                        </m:r>
                      </m:e>
                      <m:sub>
                        <m:r>
                          <w:rPr>
                            <w:rFonts w:ascii="Cambria Math" w:hAnsi="Cambria Math"/>
                            <w:szCs w:val="24"/>
                          </w:rPr>
                          <m:t>j</m:t>
                        </m:r>
                      </m:sub>
                      <m:sup>
                        <m:r>
                          <w:rPr>
                            <w:rFonts w:ascii="Cambria Math" w:hAnsi="Cambria Math"/>
                            <w:szCs w:val="24"/>
                          </w:rPr>
                          <m:t>i</m:t>
                        </m:r>
                      </m:sup>
                    </m:sSubSup>
                  </m:oMath>
                  <w:r>
                    <w:rPr>
                      <w:szCs w:val="24"/>
                    </w:rPr>
                    <w:t>– draudžiamo j – ojo pasėlio vidutinė draudimo įmoka (skaičiuojama atskirai pagal rizikas ar jų grupes (</w:t>
                  </w:r>
                  <m:oMath>
                    <m:r>
                      <w:rPr>
                        <w:rFonts w:ascii="Cambria Math" w:hAnsi="Cambria Math"/>
                        <w:szCs w:val="24"/>
                      </w:rPr>
                      <m:t>i</m:t>
                    </m:r>
                  </m:oMath>
                  <w:r>
                    <w:rPr>
                      <w:szCs w:val="24"/>
                    </w:rPr>
                    <w:t xml:space="preserve">)), Eur/ha; </w:t>
                  </w:r>
                  <m:oMath>
                    <m:sSubSup>
                      <m:sSubSupPr>
                        <m:ctrlPr>
                          <w:rPr>
                            <w:rFonts w:ascii="Cambria Math" w:hAnsi="Cambria Math"/>
                            <w:szCs w:val="24"/>
                          </w:rPr>
                        </m:ctrlPr>
                      </m:sSubSupPr>
                      <m:e>
                        <m:r>
                          <m:rPr>
                            <m:sty m:val="p"/>
                          </m:rPr>
                          <w:rPr>
                            <w:rFonts w:ascii="Cambria Math" w:hAnsi="Cambria Math"/>
                            <w:szCs w:val="24"/>
                          </w:rPr>
                          <m:t>Į</m:t>
                        </m:r>
                      </m:e>
                      <m:sub>
                        <m:r>
                          <w:rPr>
                            <w:rFonts w:ascii="Cambria Math" w:hAnsi="Cambria Math"/>
                            <w:szCs w:val="24"/>
                          </w:rPr>
                          <m:t>j</m:t>
                        </m:r>
                      </m:sub>
                      <m:sup>
                        <m:r>
                          <w:rPr>
                            <w:rFonts w:ascii="Cambria Math" w:hAnsi="Cambria Math"/>
                            <w:szCs w:val="24"/>
                          </w:rPr>
                          <m:t>i</m:t>
                        </m:r>
                      </m:sup>
                    </m:sSubSup>
                  </m:oMath>
                  <w:r>
                    <w:rPr>
                      <w:szCs w:val="24"/>
                    </w:rPr>
                    <w:t xml:space="preserve"> – sumokėta draudimo įmoką už j - ojo pasėlio draudimą, Eur; </w:t>
                  </w:r>
                  <m:oMath>
                    <m:sSubSup>
                      <m:sSubSupPr>
                        <m:ctrlPr>
                          <w:rPr>
                            <w:rFonts w:ascii="Cambria Math" w:hAnsi="Cambria Math"/>
                            <w:szCs w:val="24"/>
                          </w:rPr>
                        </m:ctrlPr>
                      </m:sSubSupPr>
                      <m:e>
                        <m:r>
                          <w:rPr>
                            <w:rFonts w:ascii="Cambria Math" w:hAnsi="Cambria Math"/>
                            <w:szCs w:val="24"/>
                          </w:rPr>
                          <m:t>P</m:t>
                        </m:r>
                      </m:e>
                      <m:sub>
                        <m:r>
                          <w:rPr>
                            <w:rFonts w:ascii="Cambria Math" w:hAnsi="Cambria Math"/>
                            <w:szCs w:val="24"/>
                          </w:rPr>
                          <m:t>j</m:t>
                        </m:r>
                      </m:sub>
                      <m:sup>
                        <m:r>
                          <w:rPr>
                            <w:rFonts w:ascii="Cambria Math" w:hAnsi="Cambria Math"/>
                            <w:szCs w:val="24"/>
                          </w:rPr>
                          <m:t>i</m:t>
                        </m:r>
                      </m:sup>
                    </m:sSubSup>
                  </m:oMath>
                  <w:r>
                    <w:rPr>
                      <w:szCs w:val="24"/>
                    </w:rPr>
                    <w:t xml:space="preserve"> – j-ojo pasėlio apdraustas plotas, ha.</w:t>
                  </w:r>
                </w:p>
              </w:sdtContent>
            </w:sdt>
            <w:sdt>
              <w:sdtPr>
                <w:alias w:val="2.2 pp."/>
                <w:tag w:val="part_c2a4d17aba6e4fd497599c39a93870bf"/>
                <w:lock w:val="sdtLocked"/>
                <w:richText/>
              </w:sdtPr>
              <w:sdtContent>
                <w:p w14:paraId="4E1A0CB9" w14:textId="6F13BAF0">
                  <w:pPr>
                    <w:spacing w:line="276" w:lineRule="auto"/>
                    <w:ind w:firstLine="720"/>
                    <w:jc w:val="both"/>
                    <w:rPr>
                      <w:szCs w:val="24"/>
                    </w:rPr>
                  </w:pPr>
                  <w:sdt>
                    <w:sdtPr>
                      <w:alias w:val="Numeris"/>
                      <w:tag w:val="nr_c2a4d17aba6e4fd497599c39a93870bf"/>
                      <w:lock w:val="sdtLocked"/>
                      <w:richText/>
                    </w:sdtPr>
                    <w:sdtContent>
                      <w:r>
                        <w:rPr>
                          <w:szCs w:val="24"/>
                        </w:rPr>
                        <w:t>2.2</w:t>
                      </w:r>
                    </w:sdtContent>
                  </w:sdt>
                  <w:r>
                    <w:rPr>
                      <w:szCs w:val="24"/>
                    </w:rPr>
                    <w:t xml:space="preserve">. paskaičiuota vidutinė faktinė vieno hektaro kaina palyginama su didžiausiuoju galimu draudimo įkainiu, </w:t>
                  </w:r>
                </w:p>
                <w:sdt>
                  <w:sdtPr>
                    <w:alias w:val="2.2.1 pp."/>
                    <w:tag w:val="part_60eb8d717154422495faf9bad6a2d7ef"/>
                    <w:lock w:val="sdtLocked"/>
                    <w:richText/>
                  </w:sdtPr>
                  <w:sdtContent>
                    <w:p w14:paraId="08060EB6" w14:textId="4451A26A">
                      <w:pPr>
                        <w:spacing w:line="276" w:lineRule="auto"/>
                        <w:ind w:left="720"/>
                        <w:jc w:val="both"/>
                        <w:rPr>
                          <w:szCs w:val="24"/>
                        </w:rPr>
                      </w:pPr>
                      <w:sdt>
                        <w:sdtPr>
                          <w:alias w:val="Numeris"/>
                          <w:tag w:val="nr_60eb8d717154422495faf9bad6a2d7ef"/>
                          <w:lock w:val="sdtLocked"/>
                          <w:richText/>
                        </w:sdtPr>
                        <w:sdtContent>
                          <w:r>
                            <w:rPr>
                              <w:szCs w:val="24"/>
                            </w:rPr>
                            <w:t>2.2.1</w:t>
                          </w:r>
                        </w:sdtContent>
                      </w:sdt>
                      <w:r>
                        <w:rPr>
                          <w:szCs w:val="24"/>
                        </w:rPr>
                        <w:t>. jei:</w:t>
                      </w:r>
                    </w:p>
                    <w:p w14:paraId="6B6F0BFE" w14:textId="77777777">
                      <w:pPr>
                        <w:overflowPunct w:val="0"/>
                        <w:spacing w:line="276" w:lineRule="auto"/>
                        <w:ind w:firstLine="720"/>
                        <w:jc w:val="both"/>
                        <w:textAlignment w:val="baseline"/>
                        <w:rPr>
                          <w:szCs w:val="24"/>
                        </w:rPr>
                      </w:pPr>
                      <m:oMathPara>
                        <m:oMath>
                          <m:sSubSup>
                            <m:sSubSupPr>
                              <m:ctrlPr>
                                <w:rPr>
                                  <w:rFonts w:ascii="Cambria Math" w:hAnsi="Cambria Math"/>
                                  <w:i/>
                                  <w:szCs w:val="24"/>
                                </w:rPr>
                              </m:ctrlPr>
                            </m:sSubSupPr>
                            <m:e>
                              <m:r>
                                <w:rPr>
                                  <w:rFonts w:ascii="Cambria Math" w:hAnsi="Cambria Math"/>
                                  <w:szCs w:val="24"/>
                                </w:rPr>
                                <m:t>K</m:t>
                              </m:r>
                            </m:e>
                            <m:sub>
                              <m:r>
                                <w:rPr>
                                  <w:rFonts w:ascii="Cambria Math" w:hAnsi="Cambria Math"/>
                                  <w:szCs w:val="24"/>
                                </w:rPr>
                                <m:t>j</m:t>
                              </m:r>
                            </m:sub>
                            <m:sup>
                              <m:r>
                                <w:rPr>
                                  <w:rFonts w:ascii="Cambria Math" w:hAnsi="Cambria Math"/>
                                  <w:szCs w:val="24"/>
                                </w:rPr>
                                <m:t>i</m:t>
                              </m:r>
                            </m:sup>
                          </m:sSubSup>
                          <m:r>
                            <w:rPr>
                              <w:rFonts w:ascii="Cambria Math" w:hAnsi="Cambria Math"/>
                              <w:szCs w:val="24"/>
                            </w:rPr>
                            <m:t xml:space="preserve">≤ </m:t>
                          </m:r>
                          <m:sSubSup>
                            <m:sSubSupPr>
                              <m:ctrlPr>
                                <w:rPr>
                                  <w:rFonts w:ascii="Cambria Math" w:hAnsi="Cambria Math"/>
                                  <w:i/>
                                  <w:szCs w:val="24"/>
                                </w:rPr>
                              </m:ctrlPr>
                            </m:sSubSupPr>
                            <m:e>
                              <m:r>
                                <w:rPr>
                                  <w:rFonts w:ascii="Cambria Math" w:hAnsi="Cambria Math"/>
                                  <w:szCs w:val="24"/>
                                </w:rPr>
                                <m:t>DĮ</m:t>
                              </m:r>
                            </m:e>
                            <m:sub>
                              <m:r>
                                <w:rPr>
                                  <w:rFonts w:ascii="Cambria Math" w:hAnsi="Cambria Math"/>
                                  <w:szCs w:val="24"/>
                                </w:rPr>
                                <m:t>g</m:t>
                              </m:r>
                            </m:sub>
                            <m:sup>
                              <m:r>
                                <w:rPr>
                                  <w:rFonts w:ascii="Cambria Math" w:hAnsi="Cambria Math"/>
                                  <w:szCs w:val="24"/>
                                </w:rPr>
                                <m:t>i</m:t>
                              </m:r>
                            </m:sup>
                          </m:sSubSup>
                        </m:oMath>
                      </m:oMathPara>
                    </w:p>
                    <w:p w14:paraId="5A131F11" w14:textId="27E46767">
                      <w:pPr>
                        <w:overflowPunct w:val="0"/>
                        <w:spacing w:line="276" w:lineRule="auto"/>
                        <w:ind w:firstLine="720"/>
                        <w:jc w:val="both"/>
                        <w:textAlignment w:val="baseline"/>
                        <w:rPr>
                          <w:szCs w:val="24"/>
                        </w:rPr>
                      </w:pPr>
                      <w:r>
                        <w:rPr>
                          <w:szCs w:val="24"/>
                        </w:rPr>
                        <w:t>paramos dydis paskaičiuojamas taip:</w:t>
                      </w:r>
                    </w:p>
                    <w:p w14:paraId="253E709E" w14:textId="351E2A7E">
                      <w:pPr>
                        <w:overflowPunct w:val="0"/>
                        <w:spacing w:line="276" w:lineRule="auto"/>
                        <w:ind w:firstLine="720"/>
                        <w:jc w:val="both"/>
                        <w:textAlignment w:val="baseline"/>
                        <w:rPr>
                          <w:szCs w:val="24"/>
                        </w:rPr>
                      </w:pPr>
                      <w:r>
                        <w:rPr>
                          <w:szCs w:val="24"/>
                        </w:rPr>
                        <w:t>čia:</w:t>
                      </w:r>
                    </w:p>
                    <w:p w14:paraId="1BBF289E" w14:textId="2721A3DC">
                      <w:pPr>
                        <w:overflowPunct w:val="0"/>
                        <w:spacing w:line="276" w:lineRule="auto"/>
                        <w:ind w:firstLine="782"/>
                        <w:jc w:val="both"/>
                        <w:textAlignment w:val="baseline"/>
                        <w:rPr>
                          <w:szCs w:val="24"/>
                        </w:rPr>
                      </w:pPr>
                      <m:oMath>
                        <m:sSubSup>
                          <m:sSubSupPr>
                            <m:ctrlPr>
                              <w:rPr>
                                <w:rFonts w:ascii="Cambria Math" w:hAnsi="Cambria Math"/>
                                <w:i/>
                                <w:szCs w:val="24"/>
                              </w:rPr>
                            </m:ctrlPr>
                          </m:sSubSupPr>
                          <m:e>
                            <m:r>
                              <w:rPr>
                                <w:rFonts w:ascii="Cambria Math" w:hAnsi="Cambria Math"/>
                                <w:szCs w:val="24"/>
                              </w:rPr>
                              <m:t>DĮ</m:t>
                            </m:r>
                          </m:e>
                          <m:sub>
                            <m:r>
                              <w:rPr>
                                <w:rFonts w:ascii="Cambria Math" w:hAnsi="Cambria Math"/>
                                <w:szCs w:val="24"/>
                              </w:rPr>
                              <m:t>g</m:t>
                            </m:r>
                          </m:sub>
                          <m:sup>
                            <m:r>
                              <w:rPr>
                                <w:rFonts w:ascii="Cambria Math" w:hAnsi="Cambria Math"/>
                                <w:szCs w:val="24"/>
                              </w:rPr>
                              <m:t>i</m:t>
                            </m:r>
                          </m:sup>
                        </m:sSubSup>
                      </m:oMath>
                      <w:r>
                        <w:rPr>
                          <w:szCs w:val="24"/>
                        </w:rPr>
                        <w:t xml:space="preserve">– didžiausias galimas draudimo įkainis augalų grupės pasėliams, Eur/ha. </w:t>
                      </w:r>
                    </w:p>
                    <w:p w14:paraId="0F85FF95" w14:textId="77777777">
                      <w:pPr>
                        <w:overflowPunct w:val="0"/>
                        <w:spacing w:line="276" w:lineRule="auto"/>
                        <w:ind w:firstLine="720"/>
                        <w:jc w:val="both"/>
                        <w:textAlignment w:val="baseline"/>
                        <w:rPr>
                          <w:szCs w:val="24"/>
                        </w:rPr>
                      </w:pPr>
                      <m:oMath>
                        <m:sSubSup>
                          <m:sSubSupPr>
                            <m:ctrlPr>
                              <w:rPr>
                                <w:rFonts w:ascii="Cambria Math" w:hAnsi="Cambria Math"/>
                                <w:i/>
                                <w:szCs w:val="24"/>
                              </w:rPr>
                            </m:ctrlPr>
                          </m:sSubSupPr>
                          <m:e>
                            <m:r>
                              <w:rPr>
                                <w:rFonts w:ascii="Cambria Math" w:hAnsi="Cambria Math"/>
                                <w:szCs w:val="24"/>
                              </w:rPr>
                              <m:t>P</m:t>
                            </m:r>
                          </m:e>
                          <m:sub>
                            <m:r>
                              <w:rPr>
                                <w:rFonts w:ascii="Cambria Math" w:hAnsi="Cambria Math"/>
                                <w:szCs w:val="24"/>
                              </w:rPr>
                              <m:t>j</m:t>
                            </m:r>
                          </m:sub>
                          <m:sup>
                            <m:r>
                              <w:rPr>
                                <w:rFonts w:ascii="Cambria Math" w:hAnsi="Cambria Math"/>
                                <w:szCs w:val="24"/>
                              </w:rPr>
                              <m:t>i</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K</m:t>
                            </m:r>
                          </m:e>
                          <m:sub>
                            <m:r>
                              <w:rPr>
                                <w:rFonts w:ascii="Cambria Math" w:hAnsi="Cambria Math"/>
                                <w:szCs w:val="24"/>
                              </w:rPr>
                              <m:t>j</m:t>
                            </m:r>
                          </m:sub>
                          <m:sup>
                            <m:r>
                              <w:rPr>
                                <w:rFonts w:ascii="Cambria Math" w:hAnsi="Cambria Math"/>
                                <w:szCs w:val="24"/>
                              </w:rPr>
                              <m:t>i</m:t>
                            </m:r>
                          </m:sup>
                        </m:sSubSup>
                        <m:r>
                          <w:rPr>
                            <w:rFonts w:ascii="Cambria Math" w:hAnsi="Cambria Math"/>
                            <w:szCs w:val="24"/>
                          </w:rPr>
                          <m:t>*</m:t>
                        </m:r>
                        <m:sSup>
                          <m:sSupPr>
                            <m:ctrlPr>
                              <w:rPr>
                                <w:rFonts w:ascii="Cambria Math" w:hAnsi="Cambria Math"/>
                                <w:i/>
                                <w:szCs w:val="24"/>
                              </w:rPr>
                            </m:ctrlPr>
                          </m:sSupPr>
                          <m:e>
                            <m:r>
                              <w:rPr>
                                <w:rFonts w:ascii="Cambria Math" w:hAnsi="Cambria Math"/>
                                <w:szCs w:val="24"/>
                              </w:rPr>
                              <m:t>p</m:t>
                            </m:r>
                          </m:e>
                          <m:sup>
                            <m:r>
                              <w:rPr>
                                <w:rFonts w:ascii="Cambria Math" w:hAnsi="Cambria Math"/>
                                <w:szCs w:val="24"/>
                              </w:rPr>
                              <m:t>i</m:t>
                            </m:r>
                          </m:sup>
                        </m:sSup>
                      </m:oMath>
                      <w:r>
                        <w:rPr>
                          <w:szCs w:val="24"/>
                        </w:rPr>
                        <w:t>,</w:t>
                      </w:r>
                    </w:p>
                    <w:p w14:paraId="7A521EFB" w14:textId="583BFF6C">
                      <w:pPr>
                        <w:overflowPunct w:val="0"/>
                        <w:spacing w:line="276" w:lineRule="auto"/>
                        <w:ind w:firstLine="720"/>
                        <w:jc w:val="both"/>
                        <w:textAlignment w:val="baseline"/>
                        <w:rPr>
                          <w:szCs w:val="24"/>
                        </w:rPr>
                      </w:pPr>
                      <w:r>
                        <w:rPr>
                          <w:szCs w:val="24"/>
                        </w:rPr>
                        <w:t>čia:</w:t>
                      </w:r>
                    </w:p>
                    <w:p w14:paraId="22AAA3DD" w14:textId="4E015D7F">
                      <w:pPr>
                        <w:overflowPunct w:val="0"/>
                        <w:spacing w:line="276" w:lineRule="auto"/>
                        <w:ind w:firstLine="782"/>
                        <w:jc w:val="both"/>
                        <w:textAlignment w:val="baseline"/>
                        <w:rPr>
                          <w:szCs w:val="24"/>
                        </w:rPr>
                      </w:pPr>
                      <m:oMath>
                        <m:sSubSup>
                          <m:sSubSupPr>
                            <m:ctrlPr>
                              <w:rPr>
                                <w:rFonts w:ascii="Cambria Math" w:hAnsi="Cambria Math"/>
                                <w:i/>
                                <w:szCs w:val="24"/>
                              </w:rPr>
                            </m:ctrlPr>
                          </m:sSubSupPr>
                          <m:e>
                            <m:r>
                              <w:rPr>
                                <w:rFonts w:ascii="Cambria Math" w:hAnsi="Cambria Math"/>
                                <w:szCs w:val="24"/>
                              </w:rPr>
                              <m:t>P</m:t>
                            </m:r>
                          </m:e>
                          <m:sub>
                            <m:r>
                              <w:rPr>
                                <w:rFonts w:ascii="Cambria Math" w:hAnsi="Cambria Math"/>
                                <w:szCs w:val="24"/>
                              </w:rPr>
                              <m:t>j</m:t>
                            </m:r>
                          </m:sub>
                          <m:sup>
                            <m:r>
                              <w:rPr>
                                <w:rFonts w:ascii="Cambria Math" w:hAnsi="Cambria Math"/>
                                <w:szCs w:val="24"/>
                              </w:rPr>
                              <m:t>i</m:t>
                            </m:r>
                          </m:sup>
                        </m:sSubSup>
                      </m:oMath>
                      <w:r>
                        <w:rPr>
                          <w:szCs w:val="24"/>
                        </w:rPr>
                        <w:t>– j-ajam pasėliui paskaičiuotas kompensacinis paramos dydis už draudimą (skaičiuojama atskirai pagal rizikas ar jų grupes (</w:t>
                      </w:r>
                      <m:oMath>
                        <m:r>
                          <w:rPr>
                            <w:rFonts w:ascii="Cambria Math" w:hAnsi="Cambria Math"/>
                            <w:szCs w:val="24"/>
                          </w:rPr>
                          <m:t>i</m:t>
                        </m:r>
                      </m:oMath>
                      <w:r>
                        <w:rPr>
                          <w:szCs w:val="24"/>
                        </w:rPr>
                        <w:t xml:space="preserve">)); </w:t>
                      </w:r>
                      <m:oMath>
                        <m:sSup>
                          <m:sSupPr>
                            <m:ctrlPr>
                              <w:rPr>
                                <w:rFonts w:ascii="Cambria Math" w:hAnsi="Cambria Math"/>
                                <w:i/>
                                <w:szCs w:val="24"/>
                              </w:rPr>
                            </m:ctrlPr>
                          </m:sSupPr>
                          <m:e>
                            <m:r>
                              <w:rPr>
                                <w:rFonts w:ascii="Cambria Math" w:hAnsi="Cambria Math"/>
                                <w:szCs w:val="24"/>
                              </w:rPr>
                              <m:t>p</m:t>
                            </m:r>
                          </m:e>
                          <m:sup>
                            <m:r>
                              <w:rPr>
                                <w:rFonts w:ascii="Cambria Math" w:hAnsi="Cambria Math"/>
                                <w:szCs w:val="24"/>
                              </w:rPr>
                              <m:t>i</m:t>
                            </m:r>
                          </m:sup>
                        </m:sSup>
                      </m:oMath>
                      <w:r>
                        <w:rPr>
                          <w:szCs w:val="24"/>
                        </w:rPr>
                        <w:t xml:space="preserve"> – i-ajai rizikai ar rizikų grupei taikomas draudimo išmokų kompensavimo intensyvumas, koef.</w:t>
                      </w:r>
                    </w:p>
                  </w:sdtContent>
                </w:sdt>
                <w:sdt>
                  <w:sdtPr>
                    <w:alias w:val="2.2.2 pp."/>
                    <w:tag w:val="part_d77cd2cf2b88443c9be35206f249b40d"/>
                    <w:lock w:val="sdtLocked"/>
                    <w:richText/>
                  </w:sdtPr>
                  <w:sdtContent>
                    <w:p w14:paraId="075D19A0" w14:textId="71D03960">
                      <w:pPr>
                        <w:overflowPunct w:val="0"/>
                        <w:spacing w:line="276" w:lineRule="auto"/>
                        <w:ind w:left="720"/>
                        <w:jc w:val="both"/>
                        <w:textAlignment w:val="baseline"/>
                        <w:rPr>
                          <w:szCs w:val="24"/>
                        </w:rPr>
                      </w:pPr>
                      <w:sdt>
                        <w:sdtPr>
                          <w:alias w:val="Numeris"/>
                          <w:tag w:val="nr_d77cd2cf2b88443c9be35206f249b40d"/>
                          <w:lock w:val="sdtLocked"/>
                          <w:richText/>
                        </w:sdtPr>
                        <w:sdtContent>
                          <w:r>
                            <w:rPr>
                              <w:szCs w:val="24"/>
                            </w:rPr>
                            <w:t>2.2.2</w:t>
                          </w:r>
                        </w:sdtContent>
                      </w:sdt>
                      <w:r>
                        <w:rPr>
                          <w:szCs w:val="24"/>
                        </w:rPr>
                        <w:t>. jei:</w:t>
                      </w:r>
                    </w:p>
                    <w:p w14:paraId="19ACB56B" w14:textId="77777777">
                      <w:pPr>
                        <w:overflowPunct w:val="0"/>
                        <w:spacing w:line="276" w:lineRule="auto"/>
                        <w:ind w:firstLine="720"/>
                        <w:jc w:val="both"/>
                        <w:textAlignment w:val="baseline"/>
                        <w:rPr>
                          <w:szCs w:val="24"/>
                        </w:rPr>
                      </w:pPr>
                      <m:oMathPara>
                        <m:oMath>
                          <m:sSubSup>
                            <m:sSubSupPr>
                              <m:ctrlPr>
                                <w:rPr>
                                  <w:rFonts w:ascii="Cambria Math" w:hAnsi="Cambria Math"/>
                                  <w:i/>
                                  <w:szCs w:val="24"/>
                                </w:rPr>
                              </m:ctrlPr>
                            </m:sSubSupPr>
                            <m:e>
                              <m:r>
                                <w:rPr>
                                  <w:rFonts w:ascii="Cambria Math" w:hAnsi="Cambria Math"/>
                                  <w:szCs w:val="24"/>
                                </w:rPr>
                                <m:t>K</m:t>
                              </m:r>
                            </m:e>
                            <m:sub>
                              <m:r>
                                <w:rPr>
                                  <w:rFonts w:ascii="Cambria Math" w:hAnsi="Cambria Math"/>
                                  <w:szCs w:val="24"/>
                                </w:rPr>
                                <m:t>j</m:t>
                              </m:r>
                            </m:sub>
                            <m:sup>
                              <m:r>
                                <w:rPr>
                                  <w:rFonts w:ascii="Cambria Math" w:hAnsi="Cambria Math"/>
                                  <w:szCs w:val="24"/>
                                </w:rPr>
                                <m:t>i</m:t>
                              </m:r>
                            </m:sup>
                          </m:sSubSup>
                          <m:r>
                            <w:rPr>
                              <w:rFonts w:ascii="Cambria Math" w:hAnsi="Cambria Math"/>
                              <w:szCs w:val="24"/>
                            </w:rPr>
                            <m:t xml:space="preserve">&gt; </m:t>
                          </m:r>
                          <m:sSubSup>
                            <m:sSubSupPr>
                              <m:ctrlPr>
                                <w:rPr>
                                  <w:rFonts w:ascii="Cambria Math" w:hAnsi="Cambria Math"/>
                                  <w:i/>
                                  <w:szCs w:val="24"/>
                                </w:rPr>
                              </m:ctrlPr>
                            </m:sSubSupPr>
                            <m:e>
                              <m:r>
                                <w:rPr>
                                  <w:rFonts w:ascii="Cambria Math" w:hAnsi="Cambria Math"/>
                                  <w:szCs w:val="24"/>
                                </w:rPr>
                                <m:t>DĮ</m:t>
                              </m:r>
                            </m:e>
                            <m:sub>
                              <m:r>
                                <w:rPr>
                                  <w:rFonts w:ascii="Cambria Math" w:hAnsi="Cambria Math"/>
                                  <w:szCs w:val="24"/>
                                </w:rPr>
                                <m:t>g</m:t>
                              </m:r>
                            </m:sub>
                            <m:sup>
                              <m:r>
                                <w:rPr>
                                  <w:rFonts w:ascii="Cambria Math" w:hAnsi="Cambria Math"/>
                                  <w:szCs w:val="24"/>
                                </w:rPr>
                                <m:t>i</m:t>
                              </m:r>
                            </m:sup>
                          </m:sSubSup>
                        </m:oMath>
                      </m:oMathPara>
                    </w:p>
                    <w:p w14:paraId="11B87662" w14:textId="734897A6">
                      <w:pPr>
                        <w:overflowPunct w:val="0"/>
                        <w:spacing w:line="276" w:lineRule="auto"/>
                        <w:ind w:firstLine="720"/>
                        <w:jc w:val="both"/>
                        <w:textAlignment w:val="baseline"/>
                        <w:rPr>
                          <w:szCs w:val="24"/>
                        </w:rPr>
                      </w:pPr>
                      <w:r>
                        <w:rPr>
                          <w:szCs w:val="24"/>
                        </w:rPr>
                        <w:t>paramos dydis paskaičiuojamas taip:</w:t>
                      </w:r>
                    </w:p>
                    <w:p w14:paraId="270C34EC" w14:textId="3A6624A0">
                      <w:pPr>
                        <w:overflowPunct w:val="0"/>
                        <w:spacing w:line="276" w:lineRule="auto"/>
                        <w:ind w:firstLine="720"/>
                        <w:jc w:val="both"/>
                        <w:textAlignment w:val="baseline"/>
                        <w:rPr>
                          <w:szCs w:val="24"/>
                        </w:rPr>
                      </w:pPr>
                      <m:oMath>
                        <m:sSubSup>
                          <m:sSubSupPr>
                            <m:ctrlPr>
                              <w:rPr>
                                <w:rFonts w:ascii="Cambria Math" w:hAnsi="Cambria Math"/>
                                <w:i/>
                                <w:szCs w:val="24"/>
                              </w:rPr>
                            </m:ctrlPr>
                          </m:sSubSupPr>
                          <m:e>
                            <m:r>
                              <w:rPr>
                                <w:rFonts w:ascii="Cambria Math" w:hAnsi="Cambria Math"/>
                                <w:szCs w:val="24"/>
                              </w:rPr>
                              <m:t>P</m:t>
                            </m:r>
                          </m:e>
                          <m:sub>
                            <m:r>
                              <w:rPr>
                                <w:rFonts w:ascii="Cambria Math" w:hAnsi="Cambria Math"/>
                                <w:szCs w:val="24"/>
                              </w:rPr>
                              <m:t>j</m:t>
                            </m:r>
                          </m:sub>
                          <m:sup>
                            <m:r>
                              <w:rPr>
                                <w:rFonts w:ascii="Cambria Math" w:hAnsi="Cambria Math"/>
                                <w:szCs w:val="24"/>
                              </w:rPr>
                              <m:t>i</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DĮ</m:t>
                            </m:r>
                          </m:e>
                          <m:sub>
                            <m:r>
                              <w:rPr>
                                <w:rFonts w:ascii="Cambria Math" w:hAnsi="Cambria Math"/>
                                <w:szCs w:val="24"/>
                              </w:rPr>
                              <m:t>g</m:t>
                            </m:r>
                          </m:sub>
                          <m:sup>
                            <m:r>
                              <w:rPr>
                                <w:rFonts w:ascii="Cambria Math" w:hAnsi="Cambria Math"/>
                                <w:szCs w:val="24"/>
                              </w:rPr>
                              <m:t>i</m:t>
                            </m:r>
                          </m:sup>
                        </m:sSubSup>
                        <m:r>
                          <w:rPr>
                            <w:rFonts w:ascii="Cambria Math" w:hAnsi="Cambria Math"/>
                            <w:szCs w:val="24"/>
                          </w:rPr>
                          <m:t xml:space="preserve">* </m:t>
                        </m:r>
                        <m:sSubSup>
                          <m:sSubSupPr>
                            <m:ctrlPr>
                              <w:rPr>
                                <w:rFonts w:ascii="Cambria Math" w:hAnsi="Cambria Math"/>
                                <w:szCs w:val="24"/>
                              </w:rPr>
                            </m:ctrlPr>
                          </m:sSubSupPr>
                          <m:e>
                            <m:r>
                              <w:rPr>
                                <w:rFonts w:ascii="Cambria Math" w:hAnsi="Cambria Math"/>
                                <w:szCs w:val="24"/>
                              </w:rPr>
                              <m:t>P</m:t>
                            </m:r>
                          </m:e>
                          <m:sub>
                            <m:r>
                              <w:rPr>
                                <w:rFonts w:ascii="Cambria Math" w:hAnsi="Cambria Math"/>
                                <w:szCs w:val="24"/>
                              </w:rPr>
                              <m:t>j</m:t>
                            </m:r>
                          </m:sub>
                          <m:sup>
                            <m:r>
                              <w:rPr>
                                <w:rFonts w:ascii="Cambria Math" w:hAnsi="Cambria Math"/>
                                <w:szCs w:val="24"/>
                              </w:rPr>
                              <m:t>i</m:t>
                            </m:r>
                          </m:sup>
                        </m:sSubSup>
                        <m:r>
                          <w:rPr>
                            <w:rFonts w:ascii="Cambria Math" w:hAnsi="Cambria Math"/>
                            <w:szCs w:val="24"/>
                          </w:rPr>
                          <m:t>*</m:t>
                        </m:r>
                        <m:sSup>
                          <m:sSupPr>
                            <m:ctrlPr>
                              <w:rPr>
                                <w:rFonts w:ascii="Cambria Math" w:hAnsi="Cambria Math"/>
                                <w:i/>
                                <w:szCs w:val="24"/>
                              </w:rPr>
                            </m:ctrlPr>
                          </m:sSupPr>
                          <m:e>
                            <m:r>
                              <w:rPr>
                                <w:rFonts w:ascii="Cambria Math" w:hAnsi="Cambria Math"/>
                                <w:szCs w:val="24"/>
                              </w:rPr>
                              <m:t>p</m:t>
                            </m:r>
                          </m:e>
                          <m:sup>
                            <m:r>
                              <w:rPr>
                                <w:rFonts w:ascii="Cambria Math" w:hAnsi="Cambria Math"/>
                                <w:szCs w:val="24"/>
                              </w:rPr>
                              <m:t>i</m:t>
                            </m:r>
                          </m:sup>
                        </m:sSup>
                      </m:oMath>
                      <w:r>
                        <w:rPr>
                          <w:szCs w:val="24"/>
                        </w:rPr>
                        <w:t>.</w:t>
                      </w:r>
                    </w:p>
                  </w:sdtContent>
                </w:sdt>
              </w:sdtContent>
            </w:sdt>
            <w:sdt>
              <w:sdtPr>
                <w:alias w:val="2.3 pp."/>
                <w:tag w:val="part_2801d9645a244644b2e4e0404b61417b"/>
                <w:lock w:val="sdtLocked"/>
                <w:richText/>
              </w:sdtPr>
              <w:sdtContent>
                <w:p w14:paraId="1A57137C" w14:textId="6932452D">
                  <w:pPr>
                    <w:overflowPunct w:val="0"/>
                    <w:spacing w:line="276" w:lineRule="auto"/>
                    <w:ind w:left="720"/>
                    <w:jc w:val="both"/>
                    <w:textAlignment w:val="baseline"/>
                    <w:rPr>
                      <w:szCs w:val="24"/>
                    </w:rPr>
                  </w:pPr>
                  <w:sdt>
                    <w:sdtPr>
                      <w:alias w:val="Numeris"/>
                      <w:tag w:val="nr_2801d9645a244644b2e4e0404b61417b"/>
                      <w:lock w:val="sdtLocked"/>
                      <w:richText/>
                    </w:sdtPr>
                    <w:sdtContent>
                      <w:r>
                        <w:rPr>
                          <w:szCs w:val="24"/>
                        </w:rPr>
                        <w:t>2.3</w:t>
                      </w:r>
                    </w:sdtContent>
                  </w:sdt>
                  <w:r>
                    <w:rPr>
                      <w:szCs w:val="24"/>
                    </w:rPr>
                    <w:t>. Bendra išmokamų kompensacinių paramos išmokų suma apskaičiuojama taip:</w:t>
                  </w:r>
                </w:p>
                <w:p w14:paraId="1993360B" w14:textId="77777777">
                  <w:pPr>
                    <w:overflowPunct w:val="0"/>
                    <w:spacing w:line="276" w:lineRule="auto"/>
                    <w:ind w:firstLine="720"/>
                    <w:jc w:val="both"/>
                    <w:textAlignment w:val="baseline"/>
                    <w:rPr>
                      <w:szCs w:val="24"/>
                    </w:rPr>
                  </w:pPr>
                </w:p>
                <w:p w14:paraId="3F8D0E1A" w14:textId="77777777">
                  <w:pPr>
                    <w:overflowPunct w:val="0"/>
                    <w:spacing w:line="276" w:lineRule="auto"/>
                    <w:ind w:firstLine="720"/>
                    <w:jc w:val="both"/>
                    <w:textAlignment w:val="baseline"/>
                    <w:rPr>
                      <w:szCs w:val="24"/>
                    </w:rPr>
                  </w:pPr>
                  <m:oMath>
                    <m:sSubSup>
                      <m:sSubSupPr>
                        <m:ctrlPr>
                          <w:rPr>
                            <w:rFonts w:ascii="Cambria Math" w:hAnsi="Cambria Math"/>
                            <w:i/>
                            <w:szCs w:val="24"/>
                          </w:rPr>
                        </m:ctrlPr>
                      </m:sSubSupPr>
                      <m:e>
                        <m:r>
                          <w:rPr>
                            <w:rFonts w:ascii="Cambria Math" w:hAnsi="Cambria Math"/>
                            <w:szCs w:val="24"/>
                          </w:rPr>
                          <m:t>P</m:t>
                        </m:r>
                      </m:e>
                      <m:sub/>
                      <m:sup/>
                    </m:sSubSup>
                    <m:r>
                      <w:rPr>
                        <w:rFonts w:ascii="Cambria Math" w:hAnsi="Cambria Math"/>
                        <w:szCs w:val="24"/>
                      </w:rPr>
                      <m:t xml:space="preserve">= </m:t>
                    </m:r>
                    <m:nary>
                      <m:naryPr>
                        <m:chr m:val="∑"/>
                        <m:limLoc m:val="undOvr"/>
                        <m:ctrlPr>
                          <w:rPr>
                            <w:rFonts w:ascii="Cambria Math" w:hAnsi="Cambria Math"/>
                            <w:i/>
                            <w:szCs w:val="24"/>
                          </w:rPr>
                        </m:ctrlPr>
                      </m:naryPr>
                      <m:sub>
                        <m:r>
                          <w:rPr>
                            <w:rFonts w:ascii="Cambria Math" w:hAnsi="Cambria Math"/>
                            <w:szCs w:val="24"/>
                          </w:rPr>
                          <m:t>j</m:t>
                        </m:r>
                      </m:sub>
                      <m:sup>
                        <m:r>
                          <w:rPr>
                            <w:rFonts w:ascii="Cambria Math" w:hAnsi="Cambria Math"/>
                            <w:szCs w:val="24"/>
                          </w:rPr>
                          <m:t>n</m:t>
                        </m:r>
                      </m:sup>
                      <m:e>
                        <m:nary>
                          <m:naryPr>
                            <m:chr m:val="∑"/>
                            <m:limLoc m:val="subSup"/>
                            <m:ctrlPr>
                              <w:rPr>
                                <w:rFonts w:ascii="Cambria Math" w:hAnsi="Cambria Math"/>
                                <w:i/>
                                <w:szCs w:val="24"/>
                              </w:rPr>
                            </m:ctrlPr>
                          </m:naryPr>
                          <m:sub>
                            <m:r>
                              <w:rPr>
                                <w:rFonts w:ascii="Cambria Math" w:hAnsi="Cambria Math"/>
                                <w:szCs w:val="24"/>
                              </w:rPr>
                              <m:t>i</m:t>
                            </m:r>
                          </m:sub>
                          <m:sup>
                            <m:r>
                              <w:rPr>
                                <w:rFonts w:ascii="Cambria Math" w:hAnsi="Cambria Math"/>
                                <w:szCs w:val="24"/>
                              </w:rPr>
                              <m:t>m</m:t>
                            </m:r>
                          </m:sup>
                          <m:e>
                            <m:sSubSup>
                              <m:sSubSupPr>
                                <m:ctrlPr>
                                  <w:rPr>
                                    <w:rFonts w:ascii="Cambria Math" w:hAnsi="Cambria Math"/>
                                    <w:i/>
                                    <w:szCs w:val="24"/>
                                  </w:rPr>
                                </m:ctrlPr>
                              </m:sSubSupPr>
                              <m:e>
                                <m:r>
                                  <w:rPr>
                                    <w:rFonts w:ascii="Cambria Math" w:hAnsi="Cambria Math"/>
                                    <w:szCs w:val="24"/>
                                  </w:rPr>
                                  <m:t>P</m:t>
                                </m:r>
                              </m:e>
                              <m:sub>
                                <m:r>
                                  <w:rPr>
                                    <w:rFonts w:ascii="Cambria Math" w:hAnsi="Cambria Math"/>
                                    <w:szCs w:val="24"/>
                                  </w:rPr>
                                  <m:t>j</m:t>
                                </m:r>
                              </m:sub>
                              <m:sup>
                                <m:r>
                                  <w:rPr>
                                    <w:rFonts w:ascii="Cambria Math" w:hAnsi="Cambria Math"/>
                                    <w:szCs w:val="24"/>
                                  </w:rPr>
                                  <m:t>i</m:t>
                                </m:r>
                              </m:sup>
                            </m:sSubSup>
                          </m:e>
                        </m:nary>
                      </m:e>
                    </m:nary>
                  </m:oMath>
                  <w:r>
                    <w:rPr>
                      <w:szCs w:val="24"/>
                    </w:rPr>
                    <w:t>,</w:t>
                  </w:r>
                </w:p>
                <w:p w14:paraId="213DEF58" w14:textId="77777777">
                  <w:pPr>
                    <w:overflowPunct w:val="0"/>
                    <w:spacing w:line="276" w:lineRule="auto"/>
                    <w:ind w:firstLine="720"/>
                    <w:jc w:val="both"/>
                    <w:textAlignment w:val="baseline"/>
                    <w:rPr>
                      <w:szCs w:val="24"/>
                    </w:rPr>
                  </w:pPr>
                  <w:r>
                    <w:rPr>
                      <w:szCs w:val="24"/>
                    </w:rPr>
                    <w:t>čia:</w:t>
                  </w:r>
                </w:p>
                <w:p w14:paraId="2EA6492E" w14:textId="08AA373C">
                  <w:pPr>
                    <w:overflowPunct w:val="0"/>
                    <w:spacing w:line="276" w:lineRule="auto"/>
                    <w:ind w:firstLine="720"/>
                    <w:jc w:val="both"/>
                    <w:textAlignment w:val="baseline"/>
                    <w:rPr>
                      <w:szCs w:val="24"/>
                    </w:rPr>
                  </w:pPr>
                  <w:r>
                    <w:rPr>
                      <w:szCs w:val="24"/>
                    </w:rPr>
                    <w:t>n – apdraustų pasėlių skaičius; m – rizikų ir (ar) rizikos paketų skaičius.</w:t>
                  </w:r>
                </w:p>
              </w:sdtContent>
            </w:sdt>
          </w:sdtContent>
        </w:sdt>
        <w:sdt>
          <w:sdtPr>
            <w:alias w:val="3 p."/>
            <w:tag w:val="part_a8c30de545674f6e806dd44035fb861a"/>
            <w:lock w:val="sdtLocked"/>
            <w:richText/>
          </w:sdtPr>
          <w:sdtContent>
            <w:p w14:paraId="42E826D9" w14:textId="0EFCE4C4">
              <w:pPr>
                <w:overflowPunct w:val="0"/>
                <w:spacing w:line="276" w:lineRule="auto"/>
                <w:ind w:left="720"/>
                <w:textAlignment w:val="baseline"/>
                <w:rPr>
                  <w:color w:val="000000"/>
                  <w:szCs w:val="24"/>
                </w:rPr>
              </w:pPr>
              <w:sdt>
                <w:sdtPr>
                  <w:alias w:val="Numeris"/>
                  <w:tag w:val="nr_a8c30de545674f6e806dd44035fb861a"/>
                  <w:lock w:val="sdtLocked"/>
                  <w:richText/>
                </w:sdtPr>
                <w:sdtContent>
                  <w:r>
                    <w:rPr>
                      <w:color w:val="000000"/>
                      <w:szCs w:val="24"/>
                    </w:rPr>
                    <w:t>3</w:t>
                  </w:r>
                </w:sdtContent>
              </w:sdt>
              <w:r>
                <w:rPr>
                  <w:color w:val="000000"/>
                  <w:szCs w:val="24"/>
                </w:rPr>
                <w:t xml:space="preserve">. Šis įsakymas taikomas paraiškoms, pateiktoms po šio įsakymo įsigaliojimo. </w:t>
              </w:r>
            </w:p>
            <w:p w14:paraId="2926E2FC" w14:textId="77777777">
              <w:pPr>
                <w:overflowPunct w:val="0"/>
                <w:spacing w:line="360" w:lineRule="auto"/>
                <w:ind w:right="-283"/>
                <w:textAlignment w:val="baseline"/>
              </w:pPr>
            </w:p>
          </w:sdtContent>
        </w:sdt>
        <w:sdt>
          <w:sdtPr>
            <w:alias w:val="signatura"/>
            <w:tag w:val="part_07339bc636144b68a11147ba35b45456"/>
            <w:lock w:val="sdtLocked"/>
            <w:richText/>
          </w:sdtPr>
          <w:sdtContent>
            <w:p w14:paraId="040D7A8B" w14:textId="61226B6C">
              <w:pPr>
                <w:overflowPunct w:val="0"/>
                <w:spacing w:line="360" w:lineRule="auto"/>
                <w:ind w:right="-283"/>
                <w:textAlignment w:val="baseline"/>
              </w:pPr>
              <w:r>
                <w:t>Žemės ūkio ministras</w:t>
                <w:tab/>
                <w:tab/>
                <w:tab/>
                <w:tab/>
                <w:tab/>
                <w:tab/>
                <w:tab/>
                <w:tab/>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7" w:h="16840"/>
      <w:pgMar w:top="1134" w:right="850" w:bottom="1134" w:left="1701" w:header="567"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DFF02E" w14:textId="77777777">
      <w:pPr>
        <w:overflowPunct w:val="0"/>
        <w:jc w:val="both"/>
        <w:textAlignment w:val="baseline"/>
        <w:rPr>
          <w:lang w:val="en-GB"/>
        </w:rPr>
      </w:pPr>
      <w:r>
        <w:rPr>
          <w:lang w:val="en-GB"/>
        </w:rPr>
        <w:separator/>
      </w:r>
    </w:p>
  </w:endnote>
  <w:endnote w:type="continuationSeparator" w:id="0">
    <w:p w14:paraId="430C2BCC" w14:textId="77777777">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Math">
    <w:panose1 w:val="02040503050406030204"/>
    <w:charset w:val="BA"/>
    <w:family w:val="roman"/>
    <w:pitch w:val="variable"/>
    <w:sig w:usb0="E00002FF" w:usb1="420024FF" w:usb2="00000000" w:usb3="00000000" w:csb0="000001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83CBFB" w14:textId="77777777">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7537BD" w14:textId="77777777">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B6E726" w14:textId="77777777">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944D7A1" w14:textId="77777777">
      <w:pPr>
        <w:overflowPunct w:val="0"/>
        <w:jc w:val="both"/>
        <w:textAlignment w:val="baseline"/>
        <w:rPr>
          <w:lang w:val="en-GB"/>
        </w:rPr>
      </w:pPr>
      <w:r>
        <w:rPr>
          <w:lang w:val="en-GB"/>
        </w:rPr>
        <w:separator/>
      </w:r>
    </w:p>
  </w:footnote>
  <w:footnote w:type="continuationSeparator" w:id="0">
    <w:p w14:paraId="03A6424D" w14:textId="77777777">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239758" w14:textId="77777777">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19B000" w14:textId="6BA51F7A">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2</w:t>
    </w:r>
    <w:r>
      <w:rPr>
        <w:lang w:val="en-GB"/>
      </w:rPr>
      <w:fldChar w:fldCharType="end"/>
    </w:r>
  </w:p>
  <w:p w14:paraId="462A87CE" w14:textId="77777777">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43E497" w14:textId="77777777">
    <w:pPr>
      <w:tabs>
        <w:tab w:val="center" w:pos="4153"/>
        <w:tab w:val="right" w:pos="8306"/>
      </w:tabs>
      <w:overflowPunct w:val="0"/>
      <w:jc w:val="both"/>
      <w:textAlignment w:val="baseline"/>
      <w:rPr>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7872"/>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7DB7FA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3aa840983ef4306a8e9c5cc209dc175" PartId="ed30ea7ef6ae4f95bfaabb106d01c998">
    <Part Type="preambule" DocPartId="c94fd04eeaba456389097cac03a3df5a" PartId="01853eb65f64404aad2f542bd11316e1"/>
    <Part Type="pastraipa" DocPartId="905c2aef71fa42c08439c8a66c5555b6" PartId="e4f0c483d7514473938ec6f4b4391ec5"/>
    <Part Type="punktas" Nr="1" Abbr="1 p." DocPartId="f81389a4050e455cb79779219c59375f" PartId="aa8ac80b1f0f4b7e9461ebd025be9d4b"/>
    <Part Type="punktas" Nr="2" Abbr="2 p." DocPartId="bfaa67ed8d244f06a809f39545f2f369" PartId="2a1079cd283543488204c0c9a5cdf2d4">
      <Part Type="papunktis" Nr="2.1" Abbr="2.1 pp." DocPartId="8a7dd049b1a647289a6013125f2c579b" PartId="6f9626f2f3c449b69c951eca6b37557d"/>
      <Part Type="papunktis" Nr="2.2" Abbr="2.2 pp." DocPartId="c5b9322700634bf08b550b8c3c5f1400" PartId="c2a4d17aba6e4fd497599c39a93870bf">
        <Part Type="papunktis" Nr="2.2.1" Abbr="2.2.1 pp." DocPartId="276e176f655b4d80a210d2f9f1436b6e" PartId="60eb8d717154422495faf9bad6a2d7ef"/>
        <Part Type="papunktis" Nr="2.2.2" Abbr="2.2.2 pp." DocPartId="5ee9ee712ce843b7a3b6c7811cedf427" PartId="d77cd2cf2b88443c9be35206f249b40d"/>
      </Part>
      <Part Type="papunktis" Nr="2.3" Abbr="2.3 pp." DocPartId="08c48c672fb244e095ca8bda6da62f49" PartId="2801d9645a244644b2e4e0404b61417b"/>
    </Part>
    <Part Type="punktas" Nr="3" Abbr="3 p." DocPartId="ce8f49bfad4d467d91628eaaace06509" PartId="a8c30de545674f6e806dd44035fb861a"/>
    <Part Type="signatura" DocPartId="841302c4307248d0aaeb6e50170d9975" PartId="07339bc636144b68a11147ba35b45456"/>
  </Part>
</Parts>
</file>

<file path=customXml/itemProps1.xml><?xml version="1.0" encoding="utf-8"?>
<ds:datastoreItem xmlns:ds="http://schemas.openxmlformats.org/officeDocument/2006/customXml" ds:itemID="{6D33FAA1-A000-44F2-A2C6-A24CFD66DB7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738</Words>
  <Characters>4871</Characters>
  <Application>Microsoft Office Word</Application>
  <DocSecurity>4</DocSecurity>
  <Lines>231</Lines>
  <Paragraphs>143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5466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2023-08-17T06:28:00Z</dcterms:created>
  <dcterms:modified xsi:type="dcterms:W3CDTF">2023-08-17T06:28:00Z</dcterms:modified>
  <revision>1</revision>
</coreProperties>
</file>